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100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in square brackets are pending from Jalour.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[Registration details and constitutional documents pending]</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[Registration, ownership and board pending]</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Counsel to confirm whether any separate project account is required by law for these plots (section 6).</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48</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[Pending from Jalour]</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[Pending]</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[Pending]</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Counsel to confirm applicability to this plot.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53 million and a 20% overrun by EGP 106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final</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w:t>
      </w:r>
    </w:p>
    <w:p>
      <w:pPr>
        <w:pStyle w:val="ListBullet"/>
        <w:spacing w:after="60"/>
      </w:pPr>
      <w:r>
        <w:rPr>
          <w:b w:val="0"/>
          <w:i w:val="0"/>
        </w:rPr>
        <w:t>Sellable office area in the model is 10,129 m2, against 8,682 m2 of office built-up area. Jalour to provide the sellable-area schedule. If the lower area were right, office sales at 80%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116</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315</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129</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49</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-97</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155</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Whether the developer must hold a separate project bank account for these plots (reported for developers on state-allocated land under Decree 2184 of 2022). The proposed structure does not ring-fence funds; counsel to confirm that it complies.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-19.1</w:t>
            </w:r>
          </w:p>
        </w:tc>
        <w:tc>
          <w:tcPr>
            <w:tcW w:type="dxa" w:w="1984"/>
          </w:tcPr>
          <w:p>
            <w:pPr>
              <w:spacing w:after="0" w:line="240" w:lineRule="auto"/>
              <w:jc w:val="right"/>
            </w:pPr>
            <w:r/>
            <w:r>
              <w:rPr>
                <w:sz w:val="19"/>
              </w:rPr>
              <w:t>Removes 33%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-47.8</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9 of 12</w:t>
            </w:r>
          </w:p>
        </w:tc>
        <w:tc>
          <w:tcPr>
            <w:tcW w:type="dxa" w:w="1701"/>
          </w:tcPr>
          <w:p>
            <w:pPr>
              <w:spacing w:after="0" w:line="240" w:lineRule="auto"/>
              <w:jc w:val="right"/>
            </w:pPr>
            <w:r/>
            <w:r>
              <w:rPr>
                <w:sz w:val="18"/>
              </w:rPr>
              <w:t>-418</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24.7%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8 of 12</w:t>
            </w:r>
          </w:p>
        </w:tc>
        <w:tc>
          <w:tcPr>
            <w:tcW w:type="dxa" w:w="1701"/>
            <w:shd w:val="clear" w:color="auto" w:fill="F2F4F7"/>
          </w:tcPr>
          <w:p>
            <w:pPr>
              <w:spacing w:after="0" w:line="240" w:lineRule="auto"/>
              <w:jc w:val="right"/>
            </w:pPr>
            <w:r/>
            <w:r>
              <w:rPr>
                <w:sz w:val="18"/>
              </w:rPr>
              <w:t>-401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3.5%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-410</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53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30,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items in sections 2 and 3 are pending.</w:t>
      </w:r>
    </w:p>
    <w:p>
      <w:pPr>
        <w:pStyle w:val="ListNumber"/>
        <w:spacing w:after="60"/>
      </w:pPr>
      <w:r>
        <w:rPr>
          <w:b/>
          <w:i w:val="0"/>
        </w:rPr>
        <w:t>Payout coverage.</w:t>
      </w:r>
      <w:r>
        <w:rPr>
          <w:b w:val="0"/>
          <w:i w:val="0"/>
        </w:rPr>
        <w:t xml:space="preserve"> Net cash flow covers Option B instalments by 1.5x or more in only 3 of 12 quarters; the minimum on net cash flow is -9.0x. Pooled cash covers at least 3.0x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-418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33% of the launch-priced inventory, which raises the peak shortage before the ticket from EGP 102.5 million to EGP 117.9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and the </w:t>
      </w:r>
      <w:r>
        <w:rPr>
          <w:b/>
          <w:i w:val="0"/>
        </w:rPr>
        <w:t>form of the investor's instrument</w:t>
      </w:r>
      <w:r>
        <w:rPr>
          <w:b w:val="0"/>
          <w:i w:val="0"/>
        </w:rPr>
        <w:t xml:space="preserve"> are pending.</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fund project funding gaps from sponsor equity or other capital sources.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