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50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in square brackets are pending from Jalour.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[Registration details and constitutional documents pending]</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[Registration, ownership and board pending]</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Counsel to confirm whether any separate project account is required by law for these plots (section 6).</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[Pending from Jalour]</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[Pending]</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[Pending]</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Counsel to confirm applicability to this plot.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final</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Whether the developer must hold a separate project bank account for these plots (reported for developers on state-allocated land under Decree 2184 of 2022). The proposed structure does not ring-fence funds; counsel to confirm that it complies.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-10.4</w:t>
            </w:r>
          </w:p>
        </w:tc>
        <w:tc>
          <w:tcPr>
            <w:tcW w:type="dxa" w:w="1984"/>
          </w:tcPr>
          <w:p>
            <w:pPr>
              <w:spacing w:after="0" w:line="240" w:lineRule="auto"/>
              <w:jc w:val="right"/>
            </w:pPr>
            <w:r/>
            <w:r>
              <w:rPr>
                <w:sz w:val="19"/>
              </w:rPr>
              <w:t>Removes 14%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-22.5</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-856</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9.9%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-850</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1.4%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-851</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items in sections 2 and 3 are pending.</w:t>
      </w:r>
    </w:p>
    <w:p>
      <w:pPr>
        <w:pStyle w:val="ListNumber"/>
        <w:spacing w:after="60"/>
      </w:pPr>
      <w:r>
        <w:rPr>
          <w:b/>
          <w:i w:val="0"/>
        </w:rPr>
        <w:t>Payout coverage.</w:t>
      </w:r>
      <w:r>
        <w:rPr>
          <w:b w:val="0"/>
          <w:i w:val="0"/>
        </w:rPr>
        <w:t xml:space="preserve"> Net cash flow covers Option B instalments by 1.5x or more in only 9 of 12 quarters; the minimum on net cash flow is -13.5x. Pooled cash covers at least 1.8x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-856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14% of the launch-priced inventory, which raises the peak shortage before the ticket from EGP 102.0 million to EGP 119.2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and the </w:t>
      </w:r>
      <w:r>
        <w:rPr>
          <w:b/>
          <w:i w:val="0"/>
        </w:rPr>
        <w:t>form of the investor's instrument</w:t>
      </w:r>
      <w:r>
        <w:rPr>
          <w:b w:val="0"/>
          <w:i w:val="0"/>
        </w:rPr>
        <w:t xml:space="preserve"> are pending.</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fund project funding gaps from sponsor equity or other capital sources.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