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pending from Jalour.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9</w:t>
      </w:r>
    </w:p>
    <w:p>
      <w:pPr>
        <w:tabs>
          <w:tab w:pos="9241" w:val="right" w:leader="dot"/>
        </w:tabs>
        <w:spacing w:after="60"/>
      </w:pPr>
      <w:r>
        <w:rPr>
          <w:sz w:val="22"/>
        </w:rPr>
        <w:t>6. The Al Ahly Sabbour agreement and consents</w:t>
        <w:tab/>
        <w:t>10</w:t>
      </w:r>
    </w:p>
    <w:p>
      <w:pPr>
        <w:tabs>
          <w:tab w:pos="9241" w:val="right" w:leader="dot"/>
        </w:tabs>
        <w:spacing w:after="60"/>
      </w:pPr>
      <w:r>
        <w:rPr>
          <w:sz w:val="22"/>
        </w:rPr>
        <w:t>7. Sponsor and management</w:t>
        <w:tab/>
        <w:t>10</w:t>
      </w:r>
    </w:p>
    <w:p>
      <w:pPr>
        <w:tabs>
          <w:tab w:pos="9241" w:val="right" w:leader="dot"/>
        </w:tabs>
        <w:spacing w:after="60"/>
      </w:pPr>
      <w:r>
        <w:rPr>
          <w:sz w:val="22"/>
        </w:rPr>
        <w:t>8. Business plan and assumptions</w:t>
        <w:tab/>
        <w:t>12</w:t>
      </w:r>
    </w:p>
    <w:p>
      <w:pPr>
        <w:tabs>
          <w:tab w:pos="9241" w:val="right" w:leader="dot"/>
        </w:tabs>
        <w:spacing w:after="60"/>
      </w:pPr>
      <w:r>
        <w:rPr>
          <w:sz w:val="22"/>
        </w:rPr>
        <w:t>9. Sales and collections model</w:t>
        <w:tab/>
        <w:t>13</w:t>
      </w:r>
    </w:p>
    <w:p>
      <w:pPr>
        <w:tabs>
          <w:tab w:pos="9241" w:val="right" w:leader="dot"/>
        </w:tabs>
        <w:spacing w:after="60"/>
      </w:pPr>
      <w:r>
        <w:rPr>
          <w:sz w:val="22"/>
        </w:rPr>
        <w:t>10. Cost model</w:t>
        <w:tab/>
        <w:t>14</w:t>
      </w:r>
    </w:p>
    <w:p>
      <w:pPr>
        <w:tabs>
          <w:tab w:pos="9241" w:val="right" w:leader="dot"/>
        </w:tabs>
        <w:spacing w:after="60"/>
      </w:pPr>
      <w:r>
        <w:rPr>
          <w:sz w:val="22"/>
        </w:rPr>
        <w:t>11. Funding plan and use of funds</w:t>
        <w:tab/>
        <w:t>15</w:t>
      </w:r>
    </w:p>
    <w:p>
      <w:pPr>
        <w:tabs>
          <w:tab w:pos="9241" w:val="right" w:leader="dot"/>
        </w:tabs>
        <w:spacing w:after="60"/>
      </w:pPr>
      <w:r>
        <w:rPr>
          <w:sz w:val="22"/>
        </w:rPr>
        <w:t>12. Investment terms</w:t>
        <w:tab/>
        <w:t>16</w:t>
      </w:r>
    </w:p>
    <w:p>
      <w:pPr>
        <w:tabs>
          <w:tab w:pos="9241" w:val="right" w:leader="dot"/>
        </w:tabs>
        <w:spacing w:after="60"/>
      </w:pPr>
      <w:r>
        <w:rPr>
          <w:sz w:val="22"/>
        </w:rPr>
        <w:t>13. Returns analysis and sensitivities</w:t>
        <w:tab/>
        <w:t>18</w:t>
      </w:r>
    </w:p>
    <w:p>
      <w:pPr>
        <w:tabs>
          <w:tab w:pos="9241" w:val="right" w:leader="dot"/>
        </w:tabs>
        <w:spacing w:after="60"/>
      </w:pPr>
      <w:r>
        <w:rPr>
          <w:sz w:val="22"/>
        </w:rPr>
        <w:t>14. Security and ranking</w:t>
        <w:tab/>
        <w:t>22</w:t>
      </w:r>
    </w:p>
    <w:p>
      <w:pPr>
        <w:tabs>
          <w:tab w:pos="9241" w:val="right" w:leader="dot"/>
        </w:tabs>
        <w:spacing w:after="60"/>
      </w:pPr>
      <w:r>
        <w:rPr>
          <w:sz w:val="22"/>
        </w:rPr>
        <w:t>15. Governance and information rights</w:t>
        <w:tab/>
        <w:t>22</w:t>
      </w:r>
    </w:p>
    <w:p>
      <w:pPr>
        <w:tabs>
          <w:tab w:pos="9241" w:val="right" w:leader="dot"/>
        </w:tabs>
        <w:spacing w:after="60"/>
      </w:pPr>
      <w:r>
        <w:rPr>
          <w:sz w:val="22"/>
        </w:rPr>
        <w:t>16. Exit and liquidity</w:t>
        <w:tab/>
        <w:t>23</w:t>
      </w:r>
    </w:p>
    <w:p>
      <w:pPr>
        <w:tabs>
          <w:tab w:pos="9241" w:val="right" w:leader="dot"/>
        </w:tabs>
        <w:spacing w:after="60"/>
      </w:pPr>
      <w:r>
        <w:rPr>
          <w:sz w:val="22"/>
        </w:rPr>
        <w:t>17. Risk factors</w:t>
        <w:tab/>
        <w:t>24</w:t>
      </w:r>
    </w:p>
    <w:p>
      <w:pPr>
        <w:tabs>
          <w:tab w:pos="9241" w:val="right" w:leader="dot"/>
        </w:tabs>
        <w:spacing w:after="60"/>
      </w:pPr>
      <w:r>
        <w:rPr>
          <w:sz w:val="22"/>
        </w:rPr>
        <w:t>18. Tax and legal considerations</w:t>
        <w:tab/>
        <w:t>25</w:t>
      </w:r>
    </w:p>
    <w:p>
      <w:pPr>
        <w:tabs>
          <w:tab w:pos="9241" w:val="right" w:leader="dot"/>
        </w:tabs>
        <w:spacing w:after="60"/>
      </w:pPr>
      <w:r>
        <w:rPr>
          <w:sz w:val="22"/>
        </w:rPr>
        <w:t>Appendices</w:t>
        <w:tab/>
        <w:t>26</w:t>
      </w:r>
    </w:p>
    <w:p>
      <w:pPr>
        <w:pStyle w:val="Heading1"/>
        <w:pageBreakBefore/>
      </w:pPr>
      <w:r>
        <w:t>1. Executive summary</w:t>
      </w:r>
    </w:p>
    <w:p>
      <w:r>
        <w:rPr>
          <w:b w:val="0"/>
          <w:i w:val="0"/>
        </w:rPr>
        <w:t>Jalour is raising EGP 100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250,000 per m2, offices EGP 160,000 per m2), allocated from the first two sales tranches. At the model's final list prices the units are worth EGP 296 million. Projected investor IRR: 29.2% base, 20.4% downside, 32.3%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fund project funding gaps above project cash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4 of 12 quarters. Pooled cash including the ticket covers every instalment at least 3.5x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final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Counsel should confirm which rules apply to these plots and to a private placement of this kind, including any requirement for a separate project account.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5: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Jalour is to provide the area schedule that reconciles the two (open item); the investor should require this in due diligence.</w:t>
      </w:r>
    </w:p>
    <w:p>
      <w:r>
        <w:rPr>
          <w:b w:val="0"/>
          <w:i w:val="0"/>
        </w:rPr>
        <w:t>Phasing: sales launch in project month 13, construction starts in month 19 and runs 36 months to handover in month 54. Permits, licences and title status are listed in the Due Diligence Memorandum [status pending from Jalour].</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6: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7: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[to be provided by Jalour].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8: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[To be provided by Jalour]</w:t>
            </w:r>
          </w:p>
        </w:tc>
      </w:tr>
    </w:tbl>
    <w:p>
      <w:pPr>
        <w:spacing w:after="80"/>
      </w:pPr>
    </w:p>
    <w:p>
      <w:r>
        <w:rPr>
          <w:b w:val="0"/>
          <w:i w:val="0"/>
        </w:rPr>
        <w:t>Jalour intends to fund project funding gaps, including those caused by timing differences in collections, from sponsor equity or other capital sources it procures. The form, amount and conditions of that undertaking are to be documented. It is a commitment to fund the project, not a guarantee of the investor's return.</w:t>
      </w:r>
    </w:p>
    <w:p>
      <w:pPr>
        <w:pStyle w:val="Heading1"/>
        <w:pageBreakBefore/>
      </w:pPr>
      <w:r>
        <w:t>8. Business plan and assumptions</w:t>
      </w:r>
    </w:p>
    <w:p>
      <w:pPr>
        <w:keepNext/>
        <w:spacing w:after="60"/>
      </w:pPr>
      <w:r>
        <w:rPr>
          <w:b/>
          <w:color w:val="17324D"/>
          <w:sz w:val="19"/>
        </w:rPr>
        <w:t>Table 9: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Final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10: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11: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12: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13: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14: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12.5</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102.0 million (month 30).</w:t>
      </w:r>
    </w:p>
    <w:p>
      <w:pPr>
        <w:pStyle w:val="Heading2"/>
      </w:pPr>
      <w:r>
        <w:t>11.1 Funding gaps in stress cases</w:t>
      </w:r>
    </w:p>
    <w:p>
      <w:pPr>
        <w:keepNext/>
        <w:spacing w:after="60"/>
      </w:pPr>
      <w:r>
        <w:rPr>
          <w:b/>
          <w:color w:val="17324D"/>
          <w:sz w:val="19"/>
        </w:rPr>
        <w:t>Table 15: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sponsor equity or other capital sources it procures;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16: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27.6%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61.7 million (247 m2) and offices EGP 138.3 million (864 m2)</w:t>
            </w:r>
          </w:p>
        </w:tc>
      </w:tr>
      <w:tr>
        <w:trPr>
          <w:cantSplit/>
        </w:trPr>
        <w:tc>
          <w:tcPr>
            <w:tcW w:type="dxa" w:w="2154"/>
            <w:shd w:val="clear" w:color="auto" w:fill="F2F4F7"/>
          </w:tcPr>
          <w:p>
            <w:pPr>
              <w:spacing w:after="0" w:line="240" w:lineRule="auto"/>
            </w:pPr>
            <w:r/>
            <w:r>
              <w:rPr>
                <w:b/>
                <w:sz w:val="19"/>
              </w:rPr>
              <w:t>Value at final list</w:t>
            </w:r>
          </w:p>
        </w:tc>
        <w:tc>
          <w:tcPr>
            <w:tcW w:type="dxa" w:w="7087"/>
            <w:shd w:val="clear" w:color="auto" w:fill="F2F4F7"/>
          </w:tcPr>
          <w:p>
            <w:pPr>
              <w:spacing w:after="0" w:line="240" w:lineRule="auto"/>
            </w:pPr>
            <w:r/>
            <w:r>
              <w:rPr>
                <w:sz w:val="19"/>
              </w:rPr>
              <w:t>EGP 296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17: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18: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19: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final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final list price before the investor loses money on the ticket. The base case relies on list prices rising by 44% (retail) and 50% (offices); with no appreciation the units return 1.94x.</w:t>
      </w:r>
    </w:p>
    <w:p>
      <w:pPr>
        <w:keepNext/>
        <w:spacing w:after="60"/>
      </w:pPr>
      <w:r>
        <w:rPr>
          <w:b/>
          <w:color w:val="17324D"/>
          <w:sz w:val="19"/>
        </w:rPr>
        <w:t>Table 20: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28%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22.6%; the NPV effect at 14% is EGP -20.8 million and the project NPV after the deal is EGP 287 million (before: 308). Peak cumulative shortage before the ticket rises to EGP 137.4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21: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-864</w:t>
            </w:r>
          </w:p>
        </w:tc>
        <w:tc>
          <w:tcPr>
            <w:tcW w:type="dxa" w:w="1474"/>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-240</w:t>
            </w:r>
          </w:p>
        </w:tc>
      </w:tr>
    </w:tbl>
    <w:p>
      <w:pPr>
        <w:spacing w:after="80"/>
      </w:pPr>
    </w:p>
    <w:p>
      <w:r>
        <w:rPr>
          <w:b w:val="0"/>
          <w:i w:val="0"/>
        </w:rPr>
        <w:t>In the base case the lowest pooled cash of EGP -2.0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22: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2.3x</w:t>
            </w:r>
          </w:p>
        </w:tc>
        <w:tc>
          <w:tcPr>
            <w:tcW w:type="dxa" w:w="2041"/>
          </w:tcPr>
          <w:p>
            <w:pPr>
              <w:spacing w:after="0" w:line="240" w:lineRule="auto"/>
              <w:jc w:val="right"/>
            </w:pPr>
            <w:r/>
            <w:r>
              <w:rPr>
                <w:sz w:val="18"/>
              </w:rPr>
              <w:t>3.5x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2.9x</w:t>
            </w:r>
          </w:p>
        </w:tc>
        <w:tc>
          <w:tcPr>
            <w:tcW w:type="dxa" w:w="2041"/>
            <w:shd w:val="clear" w:color="auto" w:fill="F2F4F7"/>
          </w:tcPr>
          <w:p>
            <w:pPr>
              <w:spacing w:after="0" w:line="240" w:lineRule="auto"/>
              <w:jc w:val="right"/>
            </w:pPr>
            <w:r/>
            <w:r>
              <w:rPr>
                <w:sz w:val="18"/>
              </w:rPr>
              <w:t>5.4x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25.1x</w:t>
            </w:r>
          </w:p>
        </w:tc>
        <w:tc>
          <w:tcPr>
            <w:tcW w:type="dxa" w:w="2041"/>
          </w:tcPr>
          <w:p>
            <w:pPr>
              <w:spacing w:after="0" w:line="240" w:lineRule="auto"/>
              <w:jc w:val="right"/>
            </w:pPr>
            <w:r/>
            <w:r>
              <w:rPr>
                <w:sz w:val="18"/>
              </w:rPr>
              <w:t>29.5x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-1.6x</w:t>
            </w:r>
          </w:p>
        </w:tc>
        <w:tc>
          <w:tcPr>
            <w:tcW w:type="dxa" w:w="2041"/>
            <w:shd w:val="clear" w:color="auto" w:fill="F2F4F7"/>
          </w:tcPr>
          <w:p>
            <w:pPr>
              <w:spacing w:after="0" w:line="240" w:lineRule="auto"/>
              <w:jc w:val="right"/>
            </w:pPr>
            <w:r/>
            <w:r>
              <w:rPr>
                <w:sz w:val="18"/>
              </w:rPr>
              <w:t>26.9x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-6.7x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-5.1x</w:t>
            </w:r>
          </w:p>
        </w:tc>
        <w:tc>
          <w:tcPr>
            <w:tcW w:type="dxa" w:w="2041"/>
            <w:shd w:val="clear" w:color="auto" w:fill="F2F4F7"/>
          </w:tcPr>
          <w:p>
            <w:pPr>
              <w:spacing w:after="0" w:line="240" w:lineRule="auto"/>
              <w:jc w:val="right"/>
            </w:pPr>
            <w:r/>
            <w:r>
              <w:rPr>
                <w:sz w:val="18"/>
              </w:rPr>
              <w:t>13.0x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1.9x</w:t>
            </w:r>
          </w:p>
        </w:tc>
        <w:tc>
          <w:tcPr>
            <w:tcW w:type="dxa" w:w="2041"/>
          </w:tcPr>
          <w:p>
            <w:pPr>
              <w:spacing w:after="0" w:line="240" w:lineRule="auto"/>
              <w:jc w:val="right"/>
            </w:pPr>
            <w:r/>
            <w:r>
              <w:rPr>
                <w:sz w:val="18"/>
              </w:rPr>
              <w:t>14.0x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1.8x</w:t>
            </w:r>
          </w:p>
        </w:tc>
        <w:tc>
          <w:tcPr>
            <w:tcW w:type="dxa" w:w="2041"/>
            <w:shd w:val="clear" w:color="auto" w:fill="F2F4F7"/>
          </w:tcPr>
          <w:p>
            <w:pPr>
              <w:spacing w:after="0" w:line="240" w:lineRule="auto"/>
              <w:jc w:val="right"/>
            </w:pPr>
            <w:r/>
            <w:r>
              <w:rPr>
                <w:sz w:val="18"/>
              </w:rPr>
              <w:t>14.8x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2.9x</w:t>
            </w:r>
          </w:p>
        </w:tc>
        <w:tc>
          <w:tcPr>
            <w:tcW w:type="dxa" w:w="2041"/>
          </w:tcPr>
          <w:p>
            <w:pPr>
              <w:spacing w:after="0" w:line="240" w:lineRule="auto"/>
              <w:jc w:val="right"/>
            </w:pPr>
            <w:r/>
            <w:r>
              <w:rPr>
                <w:sz w:val="18"/>
              </w:rPr>
              <w:t>16.6x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2.5x</w:t>
            </w:r>
          </w:p>
        </w:tc>
        <w:tc>
          <w:tcPr>
            <w:tcW w:type="dxa" w:w="2041"/>
            <w:shd w:val="clear" w:color="auto" w:fill="F2F4F7"/>
          </w:tcPr>
          <w:p>
            <w:pPr>
              <w:spacing w:after="0" w:line="240" w:lineRule="auto"/>
              <w:jc w:val="right"/>
            </w:pPr>
            <w:r/>
            <w:r>
              <w:rPr>
                <w:sz w:val="18"/>
              </w:rPr>
              <w:t>18.1x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2.0x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1.5x</w:t>
            </w:r>
          </w:p>
        </w:tc>
        <w:tc>
          <w:tcPr>
            <w:tcW w:type="dxa" w:w="2041"/>
            <w:shd w:val="clear" w:color="auto" w:fill="F2F4F7"/>
          </w:tcPr>
          <w:p>
            <w:pPr>
              <w:spacing w:after="0" w:line="240" w:lineRule="auto"/>
              <w:jc w:val="right"/>
            </w:pPr>
            <w:r/>
            <w:r>
              <w:rPr>
                <w:sz w:val="18"/>
              </w:rPr>
              <w:t>19.6x</w:t>
            </w:r>
          </w:p>
        </w:tc>
      </w:tr>
    </w:tbl>
    <w:p>
      <w:pPr>
        <w:spacing w:after="80"/>
      </w:pPr>
    </w:p>
    <w:p>
      <w:r>
        <w:rPr>
          <w:b w:val="0"/>
          <w:i w:val="0"/>
        </w:rPr>
        <w:t>Coverage on net cash flow alone is below the 1.5x threshold in 4 of 12 quarters, because instalments fall in the construction peak and in the quarters after handover when collections are thin. "Cash available" adds pooled project cash, including the ticket and earlier collections, and is at least 3.5x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23: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4 of 12</w:t>
            </w:r>
          </w:p>
        </w:tc>
        <w:tc>
          <w:tcPr>
            <w:tcW w:type="dxa" w:w="1587"/>
          </w:tcPr>
          <w:p>
            <w:pPr>
              <w:spacing w:after="0" w:line="240" w:lineRule="auto"/>
              <w:jc w:val="right"/>
            </w:pPr>
            <w:r/>
            <w:r>
              <w:rPr>
                <w:sz w:val="18"/>
              </w:rPr>
              <w:t>-864</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19.7%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-851</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2.9%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-854</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24: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26: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on state-linked land (including Decree 2184 of 2022),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Whether a separate project bank account is required for these plots under the rules for developers on state-linked land.</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27: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28: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29: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