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125 million (USD 2.6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pending from Jalour.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6</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9</w:t>
      </w:r>
    </w:p>
    <w:p>
      <w:pPr>
        <w:tabs>
          <w:tab w:pos="9241" w:val="right" w:leader="dot"/>
        </w:tabs>
        <w:spacing w:after="60"/>
      </w:pPr>
      <w:r>
        <w:rPr>
          <w:sz w:val="22"/>
        </w:rPr>
        <w:t>6. The Al Ahly Sabbour agreement and consents</w:t>
        <w:tab/>
        <w:t>10</w:t>
      </w:r>
    </w:p>
    <w:p>
      <w:pPr>
        <w:tabs>
          <w:tab w:pos="9241" w:val="right" w:leader="dot"/>
        </w:tabs>
        <w:spacing w:after="60"/>
      </w:pPr>
      <w:r>
        <w:rPr>
          <w:sz w:val="22"/>
        </w:rPr>
        <w:t>7. Sponsor and management</w:t>
        <w:tab/>
        <w:t>10</w:t>
      </w:r>
    </w:p>
    <w:p>
      <w:pPr>
        <w:tabs>
          <w:tab w:pos="9241" w:val="right" w:leader="dot"/>
        </w:tabs>
        <w:spacing w:after="60"/>
      </w:pPr>
      <w:r>
        <w:rPr>
          <w:sz w:val="22"/>
        </w:rPr>
        <w:t>8. Business plan and assumptions</w:t>
        <w:tab/>
        <w:t>12</w:t>
      </w:r>
    </w:p>
    <w:p>
      <w:pPr>
        <w:tabs>
          <w:tab w:pos="9241" w:val="right" w:leader="dot"/>
        </w:tabs>
        <w:spacing w:after="60"/>
      </w:pPr>
      <w:r>
        <w:rPr>
          <w:sz w:val="22"/>
        </w:rPr>
        <w:t>9. Sales and collections model</w:t>
        <w:tab/>
        <w:t>13</w:t>
      </w:r>
    </w:p>
    <w:p>
      <w:pPr>
        <w:tabs>
          <w:tab w:pos="9241" w:val="right" w:leader="dot"/>
        </w:tabs>
        <w:spacing w:after="60"/>
      </w:pPr>
      <w:r>
        <w:rPr>
          <w:sz w:val="22"/>
        </w:rPr>
        <w:t>10. Cost model</w:t>
        <w:tab/>
        <w:t>14</w:t>
      </w:r>
    </w:p>
    <w:p>
      <w:pPr>
        <w:tabs>
          <w:tab w:pos="9241" w:val="right" w:leader="dot"/>
        </w:tabs>
        <w:spacing w:after="60"/>
      </w:pPr>
      <w:r>
        <w:rPr>
          <w:sz w:val="22"/>
        </w:rPr>
        <w:t>11. Funding plan and use of funds</w:t>
        <w:tab/>
        <w:t>15</w:t>
      </w:r>
    </w:p>
    <w:p>
      <w:pPr>
        <w:tabs>
          <w:tab w:pos="9241" w:val="right" w:leader="dot"/>
        </w:tabs>
        <w:spacing w:after="60"/>
      </w:pPr>
      <w:r>
        <w:rPr>
          <w:sz w:val="22"/>
        </w:rPr>
        <w:t>12. Investment terms</w:t>
        <w:tab/>
        <w:t>17</w:t>
      </w:r>
    </w:p>
    <w:p>
      <w:pPr>
        <w:tabs>
          <w:tab w:pos="9241" w:val="right" w:leader="dot"/>
        </w:tabs>
        <w:spacing w:after="60"/>
      </w:pPr>
      <w:r>
        <w:rPr>
          <w:sz w:val="22"/>
        </w:rPr>
        <w:t>13. Returns analysis and sensitivities</w:t>
        <w:tab/>
        <w:t>19</w:t>
      </w:r>
    </w:p>
    <w:p>
      <w:pPr>
        <w:tabs>
          <w:tab w:pos="9241" w:val="right" w:leader="dot"/>
        </w:tabs>
        <w:spacing w:after="60"/>
      </w:pPr>
      <w:r>
        <w:rPr>
          <w:sz w:val="22"/>
        </w:rPr>
        <w:t>14. Security and ranking</w:t>
        <w:tab/>
        <w:t>23</w:t>
      </w:r>
    </w:p>
    <w:p>
      <w:pPr>
        <w:tabs>
          <w:tab w:pos="9241" w:val="right" w:leader="dot"/>
        </w:tabs>
        <w:spacing w:after="60"/>
      </w:pPr>
      <w:r>
        <w:rPr>
          <w:sz w:val="22"/>
        </w:rPr>
        <w:t>15. Governance and information rights</w:t>
        <w:tab/>
        <w:t>23</w:t>
      </w:r>
    </w:p>
    <w:p>
      <w:pPr>
        <w:tabs>
          <w:tab w:pos="9241" w:val="right" w:leader="dot"/>
        </w:tabs>
        <w:spacing w:after="60"/>
      </w:pPr>
      <w:r>
        <w:rPr>
          <w:sz w:val="22"/>
        </w:rPr>
        <w:t>16. Exit and liquidity</w:t>
        <w:tab/>
        <w:t>24</w:t>
      </w:r>
    </w:p>
    <w:p>
      <w:pPr>
        <w:tabs>
          <w:tab w:pos="9241" w:val="right" w:leader="dot"/>
        </w:tabs>
        <w:spacing w:after="60"/>
      </w:pPr>
      <w:r>
        <w:rPr>
          <w:sz w:val="22"/>
        </w:rPr>
        <w:t>17. Risk factors</w:t>
        <w:tab/>
        <w:t>25</w:t>
      </w:r>
    </w:p>
    <w:p>
      <w:pPr>
        <w:tabs>
          <w:tab w:pos="9241" w:val="right" w:leader="dot"/>
        </w:tabs>
        <w:spacing w:after="60"/>
      </w:pPr>
      <w:r>
        <w:rPr>
          <w:sz w:val="22"/>
        </w:rPr>
        <w:t>18. Tax and legal considerations</w:t>
        <w:tab/>
        <w:t>26</w:t>
      </w:r>
    </w:p>
    <w:p>
      <w:pPr>
        <w:tabs>
          <w:tab w:pos="9241" w:val="right" w:leader="dot"/>
        </w:tabs>
        <w:spacing w:after="60"/>
      </w:pPr>
      <w:r>
        <w:rPr>
          <w:sz w:val="22"/>
        </w:rPr>
        <w:t>Appendices</w:t>
        <w:tab/>
        <w:t>27</w:t>
      </w:r>
    </w:p>
    <w:p>
      <w:pPr>
        <w:pStyle w:val="Heading1"/>
        <w:pageBreakBefore/>
      </w:pPr>
      <w:r>
        <w:t>1. Executive summary</w:t>
      </w:r>
    </w:p>
    <w:p>
      <w:r>
        <w:rPr>
          <w:b w:val="0"/>
          <w:i w:val="0"/>
        </w:rPr>
        <w:t>Jalour is raising EGP 125 million from a single investor to part-fund L'avenir, a 13,419 m2 commercial and office development of G+2 buildings on a 14,910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850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250 million, twice the ticket, priced at the launch list (retail EGP 250,000 per m2, offices EGP 160,000 per m2), allocated from the first two sales tranches. At the model's final list prices the units are worth EGP 370 million. Projected investor IRR: 29.2% base, 20.4% downside, 32.3% upside.</w:t>
      </w:r>
    </w:p>
    <w:p>
      <w:pPr>
        <w:pStyle w:val="ListBullet"/>
        <w:spacing w:after="60"/>
      </w:pPr>
      <w:r>
        <w:rPr>
          <w:b/>
          <w:i w:val="0"/>
        </w:rPr>
        <w:t>Option B, cash.</w:t>
      </w:r>
      <w:r>
        <w:rPr>
          <w:b w:val="0"/>
          <w:i w:val="0"/>
        </w:rPr>
        <w:t xml:space="preserve"> EGP 288 million (2.3x the ticket) in 12 equal quarterly instalments of EGP 23.96 million after a 24-month grace period, from month 39 to month 72.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125.0</w:t>
            </w:r>
          </w:p>
        </w:tc>
      </w:tr>
      <w:tr>
        <w:trPr>
          <w:cantSplit/>
        </w:trPr>
        <w:tc>
          <w:tcPr>
            <w:tcW w:type="dxa" w:w="6236"/>
            <w:shd w:val="clear" w:color="auto" w:fill="F2F4F7"/>
          </w:tcPr>
          <w:p>
            <w:pPr>
              <w:spacing w:after="0" w:line="240" w:lineRule="auto"/>
            </w:pPr>
            <w:r/>
            <w:r>
              <w:rPr>
                <w:sz w:val="19"/>
              </w:rPr>
              <w:t>Modelled peak cumulative cash shortage (month 30)</w:t>
            </w:r>
          </w:p>
        </w:tc>
        <w:tc>
          <w:tcPr>
            <w:tcW w:type="dxa" w:w="3005"/>
            <w:shd w:val="clear" w:color="auto" w:fill="F2F4F7"/>
          </w:tcPr>
          <w:p>
            <w:pPr>
              <w:spacing w:after="0" w:line="240" w:lineRule="auto"/>
              <w:jc w:val="right"/>
            </w:pPr>
            <w:r/>
            <w:r>
              <w:rPr>
                <w:sz w:val="19"/>
              </w:rPr>
              <w:t>102.0</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112.5</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2,674</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595.3</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307.5</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54</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250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288</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250,000 to 360,000 per m2 for retail (+44%) and from 160,000 to 240,000 for offices (+50%)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244 million instead of EGP 102.0 million. Jalour has said it will fund project funding gaps above project cash (section 11).</w:t>
      </w:r>
    </w:p>
    <w:p>
      <w:pPr>
        <w:pStyle w:val="ListBullet"/>
        <w:spacing w:after="60"/>
      </w:pPr>
      <w:r>
        <w:rPr>
          <w:b/>
          <w:i w:val="0"/>
        </w:rPr>
        <w:t>Payout capacity (Option B).</w:t>
      </w:r>
      <w:r>
        <w:rPr>
          <w:b w:val="0"/>
          <w:i w:val="0"/>
        </w:rPr>
        <w:t xml:space="preserve"> Net project cash flow is negative in the construction peak (months 48 to 54, inside the payout window), so quarter-by-quarter coverage of instalments is below 1.5x in 5 of 12 quarters. Pooled cash including the ticket covers every instalment at least 3.8x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125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12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13,419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850 million over six years) is payable even if sales are slow.</w:t>
            </w:r>
          </w:p>
        </w:tc>
      </w:tr>
      <w:tr>
        <w:trPr>
          <w:cantSplit/>
        </w:trPr>
        <w:tc>
          <w:tcPr>
            <w:tcW w:type="dxa" w:w="4706"/>
          </w:tcPr>
          <w:p>
            <w:pPr>
              <w:spacing w:after="0" w:line="240" w:lineRule="auto"/>
            </w:pPr>
            <w:r/>
            <w:r>
              <w:rPr>
                <w:sz w:val="19"/>
              </w:rPr>
              <w:t>Sales begin at a launch list of EGP 250,000 (retail) and 160,000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102.0 million in the base case and the project generates EGP 595 million of net cash flow before the value of retained units.</w:t>
            </w:r>
          </w:p>
        </w:tc>
        <w:tc>
          <w:tcPr>
            <w:tcW w:type="dxa" w:w="4535"/>
            <w:shd w:val="clear" w:color="auto" w:fill="F2F4F7"/>
          </w:tcPr>
          <w:p>
            <w:pPr>
              <w:spacing w:after="0" w:line="240" w:lineRule="auto"/>
            </w:pPr>
            <w:r/>
            <w:r>
              <w:rPr>
                <w:sz w:val="19"/>
              </w:rPr>
              <w:t>Funding peak is EGP 244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final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160,000</w:t>
            </w:r>
          </w:p>
        </w:tc>
        <w:tc>
          <w:tcPr>
            <w:tcW w:type="dxa" w:w="1417"/>
          </w:tcPr>
          <w:p>
            <w:pPr>
              <w:spacing w:after="0" w:line="240" w:lineRule="auto"/>
              <w:jc w:val="right"/>
            </w:pPr>
            <w:r/>
            <w:r>
              <w:rPr>
                <w:sz w:val="18"/>
              </w:rPr>
              <w:t>240,000</w:t>
            </w:r>
          </w:p>
        </w:tc>
        <w:tc>
          <w:tcPr>
            <w:tcW w:type="dxa" w:w="1417"/>
          </w:tcPr>
          <w:p>
            <w:pPr>
              <w:spacing w:after="0" w:line="240" w:lineRule="auto"/>
              <w:jc w:val="right"/>
            </w:pPr>
            <w:r/>
            <w:r>
              <w:rPr>
                <w:sz w:val="18"/>
              </w:rPr>
              <w:t>191,250</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250,000</w:t>
            </w:r>
          </w:p>
        </w:tc>
        <w:tc>
          <w:tcPr>
            <w:tcW w:type="dxa" w:w="1417"/>
            <w:shd w:val="clear" w:color="auto" w:fill="F2F4F7"/>
          </w:tcPr>
          <w:p>
            <w:pPr>
              <w:spacing w:after="0" w:line="240" w:lineRule="auto"/>
              <w:jc w:val="right"/>
            </w:pPr>
            <w:r/>
            <w:r>
              <w:rPr>
                <w:sz w:val="18"/>
              </w:rPr>
              <w:t>360,000</w:t>
            </w:r>
          </w:p>
        </w:tc>
        <w:tc>
          <w:tcPr>
            <w:tcW w:type="dxa" w:w="1417"/>
            <w:shd w:val="clear" w:color="auto" w:fill="F2F4F7"/>
          </w:tcPr>
          <w:p>
            <w:pPr>
              <w:spacing w:after="0" w:line="240" w:lineRule="auto"/>
              <w:jc w:val="right"/>
            </w:pPr>
            <w:r/>
            <w:r>
              <w:rPr>
                <w:sz w:val="18"/>
              </w:rPr>
              <w:t>300,938</w:t>
            </w:r>
          </w:p>
        </w:tc>
      </w:tr>
    </w:tbl>
    <w:p>
      <w:pPr>
        <w:spacing w:after="80"/>
      </w:pPr>
    </w:p>
    <w:p>
      <w:r>
        <w:rPr>
          <w:b w:val="0"/>
          <w:i w:val="0"/>
        </w:rPr>
        <w:t>The plan's launch price for offices (160,000) is above current Mostakbal City asking prices, and it then rises by 50%.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Counsel should confirm which rules apply to these plots and to a private placement of this kind, including any requirement for a separate project account.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5: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14,910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8,946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13,419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13</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19 to 54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54</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10,437 m2, which is larger than the 8,946 m2 of office built-up area. Jalour is to provide the area schedule that reconciles the two (open item); the investor should require this in due diligence.</w:t>
      </w:r>
    </w:p>
    <w:p>
      <w:r>
        <w:rPr>
          <w:b w:val="0"/>
          <w:i w:val="0"/>
        </w:rPr>
        <w:t>Phasing: sales launch in project month 13, construction starts in month 19 and runs 36 months to handover in month 54. Permits, licences and title status are listed in the Due Diligence Memorandum [status pending from Jalour].</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6: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850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85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54</w:t>
            </w:r>
          </w:p>
        </w:tc>
      </w:tr>
    </w:tbl>
    <w:p>
      <w:pPr>
        <w:spacing w:after="80"/>
      </w:pPr>
    </w:p>
    <w:p>
      <w:pPr>
        <w:keepNext/>
        <w:spacing w:after="60"/>
      </w:pPr>
      <w:r>
        <w:rPr>
          <w:b/>
          <w:color w:val="17324D"/>
          <w:sz w:val="19"/>
        </w:rPr>
        <w:t>Table 7: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85</w:t>
            </w:r>
          </w:p>
        </w:tc>
        <w:tc>
          <w:tcPr>
            <w:tcW w:type="dxa" w:w="850"/>
          </w:tcPr>
          <w:p>
            <w:pPr>
              <w:spacing w:after="0" w:line="240" w:lineRule="auto"/>
              <w:jc w:val="right"/>
            </w:pPr>
            <w:r/>
            <w:r>
              <w:rPr>
                <w:sz w:val="18"/>
              </w:rPr>
              <w:t>0</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225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850</w:t>
            </w:r>
          </w:p>
        </w:tc>
      </w:tr>
    </w:tbl>
    <w:p>
      <w:pPr>
        <w:spacing w:after="80"/>
      </w:pPr>
    </w:p>
    <w:p>
      <w:r>
        <w:rPr>
          <w:b w:val="0"/>
          <w:i w:val="0"/>
        </w:rPr>
        <w:t>In the plan the landlord receives EGP 1,170 million in total, equal to 35% of the value of all units at modelled prices, including the 20% retained by Jalour. EGP 320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[to be provided by Jalour].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8: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[To be provided by Jalour]</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[To be provided by Jalour]</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[To be provided by Jalour]</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[To be provided by Jalour]</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[To be provided by Jalour]</w:t>
            </w:r>
          </w:p>
        </w:tc>
      </w:tr>
    </w:tbl>
    <w:p>
      <w:pPr>
        <w:spacing w:after="80"/>
      </w:pPr>
    </w:p>
    <w:p>
      <w:r>
        <w:rPr>
          <w:b w:val="0"/>
          <w:i w:val="0"/>
        </w:rPr>
        <w:t>Jalour intends to fund project funding gaps, including those caused by timing differences in collections, from sponsor equity or other capital sources it procures. The form, amount and conditions of that undertaking are to be documented. It is a commitment to fund the project, not a guarantee of the investor's return.</w:t>
      </w:r>
    </w:p>
    <w:p>
      <w:pPr>
        <w:pStyle w:val="Heading1"/>
        <w:pageBreakBefore/>
      </w:pPr>
      <w:r>
        <w:t>8. Business plan and assumptions</w:t>
      </w:r>
    </w:p>
    <w:p>
      <w:pPr>
        <w:keepNext/>
        <w:spacing w:after="60"/>
      </w:pPr>
      <w:r>
        <w:rPr>
          <w:b/>
          <w:color w:val="17324D"/>
          <w:sz w:val="19"/>
        </w:rPr>
        <w:t>Table 9: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13 to 48</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250,000; offices 160,000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Final list prices</w:t>
            </w:r>
          </w:p>
        </w:tc>
        <w:tc>
          <w:tcPr>
            <w:tcW w:type="dxa" w:w="4195"/>
          </w:tcPr>
          <w:p>
            <w:pPr>
              <w:spacing w:after="0" w:line="240" w:lineRule="auto"/>
            </w:pPr>
            <w:r/>
            <w:r>
              <w:rPr>
                <w:sz w:val="18"/>
              </w:rPr>
              <w:t>Retail 360,000; offices 240,000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12</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10: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111.8</w:t>
            </w:r>
          </w:p>
        </w:tc>
        <w:tc>
          <w:tcPr>
            <w:tcW w:type="dxa" w:w="1814"/>
          </w:tcPr>
          <w:p>
            <w:pPr>
              <w:spacing w:after="0" w:line="240" w:lineRule="auto"/>
              <w:jc w:val="right"/>
            </w:pPr>
            <w:r/>
            <w:r>
              <w:rPr>
                <w:sz w:val="18"/>
              </w:rPr>
              <w:t>250.5</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111.8</w:t>
            </w:r>
          </w:p>
        </w:tc>
        <w:tc>
          <w:tcPr>
            <w:tcW w:type="dxa" w:w="1814"/>
            <w:shd w:val="clear" w:color="auto" w:fill="F2F4F7"/>
          </w:tcPr>
          <w:p>
            <w:pPr>
              <w:spacing w:after="0" w:line="240" w:lineRule="auto"/>
              <w:jc w:val="right"/>
            </w:pPr>
            <w:r/>
            <w:r>
              <w:rPr>
                <w:sz w:val="18"/>
              </w:rPr>
              <w:t>250.5</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123.0</w:t>
            </w:r>
          </w:p>
        </w:tc>
        <w:tc>
          <w:tcPr>
            <w:tcW w:type="dxa" w:w="1814"/>
          </w:tcPr>
          <w:p>
            <w:pPr>
              <w:spacing w:after="0" w:line="240" w:lineRule="auto"/>
              <w:jc w:val="right"/>
            </w:pPr>
            <w:r/>
            <w:r>
              <w:rPr>
                <w:sz w:val="18"/>
              </w:rPr>
              <w:t>187.9</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86.1</w:t>
            </w:r>
          </w:p>
        </w:tc>
        <w:tc>
          <w:tcPr>
            <w:tcW w:type="dxa" w:w="1814"/>
            <w:shd w:val="clear" w:color="auto" w:fill="F2F4F7"/>
          </w:tcPr>
          <w:p>
            <w:pPr>
              <w:spacing w:after="0" w:line="240" w:lineRule="auto"/>
              <w:jc w:val="right"/>
            </w:pPr>
            <w:r/>
            <w:r>
              <w:rPr>
                <w:sz w:val="18"/>
              </w:rPr>
              <w:t>93.9</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93.9</w:t>
            </w:r>
          </w:p>
        </w:tc>
        <w:tc>
          <w:tcPr>
            <w:tcW w:type="dxa" w:w="1814"/>
          </w:tcPr>
          <w:p>
            <w:pPr>
              <w:spacing w:after="0" w:line="240" w:lineRule="auto"/>
              <w:jc w:val="right"/>
            </w:pPr>
            <w:r/>
            <w:r>
              <w:rPr>
                <w:sz w:val="18"/>
              </w:rPr>
              <w:t>104.4</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104.4</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73.8</w:t>
            </w:r>
          </w:p>
        </w:tc>
        <w:tc>
          <w:tcPr>
            <w:tcW w:type="dxa" w:w="1814"/>
          </w:tcPr>
          <w:p>
            <w:pPr>
              <w:spacing w:after="0" w:line="240" w:lineRule="auto"/>
              <w:jc w:val="right"/>
            </w:pPr>
            <w:r/>
            <w:r>
              <w:rPr>
                <w:sz w:val="18"/>
              </w:rPr>
              <w:t>114.8</w:t>
            </w:r>
          </w:p>
        </w:tc>
        <w:tc>
          <w:tcPr>
            <w:tcW w:type="dxa" w:w="1928"/>
          </w:tcPr>
          <w:p>
            <w:pPr>
              <w:spacing w:after="0" w:line="240" w:lineRule="auto"/>
              <w:jc w:val="right"/>
            </w:pPr>
            <w:r/>
            <w:r>
              <w:rPr>
                <w:sz w:val="18"/>
              </w:rPr>
              <w:t>330</w:t>
            </w:r>
          </w:p>
        </w:tc>
        <w:tc>
          <w:tcPr>
            <w:tcW w:type="dxa" w:w="1871"/>
          </w:tcPr>
          <w:p>
            <w:pPr>
              <w:spacing w:after="0" w:line="240" w:lineRule="auto"/>
              <w:jc w:val="right"/>
            </w:pPr>
            <w:r/>
            <w:r>
              <w:rPr>
                <w:sz w:val="18"/>
              </w:rPr>
              <w:t>220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73.8</w:t>
            </w:r>
          </w:p>
        </w:tc>
        <w:tc>
          <w:tcPr>
            <w:tcW w:type="dxa" w:w="1814"/>
            <w:shd w:val="clear" w:color="auto" w:fill="F2F4F7"/>
          </w:tcPr>
          <w:p>
            <w:pPr>
              <w:spacing w:after="0" w:line="240" w:lineRule="auto"/>
              <w:jc w:val="right"/>
            </w:pPr>
            <w:r/>
            <w:r>
              <w:rPr>
                <w:sz w:val="18"/>
              </w:rPr>
              <w:t>114.8</w:t>
            </w:r>
          </w:p>
        </w:tc>
        <w:tc>
          <w:tcPr>
            <w:tcW w:type="dxa" w:w="1928"/>
            <w:shd w:val="clear" w:color="auto" w:fill="F2F4F7"/>
          </w:tcPr>
          <w:p>
            <w:pPr>
              <w:spacing w:after="0" w:line="240" w:lineRule="auto"/>
              <w:jc w:val="right"/>
            </w:pPr>
            <w:r/>
            <w:r>
              <w:rPr>
                <w:sz w:val="18"/>
              </w:rPr>
              <w:t>330</w:t>
            </w:r>
          </w:p>
        </w:tc>
        <w:tc>
          <w:tcPr>
            <w:tcW w:type="dxa" w:w="1871"/>
            <w:shd w:val="clear" w:color="auto" w:fill="F2F4F7"/>
          </w:tcPr>
          <w:p>
            <w:pPr>
              <w:spacing w:after="0" w:line="240" w:lineRule="auto"/>
              <w:jc w:val="right"/>
            </w:pPr>
            <w:r/>
            <w:r>
              <w:rPr>
                <w:sz w:val="18"/>
              </w:rPr>
              <w:t>220</w:t>
            </w:r>
          </w:p>
        </w:tc>
      </w:tr>
      <w:tr>
        <w:trPr>
          <w:cantSplit/>
        </w:trPr>
        <w:tc>
          <w:tcPr>
            <w:tcW w:type="dxa" w:w="1928"/>
          </w:tcPr>
          <w:p>
            <w:pPr>
              <w:spacing w:after="0" w:line="240" w:lineRule="auto"/>
            </w:pPr>
            <w:r/>
            <w:r>
              <w:rPr>
                <w:sz w:val="18"/>
              </w:rPr>
              <w:t>Month 39</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125.2</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42</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125.2</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sz w:val="18"/>
              </w:rPr>
              <w:t>Month 45</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62.6</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48</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62.6</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1,076.9</w:t>
            </w:r>
          </w:p>
        </w:tc>
        <w:tc>
          <w:tcPr>
            <w:tcW w:type="dxa" w:w="1814"/>
          </w:tcPr>
          <w:p>
            <w:pPr>
              <w:spacing w:after="0" w:line="240" w:lineRule="auto"/>
              <w:jc w:val="right"/>
            </w:pPr>
            <w:r/>
            <w:r>
              <w:rPr>
                <w:b/>
                <w:sz w:val="18"/>
              </w:rPr>
              <w:t>1,596.9</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3,342 million at modelled prices; the plan sells 80%, EGP 2,674 million. The first two tranches (months 15 and 18) carry the launch list and total EGP 725 million; Option A units come from these.</w:t>
      </w:r>
    </w:p>
    <w:p>
      <w:pPr>
        <w:keepNext/>
        <w:spacing w:after="60"/>
      </w:pPr>
      <w:r>
        <w:rPr>
          <w:b/>
          <w:color w:val="17324D"/>
          <w:sz w:val="19"/>
        </w:rPr>
        <w:t>Table 11: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-85.0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-85.0</w:t>
            </w:r>
          </w:p>
        </w:tc>
        <w:tc>
          <w:tcPr>
            <w:tcW w:type="dxa" w:w="1361"/>
          </w:tcPr>
          <w:p>
            <w:pPr>
              <w:spacing w:after="0" w:line="240" w:lineRule="auto"/>
              <w:jc w:val="right"/>
            </w:pPr>
            <w:r/>
            <w:r>
              <w:rPr>
                <w:sz w:val="18"/>
              </w:rPr>
              <w:t>-85.0</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181.6</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-53.4</w:t>
            </w:r>
          </w:p>
        </w:tc>
        <w:tc>
          <w:tcPr>
            <w:tcW w:type="dxa" w:w="1417"/>
            <w:shd w:val="clear" w:color="auto" w:fill="F2F4F7"/>
          </w:tcPr>
          <w:p>
            <w:pPr>
              <w:spacing w:after="0" w:line="240" w:lineRule="auto"/>
              <w:jc w:val="right"/>
            </w:pPr>
            <w:r/>
            <w:r>
              <w:rPr>
                <w:sz w:val="18"/>
              </w:rPr>
              <w:t>38.3</w:t>
            </w:r>
          </w:p>
        </w:tc>
        <w:tc>
          <w:tcPr>
            <w:tcW w:type="dxa" w:w="1361"/>
            <w:shd w:val="clear" w:color="auto" w:fill="F2F4F7"/>
          </w:tcPr>
          <w:p>
            <w:pPr>
              <w:spacing w:after="0" w:line="240" w:lineRule="auto"/>
              <w:jc w:val="right"/>
            </w:pPr>
            <w:r/>
            <w:r>
              <w:rPr>
                <w:sz w:val="18"/>
              </w:rPr>
              <w:t>-46.7</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334.5</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-185.7</w:t>
            </w:r>
          </w:p>
        </w:tc>
        <w:tc>
          <w:tcPr>
            <w:tcW w:type="dxa" w:w="1417"/>
          </w:tcPr>
          <w:p>
            <w:pPr>
              <w:spacing w:after="0" w:line="240" w:lineRule="auto"/>
              <w:jc w:val="right"/>
            </w:pPr>
            <w:r/>
            <w:r>
              <w:rPr>
                <w:sz w:val="18"/>
              </w:rPr>
              <w:t>-31.2</w:t>
            </w:r>
          </w:p>
        </w:tc>
        <w:tc>
          <w:tcPr>
            <w:tcW w:type="dxa" w:w="1361"/>
          </w:tcPr>
          <w:p>
            <w:pPr>
              <w:spacing w:after="0" w:line="240" w:lineRule="auto"/>
              <w:jc w:val="right"/>
            </w:pPr>
            <w:r/>
            <w:r>
              <w:rPr>
                <w:sz w:val="18"/>
              </w:rPr>
              <w:t>-77.9</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1,094.9</w:t>
            </w:r>
          </w:p>
        </w:tc>
        <w:tc>
          <w:tcPr>
            <w:tcW w:type="dxa" w:w="1644"/>
            <w:shd w:val="clear" w:color="auto" w:fill="F2F4F7"/>
          </w:tcPr>
          <w:p>
            <w:pPr>
              <w:spacing w:after="0" w:line="240" w:lineRule="auto"/>
              <w:jc w:val="right"/>
            </w:pPr>
            <w:r/>
            <w:r>
              <w:rPr>
                <w:sz w:val="18"/>
              </w:rPr>
              <w:t>-225.0</w:t>
            </w:r>
          </w:p>
        </w:tc>
        <w:tc>
          <w:tcPr>
            <w:tcW w:type="dxa" w:w="2041"/>
            <w:shd w:val="clear" w:color="auto" w:fill="F2F4F7"/>
          </w:tcPr>
          <w:p>
            <w:pPr>
              <w:spacing w:after="0" w:line="240" w:lineRule="auto"/>
              <w:jc w:val="right"/>
            </w:pPr>
            <w:r/>
            <w:r>
              <w:rPr>
                <w:sz w:val="18"/>
              </w:rPr>
              <w:t>-318.6</w:t>
            </w:r>
          </w:p>
        </w:tc>
        <w:tc>
          <w:tcPr>
            <w:tcW w:type="dxa" w:w="1417"/>
            <w:shd w:val="clear" w:color="auto" w:fill="F2F4F7"/>
          </w:tcPr>
          <w:p>
            <w:pPr>
              <w:spacing w:after="0" w:line="240" w:lineRule="auto"/>
              <w:jc w:val="right"/>
            </w:pPr>
            <w:r/>
            <w:r>
              <w:rPr>
                <w:sz w:val="18"/>
              </w:rPr>
              <w:t>551.3</w:t>
            </w:r>
          </w:p>
        </w:tc>
        <w:tc>
          <w:tcPr>
            <w:tcW w:type="dxa" w:w="1361"/>
            <w:shd w:val="clear" w:color="auto" w:fill="F2F4F7"/>
          </w:tcPr>
          <w:p>
            <w:pPr>
              <w:spacing w:after="0" w:line="240" w:lineRule="auto"/>
              <w:jc w:val="right"/>
            </w:pPr>
            <w:r/>
            <w:r>
              <w:rPr>
                <w:sz w:val="18"/>
              </w:rPr>
              <w:t>473.4</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375.2</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-351.1</w:t>
            </w:r>
          </w:p>
        </w:tc>
        <w:tc>
          <w:tcPr>
            <w:tcW w:type="dxa" w:w="1417"/>
          </w:tcPr>
          <w:p>
            <w:pPr>
              <w:spacing w:after="0" w:line="240" w:lineRule="auto"/>
              <w:jc w:val="right"/>
            </w:pPr>
            <w:r/>
            <w:r>
              <w:rPr>
                <w:sz w:val="18"/>
              </w:rPr>
              <w:t>-155.9</w:t>
            </w:r>
          </w:p>
        </w:tc>
        <w:tc>
          <w:tcPr>
            <w:tcW w:type="dxa" w:w="1361"/>
          </w:tcPr>
          <w:p>
            <w:pPr>
              <w:spacing w:after="0" w:line="240" w:lineRule="auto"/>
              <w:jc w:val="right"/>
            </w:pPr>
            <w:r/>
            <w:r>
              <w:rPr>
                <w:sz w:val="18"/>
              </w:rPr>
              <w:t>317.5</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259.8</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169.8</w:t>
            </w:r>
          </w:p>
        </w:tc>
        <w:tc>
          <w:tcPr>
            <w:tcW w:type="dxa" w:w="1361"/>
            <w:shd w:val="clear" w:color="auto" w:fill="F2F4F7"/>
          </w:tcPr>
          <w:p>
            <w:pPr>
              <w:spacing w:after="0" w:line="240" w:lineRule="auto"/>
              <w:jc w:val="right"/>
            </w:pPr>
            <w:r/>
            <w:r>
              <w:rPr>
                <w:sz w:val="18"/>
              </w:rPr>
              <w:t>487.4</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204.2</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204.2</w:t>
            </w:r>
          </w:p>
        </w:tc>
        <w:tc>
          <w:tcPr>
            <w:tcW w:type="dxa" w:w="1361"/>
          </w:tcPr>
          <w:p>
            <w:pPr>
              <w:spacing w:after="0" w:line="240" w:lineRule="auto"/>
              <w:jc w:val="right"/>
            </w:pPr>
            <w:r/>
            <w:r>
              <w:rPr>
                <w:sz w:val="18"/>
              </w:rPr>
              <w:t>691.5</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142.8</w:t>
            </w:r>
          </w:p>
        </w:tc>
        <w:tc>
          <w:tcPr>
            <w:tcW w:type="dxa" w:w="1644"/>
            <w:shd w:val="clear" w:color="auto" w:fill="F2F4F7"/>
          </w:tcPr>
          <w:p>
            <w:pPr>
              <w:spacing w:after="0" w:line="240" w:lineRule="auto"/>
              <w:jc w:val="right"/>
            </w:pPr>
            <w:r/>
            <w:r>
              <w:rPr>
                <w:sz w:val="18"/>
              </w:rPr>
              <w:t>-284.4</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-141.6</w:t>
            </w:r>
          </w:p>
        </w:tc>
        <w:tc>
          <w:tcPr>
            <w:tcW w:type="dxa" w:w="1361"/>
            <w:shd w:val="clear" w:color="auto" w:fill="F2F4F7"/>
          </w:tcPr>
          <w:p>
            <w:pPr>
              <w:spacing w:after="0" w:line="240" w:lineRule="auto"/>
              <w:jc w:val="right"/>
            </w:pPr>
            <w:r/>
            <w:r>
              <w:rPr>
                <w:sz w:val="18"/>
              </w:rPr>
              <w:t>549.9</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66.2</w:t>
            </w:r>
          </w:p>
        </w:tc>
        <w:tc>
          <w:tcPr>
            <w:tcW w:type="dxa" w:w="1644"/>
          </w:tcPr>
          <w:p>
            <w:pPr>
              <w:spacing w:after="0" w:line="240" w:lineRule="auto"/>
              <w:jc w:val="right"/>
            </w:pPr>
            <w:r/>
            <w:r>
              <w:rPr>
                <w:sz w:val="18"/>
              </w:rPr>
              <w:t>-29.0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37.2</w:t>
            </w:r>
          </w:p>
        </w:tc>
        <w:tc>
          <w:tcPr>
            <w:tcW w:type="dxa" w:w="1361"/>
          </w:tcPr>
          <w:p>
            <w:pPr>
              <w:spacing w:after="0" w:line="240" w:lineRule="auto"/>
              <w:jc w:val="right"/>
            </w:pPr>
            <w:r/>
            <w:r>
              <w:rPr>
                <w:sz w:val="18"/>
              </w:rPr>
              <w:t>587.1</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14.5</w:t>
            </w:r>
          </w:p>
        </w:tc>
        <w:tc>
          <w:tcPr>
            <w:tcW w:type="dxa" w:w="1644"/>
            <w:shd w:val="clear" w:color="auto" w:fill="F2F4F7"/>
          </w:tcPr>
          <w:p>
            <w:pPr>
              <w:spacing w:after="0" w:line="240" w:lineRule="auto"/>
              <w:jc w:val="right"/>
            </w:pPr>
            <w:r/>
            <w:r>
              <w:rPr>
                <w:sz w:val="18"/>
              </w:rPr>
              <w:t>-6.3</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8.2</w:t>
            </w:r>
          </w:p>
        </w:tc>
        <w:tc>
          <w:tcPr>
            <w:tcW w:type="dxa" w:w="1361"/>
            <w:shd w:val="clear" w:color="auto" w:fill="F2F4F7"/>
          </w:tcPr>
          <w:p>
            <w:pPr>
              <w:spacing w:after="0" w:line="240" w:lineRule="auto"/>
              <w:jc w:val="right"/>
            </w:pPr>
            <w:r/>
            <w:r>
              <w:rPr>
                <w:sz w:val="18"/>
              </w:rPr>
              <w:t>595.3</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595.3</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2,673.7</w:t>
            </w:r>
          </w:p>
        </w:tc>
        <w:tc>
          <w:tcPr>
            <w:tcW w:type="dxa" w:w="1644"/>
            <w:shd w:val="clear" w:color="auto" w:fill="F2F4F7"/>
          </w:tcPr>
          <w:p>
            <w:pPr>
              <w:spacing w:after="0" w:line="240" w:lineRule="auto"/>
              <w:jc w:val="right"/>
            </w:pPr>
            <w:r/>
            <w:r>
              <w:rPr>
                <w:b/>
                <w:sz w:val="18"/>
              </w:rPr>
              <w:t>-1,169.8</w:t>
            </w:r>
          </w:p>
        </w:tc>
        <w:tc>
          <w:tcPr>
            <w:tcW w:type="dxa" w:w="2041"/>
            <w:shd w:val="clear" w:color="auto" w:fill="F2F4F7"/>
          </w:tcPr>
          <w:p>
            <w:pPr>
              <w:spacing w:after="0" w:line="240" w:lineRule="auto"/>
              <w:jc w:val="right"/>
            </w:pPr>
            <w:r/>
            <w:r>
              <w:rPr>
                <w:b/>
                <w:sz w:val="18"/>
              </w:rPr>
              <w:t>-908.7</w:t>
            </w:r>
          </w:p>
        </w:tc>
        <w:tc>
          <w:tcPr>
            <w:tcW w:type="dxa" w:w="1417"/>
            <w:shd w:val="clear" w:color="auto" w:fill="F2F4F7"/>
          </w:tcPr>
          <w:p>
            <w:pPr>
              <w:spacing w:after="0" w:line="240" w:lineRule="auto"/>
              <w:jc w:val="right"/>
            </w:pPr>
            <w:r/>
            <w:r>
              <w:rPr>
                <w:b/>
                <w:sz w:val="18"/>
              </w:rPr>
              <w:t>595.3</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45.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12: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52.0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106.9</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908.7</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308 million to EGP 258 million; a 20% overrun to EGP 208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13: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85.0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17.0</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112.5</w:t>
            </w:r>
          </w:p>
        </w:tc>
      </w:tr>
    </w:tbl>
    <w:p>
      <w:pPr>
        <w:spacing w:after="80"/>
      </w:pPr>
    </w:p>
    <w:p>
      <w:pPr>
        <w:keepNext/>
        <w:spacing w:after="60"/>
      </w:pPr>
      <w:r>
        <w:rPr>
          <w:b/>
          <w:color w:val="17324D"/>
          <w:sz w:val="19"/>
        </w:rPr>
        <w:t>Table 14: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 (applied to uses)</w:t>
            </w:r>
          </w:p>
        </w:tc>
        <w:tc>
          <w:tcPr>
            <w:tcW w:type="dxa" w:w="2041"/>
          </w:tcPr>
          <w:p>
            <w:pPr>
              <w:spacing w:after="0" w:line="240" w:lineRule="auto"/>
              <w:jc w:val="right"/>
            </w:pPr>
            <w:r/>
            <w:r>
              <w:rPr>
                <w:sz w:val="19"/>
              </w:rPr>
              <w:t>112.5</w:t>
            </w:r>
          </w:p>
        </w:tc>
        <w:tc>
          <w:tcPr>
            <w:tcW w:type="dxa" w:w="2098"/>
          </w:tcPr>
          <w:p>
            <w:pPr>
              <w:spacing w:after="0" w:line="240" w:lineRule="auto"/>
              <w:jc w:val="right"/>
            </w:pPr>
            <w:r/>
            <w:r>
              <w:rPr>
                <w:sz w:val="19"/>
              </w:rPr>
              <w:t>100%</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0.0</w:t>
            </w:r>
          </w:p>
        </w:tc>
        <w:tc>
          <w:tcPr>
            <w:tcW w:type="dxa" w:w="2098"/>
            <w:shd w:val="clear" w:color="auto" w:fill="F2F4F7"/>
          </w:tcPr>
          <w:p>
            <w:pPr>
              <w:spacing w:after="0" w:line="240" w:lineRule="auto"/>
              <w:jc w:val="right"/>
            </w:pPr>
            <w:r/>
            <w:r>
              <w:rPr>
                <w:sz w:val="19"/>
              </w:rPr>
              <w:t>0%</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12.5</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125.0</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123% of the modelled peak cumulative shortage of EGP 102.0 million (month 30).</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Ticket above the modelled peak.</w:t>
            </w:r>
            <w:r>
              <w:rPr>
                <w:b w:val="0"/>
                <w:i w:val="0"/>
                <w:sz w:val="20"/>
              </w:rPr>
              <w:t xml:space="preserve"> The ticket exceeds the modelled peak shortage by EGP 23.0 million (12.5 million above total modelled uses). The excess is general project liquidity, not held in a restricted account. It is available for the timing risk on delivery payments (peak shortage EGP 244 million if they arrive at handover) and for pre-construction cost overruns. Returns are contractual on the full ticket, so Jalour's cost of capital is measured on the full amount.</w:t>
            </w:r>
          </w:p>
        </w:tc>
      </w:tr>
    </w:tbl>
    <w:p>
      <w:pPr>
        <w:spacing w:after="80"/>
      </w:pPr>
    </w:p>
    <w:p>
      <w:pPr>
        <w:pStyle w:val="Heading2"/>
      </w:pPr>
      <w:r>
        <w:t>11.1 Funding gaps in stress cases</w:t>
      </w:r>
    </w:p>
    <w:p>
      <w:pPr>
        <w:keepNext/>
        <w:spacing w:after="60"/>
      </w:pPr>
      <w:r>
        <w:rPr>
          <w:b/>
          <w:color w:val="17324D"/>
          <w:sz w:val="19"/>
        </w:rPr>
        <w:t>Table 15: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308</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849</w:t>
            </w:r>
          </w:p>
        </w:tc>
        <w:tc>
          <w:tcPr>
            <w:tcW w:type="dxa" w:w="1984"/>
            <w:shd w:val="clear" w:color="auto" w:fill="F2F4F7"/>
          </w:tcPr>
          <w:p>
            <w:pPr>
              <w:spacing w:after="0" w:line="240" w:lineRule="auto"/>
              <w:jc w:val="right"/>
            </w:pPr>
            <w:r/>
            <w:r>
              <w:rPr>
                <w:sz w:val="18"/>
              </w:rPr>
              <w:t>40</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88</w:t>
            </w:r>
          </w:p>
        </w:tc>
        <w:tc>
          <w:tcPr>
            <w:tcW w:type="dxa" w:w="1984"/>
          </w:tcPr>
          <w:p>
            <w:pPr>
              <w:spacing w:after="0" w:line="240" w:lineRule="auto"/>
              <w:jc w:val="right"/>
            </w:pPr>
            <w:r/>
            <w:r>
              <w:rPr>
                <w:sz w:val="18"/>
              </w:rPr>
              <w:t>412</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117</w:t>
            </w:r>
          </w:p>
        </w:tc>
        <w:tc>
          <w:tcPr>
            <w:tcW w:type="dxa" w:w="1984"/>
            <w:shd w:val="clear" w:color="auto" w:fill="F2F4F7"/>
          </w:tcPr>
          <w:p>
            <w:pPr>
              <w:spacing w:after="0" w:line="240" w:lineRule="auto"/>
              <w:jc w:val="right"/>
            </w:pPr>
            <w:r/>
            <w:r>
              <w:rPr>
                <w:sz w:val="18"/>
              </w:rPr>
              <w:t>258</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381</w:t>
            </w:r>
          </w:p>
        </w:tc>
        <w:tc>
          <w:tcPr>
            <w:tcW w:type="dxa" w:w="1984"/>
          </w:tcPr>
          <w:p>
            <w:pPr>
              <w:spacing w:after="0" w:line="240" w:lineRule="auto"/>
              <w:jc w:val="right"/>
            </w:pPr>
            <w:r/>
            <w:r>
              <w:rPr>
                <w:sz w:val="18"/>
              </w:rPr>
              <w:t>209</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244</w:t>
            </w:r>
          </w:p>
        </w:tc>
        <w:tc>
          <w:tcPr>
            <w:tcW w:type="dxa" w:w="1984"/>
            <w:shd w:val="clear" w:color="auto" w:fill="F2F4F7"/>
          </w:tcPr>
          <w:p>
            <w:pPr>
              <w:spacing w:after="0" w:line="240" w:lineRule="auto"/>
              <w:jc w:val="right"/>
            </w:pPr>
            <w:r/>
            <w:r>
              <w:rPr>
                <w:sz w:val="18"/>
              </w:rPr>
              <w:t>275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849</w:t>
            </w:r>
          </w:p>
        </w:tc>
        <w:tc>
          <w:tcPr>
            <w:tcW w:type="dxa" w:w="1984"/>
          </w:tcPr>
          <w:p>
            <w:pPr>
              <w:spacing w:after="0" w:line="240" w:lineRule="auto"/>
              <w:jc w:val="right"/>
            </w:pPr>
            <w:r/>
            <w:r>
              <w:rPr>
                <w:sz w:val="18"/>
              </w:rPr>
              <w:t>14</w:t>
            </w:r>
          </w:p>
        </w:tc>
      </w:tr>
    </w:tbl>
    <w:p>
      <w:pPr>
        <w:spacing w:after="80"/>
      </w:pPr>
    </w:p>
    <w:p>
      <w:r>
        <w:rPr>
          <w:b w:val="0"/>
          <w:i w:val="0"/>
        </w:rPr>
        <w:t>Jalour will fund the gap between project cash and the cases above from sponsor equity or other capital sources it procures;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16: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250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15 and 18), EGP 725 million at list; the investor receives 34.5%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77.2 million (309 m2) and offices EGP 172.8 million (1,080 m2)</w:t>
            </w:r>
          </w:p>
        </w:tc>
      </w:tr>
      <w:tr>
        <w:trPr>
          <w:cantSplit/>
        </w:trPr>
        <w:tc>
          <w:tcPr>
            <w:tcW w:type="dxa" w:w="2154"/>
            <w:shd w:val="clear" w:color="auto" w:fill="F2F4F7"/>
          </w:tcPr>
          <w:p>
            <w:pPr>
              <w:spacing w:after="0" w:line="240" w:lineRule="auto"/>
            </w:pPr>
            <w:r/>
            <w:r>
              <w:rPr>
                <w:b/>
                <w:sz w:val="19"/>
              </w:rPr>
              <w:t>Value at final list</w:t>
            </w:r>
          </w:p>
        </w:tc>
        <w:tc>
          <w:tcPr>
            <w:tcW w:type="dxa" w:w="7087"/>
            <w:shd w:val="clear" w:color="auto" w:fill="F2F4F7"/>
          </w:tcPr>
          <w:p>
            <w:pPr>
              <w:spacing w:after="0" w:line="240" w:lineRule="auto"/>
            </w:pPr>
            <w:r/>
            <w:r>
              <w:rPr>
                <w:sz w:val="19"/>
              </w:rPr>
              <w:t>EGP 370 million (1.481x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88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54; resale over four quarters from month 57;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17: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288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23.96 million in months 39 to 72</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18: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39</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23.96</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42</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47.92</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45</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71.88</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48</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95.83</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51</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119.79</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54</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143.75</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57</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167.71</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60</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191.67</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63</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215.62</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66</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239.58</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69</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263.54</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72</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287.50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12.</w:t>
      </w:r>
    </w:p>
    <w:p>
      <w:pPr>
        <w:pStyle w:val="Heading2"/>
      </w:pPr>
      <w:r>
        <w:t>13.1 Option A</w:t>
      </w:r>
    </w:p>
    <w:p>
      <w:pPr>
        <w:keepNext/>
        <w:spacing w:after="60"/>
      </w:pPr>
      <w:r>
        <w:rPr>
          <w:b/>
          <w:color w:val="17324D"/>
          <w:sz w:val="19"/>
        </w:rPr>
        <w:t>Table 19: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final list price; 3% cost</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2.87x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20.4%</w:t>
            </w:r>
          </w:p>
        </w:tc>
        <w:tc>
          <w:tcPr>
            <w:tcW w:type="dxa" w:w="1701"/>
            <w:shd w:val="clear" w:color="auto" w:fill="F2F4F7"/>
          </w:tcPr>
          <w:p>
            <w:pPr>
              <w:spacing w:after="0" w:line="240" w:lineRule="auto"/>
              <w:jc w:val="right"/>
            </w:pPr>
            <w:r/>
            <w:r>
              <w:rPr>
                <w:sz w:val="19"/>
              </w:rPr>
              <w:t>2.59x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32.3%</w:t>
            </w:r>
          </w:p>
        </w:tc>
        <w:tc>
          <w:tcPr>
            <w:tcW w:type="dxa" w:w="1701"/>
          </w:tcPr>
          <w:p>
            <w:pPr>
              <w:spacing w:after="0" w:line="240" w:lineRule="auto"/>
              <w:jc w:val="right"/>
            </w:pPr>
            <w:r/>
            <w:r>
              <w:rPr>
                <w:sz w:val="19"/>
              </w:rPr>
              <w:t>3.16x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27.5%</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31.7%</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17.5%</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35% of the final list price before the investor loses money on the ticket. The base case relies on list prices rising by 44% (retail) and 50% (offices); with no appreciation the units return 1.94x.</w:t>
      </w:r>
    </w:p>
    <w:p>
      <w:pPr>
        <w:keepNext/>
        <w:spacing w:after="60"/>
      </w:pPr>
      <w:r>
        <w:rPr>
          <w:b/>
          <w:color w:val="17324D"/>
          <w:sz w:val="19"/>
        </w:rPr>
        <w:t>Table 20: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20.5%</w:t>
            </w:r>
          </w:p>
        </w:tc>
        <w:tc>
          <w:tcPr>
            <w:tcW w:type="dxa" w:w="2324"/>
          </w:tcPr>
          <w:p>
            <w:pPr>
              <w:spacing w:after="0" w:line="240" w:lineRule="auto"/>
              <w:jc w:val="right"/>
            </w:pPr>
            <w:r/>
            <w:r>
              <w:rPr>
                <w:sz w:val="19"/>
              </w:rPr>
              <w:t>2.16x</w:t>
            </w:r>
          </w:p>
        </w:tc>
        <w:tc>
          <w:tcPr>
            <w:tcW w:type="dxa" w:w="2665"/>
          </w:tcPr>
          <w:p>
            <w:pPr>
              <w:spacing w:after="0" w:line="240" w:lineRule="auto"/>
              <w:jc w:val="right"/>
            </w:pPr>
            <w:r/>
            <w:r>
              <w:rPr>
                <w:sz w:val="19"/>
              </w:rPr>
              <w:t>11.3%</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25.1%</w:t>
            </w:r>
          </w:p>
        </w:tc>
        <w:tc>
          <w:tcPr>
            <w:tcW w:type="dxa" w:w="2324"/>
            <w:shd w:val="clear" w:color="auto" w:fill="F2F4F7"/>
          </w:tcPr>
          <w:p>
            <w:pPr>
              <w:spacing w:after="0" w:line="240" w:lineRule="auto"/>
              <w:jc w:val="right"/>
            </w:pPr>
            <w:r/>
            <w:r>
              <w:rPr>
                <w:sz w:val="19"/>
              </w:rPr>
              <w:t>2.51x</w:t>
            </w:r>
          </w:p>
        </w:tc>
        <w:tc>
          <w:tcPr>
            <w:tcW w:type="dxa" w:w="2665"/>
            <w:shd w:val="clear" w:color="auto" w:fill="F2F4F7"/>
          </w:tcPr>
          <w:p>
            <w:pPr>
              <w:spacing w:after="0" w:line="240" w:lineRule="auto"/>
              <w:jc w:val="right"/>
            </w:pPr>
            <w:r/>
            <w:r>
              <w:rPr>
                <w:sz w:val="19"/>
              </w:rPr>
              <w:t>17.0%</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29.2%</w:t>
            </w:r>
          </w:p>
        </w:tc>
        <w:tc>
          <w:tcPr>
            <w:tcW w:type="dxa" w:w="2324"/>
          </w:tcPr>
          <w:p>
            <w:pPr>
              <w:spacing w:after="0" w:line="240" w:lineRule="auto"/>
              <w:jc w:val="right"/>
            </w:pPr>
            <w:r/>
            <w:r>
              <w:rPr>
                <w:sz w:val="19"/>
              </w:rPr>
              <w:t>2.87x</w:t>
            </w:r>
          </w:p>
        </w:tc>
        <w:tc>
          <w:tcPr>
            <w:tcW w:type="dxa" w:w="2665"/>
          </w:tcPr>
          <w:p>
            <w:pPr>
              <w:spacing w:after="0" w:line="240" w:lineRule="auto"/>
              <w:jc w:val="right"/>
            </w:pPr>
            <w:r/>
            <w:r>
              <w:rPr>
                <w:sz w:val="19"/>
              </w:rPr>
              <w:t>22.6%</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33.0%</w:t>
            </w:r>
          </w:p>
        </w:tc>
        <w:tc>
          <w:tcPr>
            <w:tcW w:type="dxa" w:w="2324"/>
            <w:shd w:val="clear" w:color="auto" w:fill="F2F4F7"/>
          </w:tcPr>
          <w:p>
            <w:pPr>
              <w:spacing w:after="0" w:line="240" w:lineRule="auto"/>
              <w:jc w:val="right"/>
            </w:pPr>
            <w:r/>
            <w:r>
              <w:rPr>
                <w:sz w:val="19"/>
              </w:rPr>
              <w:t>3.23x</w:t>
            </w:r>
          </w:p>
        </w:tc>
        <w:tc>
          <w:tcPr>
            <w:tcW w:type="dxa" w:w="2665"/>
            <w:shd w:val="clear" w:color="auto" w:fill="F2F4F7"/>
          </w:tcPr>
          <w:p>
            <w:pPr>
              <w:spacing w:after="0" w:line="240" w:lineRule="auto"/>
              <w:jc w:val="right"/>
            </w:pPr>
            <w:r/>
            <w:r>
              <w:rPr>
                <w:sz w:val="19"/>
              </w:rPr>
              <w:t>28.0%</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36.5%</w:t>
            </w:r>
          </w:p>
        </w:tc>
        <w:tc>
          <w:tcPr>
            <w:tcW w:type="dxa" w:w="2324"/>
          </w:tcPr>
          <w:p>
            <w:pPr>
              <w:spacing w:after="0" w:line="240" w:lineRule="auto"/>
              <w:jc w:val="right"/>
            </w:pPr>
            <w:r/>
            <w:r>
              <w:rPr>
                <w:sz w:val="19"/>
              </w:rPr>
              <w:t>3.59x</w:t>
            </w:r>
          </w:p>
        </w:tc>
        <w:tc>
          <w:tcPr>
            <w:tcW w:type="dxa" w:w="2665"/>
          </w:tcPr>
          <w:p>
            <w:pPr>
              <w:spacing w:after="0" w:line="240" w:lineRule="auto"/>
              <w:jc w:val="right"/>
            </w:pPr>
            <w:r/>
            <w:r>
              <w:rPr>
                <w:sz w:val="19"/>
              </w:rPr>
              <w:t>33.3%</w:t>
            </w:r>
          </w:p>
        </w:tc>
      </w:tr>
    </w:tbl>
    <w:p>
      <w:pPr>
        <w:spacing w:after="80"/>
      </w:pPr>
    </w:p>
    <w:p>
      <w:r>
        <w:rPr>
          <w:b/>
          <w:i w:val="0"/>
        </w:rPr>
        <w:t>Cost to Jalour.</w:t>
      </w:r>
      <w:r>
        <w:rPr>
          <w:b w:val="0"/>
          <w:i w:val="0"/>
        </w:rPr>
        <w:t xml:space="preserve"> Giving the investor units from the first two sales tranches removes 35% of those tranches' collections. Jalour receives the ticket at funding and forgoes those collections (the units' face value of EGP 250 million at list) as they would have been received, partly offset by commission saved. The landlord share is unchanged. On this basis Jalour's cost of capital is 22.6%; the NPV effect at 14% is EGP -26.0 million and the project NPV after the deal is EGP 282 million (before: 308). Peak cumulative shortage before the ticket rises to EGP 146.6 million. If the same area were taken pro rata from all tranches (at higher average prices) the cost would be 31.6%.</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21: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0</w:t>
            </w:r>
          </w:p>
        </w:tc>
        <w:tc>
          <w:tcPr>
            <w:tcW w:type="dxa" w:w="1474"/>
            <w:shd w:val="clear" w:color="auto" w:fill="F2F4F7"/>
          </w:tcPr>
          <w:p>
            <w:pPr>
              <w:spacing w:after="0" w:line="240" w:lineRule="auto"/>
              <w:jc w:val="right"/>
            </w:pPr>
            <w:r/>
            <w:r>
              <w:rPr>
                <w:sz w:val="19"/>
              </w:rPr>
              <w:t>-867</w:t>
            </w:r>
          </w:p>
        </w:tc>
        <w:tc>
          <w:tcPr>
            <w:tcW w:type="dxa" w:w="1474"/>
            <w:shd w:val="clear" w:color="auto" w:fill="F2F4F7"/>
          </w:tcPr>
          <w:p>
            <w:pPr>
              <w:spacing w:after="0" w:line="240" w:lineRule="auto"/>
              <w:jc w:val="right"/>
            </w:pPr>
            <w:r/>
            <w:r>
              <w:rPr>
                <w:sz w:val="19"/>
              </w:rPr>
              <w:t>0</w:t>
            </w:r>
          </w:p>
        </w:tc>
        <w:tc>
          <w:tcPr>
            <w:tcW w:type="dxa" w:w="1474"/>
            <w:shd w:val="clear" w:color="auto" w:fill="F2F4F7"/>
          </w:tcPr>
          <w:p>
            <w:pPr>
              <w:spacing w:after="0" w:line="240" w:lineRule="auto"/>
              <w:jc w:val="right"/>
            </w:pPr>
            <w:r/>
            <w:r>
              <w:rPr>
                <w:sz w:val="19"/>
              </w:rPr>
              <w:t>-239</w:t>
            </w:r>
          </w:p>
        </w:tc>
      </w:tr>
    </w:tbl>
    <w:p>
      <w:pPr>
        <w:spacing w:after="80"/>
      </w:pPr>
    </w:p>
    <w:p>
      <w:r>
        <w:rPr>
          <w:b w:val="0"/>
          <w:i w:val="0"/>
        </w:rPr>
        <w:t>In the base case the lowest pooled cash of EGP 0.0 million arises in month 3,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22: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39</w:t>
            </w:r>
          </w:p>
        </w:tc>
        <w:tc>
          <w:tcPr>
            <w:tcW w:type="dxa" w:w="2268"/>
          </w:tcPr>
          <w:p>
            <w:pPr>
              <w:spacing w:after="0" w:line="240" w:lineRule="auto"/>
              <w:jc w:val="right"/>
            </w:pPr>
            <w:r/>
            <w:r>
              <w:rPr>
                <w:sz w:val="18"/>
              </w:rPr>
              <w:t>45.0</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1.9x</w:t>
            </w:r>
          </w:p>
        </w:tc>
        <w:tc>
          <w:tcPr>
            <w:tcW w:type="dxa" w:w="2041"/>
          </w:tcPr>
          <w:p>
            <w:pPr>
              <w:spacing w:after="0" w:line="240" w:lineRule="auto"/>
              <w:jc w:val="right"/>
            </w:pPr>
            <w:r/>
            <w:r>
              <w:rPr>
                <w:sz w:val="18"/>
              </w:rPr>
              <w:t>3.8x</w:t>
            </w:r>
          </w:p>
        </w:tc>
      </w:tr>
      <w:tr>
        <w:trPr>
          <w:cantSplit/>
        </w:trPr>
        <w:tc>
          <w:tcPr>
            <w:tcW w:type="dxa" w:w="1134"/>
            <w:shd w:val="clear" w:color="auto" w:fill="F2F4F7"/>
          </w:tcPr>
          <w:p>
            <w:pPr>
              <w:spacing w:after="0" w:line="240" w:lineRule="auto"/>
            </w:pPr>
            <w:r/>
            <w:r>
              <w:rPr>
                <w:sz w:val="18"/>
              </w:rPr>
              <w:t>42</w:t>
            </w:r>
          </w:p>
        </w:tc>
        <w:tc>
          <w:tcPr>
            <w:tcW w:type="dxa" w:w="2268"/>
            <w:shd w:val="clear" w:color="auto" w:fill="F2F4F7"/>
          </w:tcPr>
          <w:p>
            <w:pPr>
              <w:spacing w:after="0" w:line="240" w:lineRule="auto"/>
              <w:jc w:val="right"/>
            </w:pPr>
            <w:r/>
            <w:r>
              <w:rPr>
                <w:sz w:val="18"/>
              </w:rPr>
              <w:t>55.2</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2.3x</w:t>
            </w:r>
          </w:p>
        </w:tc>
        <w:tc>
          <w:tcPr>
            <w:tcW w:type="dxa" w:w="2041"/>
            <w:shd w:val="clear" w:color="auto" w:fill="F2F4F7"/>
          </w:tcPr>
          <w:p>
            <w:pPr>
              <w:spacing w:after="0" w:line="240" w:lineRule="auto"/>
              <w:jc w:val="right"/>
            </w:pPr>
            <w:r/>
            <w:r>
              <w:rPr>
                <w:sz w:val="18"/>
              </w:rPr>
              <w:t>5.1x</w:t>
            </w:r>
          </w:p>
        </w:tc>
      </w:tr>
      <w:tr>
        <w:trPr>
          <w:cantSplit/>
        </w:trPr>
        <w:tc>
          <w:tcPr>
            <w:tcW w:type="dxa" w:w="1134"/>
          </w:tcPr>
          <w:p>
            <w:pPr>
              <w:spacing w:after="0" w:line="240" w:lineRule="auto"/>
            </w:pPr>
            <w:r/>
            <w:r>
              <w:rPr>
                <w:sz w:val="18"/>
              </w:rPr>
              <w:t>45</w:t>
            </w:r>
          </w:p>
        </w:tc>
        <w:tc>
          <w:tcPr>
            <w:tcW w:type="dxa" w:w="2268"/>
          </w:tcPr>
          <w:p>
            <w:pPr>
              <w:spacing w:after="0" w:line="240" w:lineRule="auto"/>
              <w:jc w:val="right"/>
            </w:pPr>
            <w:r/>
            <w:r>
              <w:rPr>
                <w:sz w:val="18"/>
              </w:rPr>
              <w:t>481.3</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20.1x</w:t>
            </w:r>
          </w:p>
        </w:tc>
        <w:tc>
          <w:tcPr>
            <w:tcW w:type="dxa" w:w="2041"/>
          </w:tcPr>
          <w:p>
            <w:pPr>
              <w:spacing w:after="0" w:line="240" w:lineRule="auto"/>
              <w:jc w:val="right"/>
            </w:pPr>
            <w:r/>
            <w:r>
              <w:rPr>
                <w:sz w:val="18"/>
              </w:rPr>
              <w:t>24.2x</w:t>
            </w:r>
          </w:p>
        </w:tc>
      </w:tr>
      <w:tr>
        <w:trPr>
          <w:cantSplit/>
        </w:trPr>
        <w:tc>
          <w:tcPr>
            <w:tcW w:type="dxa" w:w="1134"/>
            <w:shd w:val="clear" w:color="auto" w:fill="F2F4F7"/>
          </w:tcPr>
          <w:p>
            <w:pPr>
              <w:spacing w:after="0" w:line="240" w:lineRule="auto"/>
            </w:pPr>
            <w:r/>
            <w:r>
              <w:rPr>
                <w:sz w:val="18"/>
              </w:rPr>
              <w:t>48</w:t>
            </w:r>
          </w:p>
        </w:tc>
        <w:tc>
          <w:tcPr>
            <w:tcW w:type="dxa" w:w="2268"/>
            <w:shd w:val="clear" w:color="auto" w:fill="F2F4F7"/>
          </w:tcPr>
          <w:p>
            <w:pPr>
              <w:spacing w:after="0" w:line="240" w:lineRule="auto"/>
              <w:jc w:val="right"/>
            </w:pPr>
            <w:r/>
            <w:r>
              <w:rPr>
                <w:sz w:val="18"/>
              </w:rPr>
              <w:t>-30.2</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-1.3x</w:t>
            </w:r>
          </w:p>
        </w:tc>
        <w:tc>
          <w:tcPr>
            <w:tcW w:type="dxa" w:w="2041"/>
            <w:shd w:val="clear" w:color="auto" w:fill="F2F4F7"/>
          </w:tcPr>
          <w:p>
            <w:pPr>
              <w:spacing w:after="0" w:line="240" w:lineRule="auto"/>
              <w:jc w:val="right"/>
            </w:pPr>
            <w:r/>
            <w:r>
              <w:rPr>
                <w:sz w:val="18"/>
              </w:rPr>
              <w:t>22.0x</w:t>
            </w:r>
          </w:p>
        </w:tc>
      </w:tr>
      <w:tr>
        <w:trPr>
          <w:cantSplit/>
        </w:trPr>
        <w:tc>
          <w:tcPr>
            <w:tcW w:type="dxa" w:w="1134"/>
          </w:tcPr>
          <w:p>
            <w:pPr>
              <w:spacing w:after="0" w:line="240" w:lineRule="auto"/>
            </w:pPr>
            <w:r/>
            <w:r>
              <w:rPr>
                <w:sz w:val="18"/>
              </w:rPr>
              <w:t>51</w:t>
            </w:r>
          </w:p>
        </w:tc>
        <w:tc>
          <w:tcPr>
            <w:tcW w:type="dxa" w:w="2268"/>
          </w:tcPr>
          <w:p>
            <w:pPr>
              <w:spacing w:after="0" w:line="240" w:lineRule="auto"/>
              <w:jc w:val="right"/>
            </w:pPr>
            <w:r/>
            <w:r>
              <w:rPr>
                <w:sz w:val="18"/>
              </w:rPr>
              <w:t>-129.2</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-5.4x</w:t>
            </w:r>
          </w:p>
        </w:tc>
        <w:tc>
          <w:tcPr>
            <w:tcW w:type="dxa" w:w="2041"/>
          </w:tcPr>
          <w:p>
            <w:pPr>
              <w:spacing w:after="0" w:line="240" w:lineRule="auto"/>
              <w:jc w:val="right"/>
            </w:pPr>
            <w:r/>
            <w:r>
              <w:rPr>
                <w:sz w:val="18"/>
              </w:rPr>
              <w:t>15.6x</w:t>
            </w:r>
          </w:p>
        </w:tc>
      </w:tr>
      <w:tr>
        <w:trPr>
          <w:cantSplit/>
        </w:trPr>
        <w:tc>
          <w:tcPr>
            <w:tcW w:type="dxa" w:w="1134"/>
            <w:shd w:val="clear" w:color="auto" w:fill="F2F4F7"/>
          </w:tcPr>
          <w:p>
            <w:pPr>
              <w:spacing w:after="0" w:line="240" w:lineRule="auto"/>
            </w:pPr>
            <w:r/>
            <w:r>
              <w:rPr>
                <w:sz w:val="18"/>
              </w:rPr>
              <w:t>54</w:t>
            </w:r>
          </w:p>
        </w:tc>
        <w:tc>
          <w:tcPr>
            <w:tcW w:type="dxa" w:w="2268"/>
            <w:shd w:val="clear" w:color="auto" w:fill="F2F4F7"/>
          </w:tcPr>
          <w:p>
            <w:pPr>
              <w:spacing w:after="0" w:line="240" w:lineRule="auto"/>
              <w:jc w:val="right"/>
            </w:pPr>
            <w:r/>
            <w:r>
              <w:rPr>
                <w:sz w:val="18"/>
              </w:rPr>
              <w:t>-98.4</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-4.1x</w:t>
            </w:r>
          </w:p>
        </w:tc>
        <w:tc>
          <w:tcPr>
            <w:tcW w:type="dxa" w:w="2041"/>
            <w:shd w:val="clear" w:color="auto" w:fill="F2F4F7"/>
          </w:tcPr>
          <w:p>
            <w:pPr>
              <w:spacing w:after="0" w:line="240" w:lineRule="auto"/>
              <w:jc w:val="right"/>
            </w:pPr>
            <w:r/>
            <w:r>
              <w:rPr>
                <w:sz w:val="18"/>
              </w:rPr>
              <w:t>10.5x</w:t>
            </w:r>
          </w:p>
        </w:tc>
      </w:tr>
      <w:tr>
        <w:trPr>
          <w:cantSplit/>
        </w:trPr>
        <w:tc>
          <w:tcPr>
            <w:tcW w:type="dxa" w:w="1134"/>
          </w:tcPr>
          <w:p>
            <w:pPr>
              <w:spacing w:after="0" w:line="240" w:lineRule="auto"/>
            </w:pPr>
            <w:r/>
            <w:r>
              <w:rPr>
                <w:sz w:val="18"/>
              </w:rPr>
              <w:t>57</w:t>
            </w:r>
          </w:p>
        </w:tc>
        <w:tc>
          <w:tcPr>
            <w:tcW w:type="dxa" w:w="2268"/>
          </w:tcPr>
          <w:p>
            <w:pPr>
              <w:spacing w:after="0" w:line="240" w:lineRule="auto"/>
              <w:jc w:val="right"/>
            </w:pPr>
            <w:r/>
            <w:r>
              <w:rPr>
                <w:sz w:val="18"/>
              </w:rPr>
              <w:t>36.8</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1.5x</w:t>
            </w:r>
          </w:p>
        </w:tc>
        <w:tc>
          <w:tcPr>
            <w:tcW w:type="dxa" w:w="2041"/>
          </w:tcPr>
          <w:p>
            <w:pPr>
              <w:spacing w:after="0" w:line="240" w:lineRule="auto"/>
              <w:jc w:val="right"/>
            </w:pPr>
            <w:r/>
            <w:r>
              <w:rPr>
                <w:sz w:val="18"/>
              </w:rPr>
              <w:t>11.0x</w:t>
            </w:r>
          </w:p>
        </w:tc>
      </w:tr>
      <w:tr>
        <w:trPr>
          <w:cantSplit/>
        </w:trPr>
        <w:tc>
          <w:tcPr>
            <w:tcW w:type="dxa" w:w="1134"/>
            <w:shd w:val="clear" w:color="auto" w:fill="F2F4F7"/>
          </w:tcPr>
          <w:p>
            <w:pPr>
              <w:spacing w:after="0" w:line="240" w:lineRule="auto"/>
            </w:pPr>
            <w:r/>
            <w:r>
              <w:rPr>
                <w:sz w:val="18"/>
              </w:rPr>
              <w:t>60</w:t>
            </w:r>
          </w:p>
        </w:tc>
        <w:tc>
          <w:tcPr>
            <w:tcW w:type="dxa" w:w="2268"/>
            <w:shd w:val="clear" w:color="auto" w:fill="F2F4F7"/>
          </w:tcPr>
          <w:p>
            <w:pPr>
              <w:spacing w:after="0" w:line="240" w:lineRule="auto"/>
              <w:jc w:val="right"/>
            </w:pPr>
            <w:r/>
            <w:r>
              <w:rPr>
                <w:sz w:val="18"/>
              </w:rPr>
              <w:t>35.0</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1.5x</w:t>
            </w:r>
          </w:p>
        </w:tc>
        <w:tc>
          <w:tcPr>
            <w:tcW w:type="dxa" w:w="2041"/>
            <w:shd w:val="clear" w:color="auto" w:fill="F2F4F7"/>
          </w:tcPr>
          <w:p>
            <w:pPr>
              <w:spacing w:after="0" w:line="240" w:lineRule="auto"/>
              <w:jc w:val="right"/>
            </w:pPr>
            <w:r/>
            <w:r>
              <w:rPr>
                <w:sz w:val="18"/>
              </w:rPr>
              <w:t>11.5x</w:t>
            </w:r>
          </w:p>
        </w:tc>
      </w:tr>
      <w:tr>
        <w:trPr>
          <w:cantSplit/>
        </w:trPr>
        <w:tc>
          <w:tcPr>
            <w:tcW w:type="dxa" w:w="1134"/>
          </w:tcPr>
          <w:p>
            <w:pPr>
              <w:spacing w:after="0" w:line="240" w:lineRule="auto"/>
            </w:pPr>
            <w:r/>
            <w:r>
              <w:rPr>
                <w:sz w:val="18"/>
              </w:rPr>
              <w:t>63</w:t>
            </w:r>
          </w:p>
        </w:tc>
        <w:tc>
          <w:tcPr>
            <w:tcW w:type="dxa" w:w="2268"/>
          </w:tcPr>
          <w:p>
            <w:pPr>
              <w:spacing w:after="0" w:line="240" w:lineRule="auto"/>
              <w:jc w:val="right"/>
            </w:pPr>
            <w:r/>
            <w:r>
              <w:rPr>
                <w:sz w:val="18"/>
              </w:rPr>
              <w:t>54.8</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2.3x</w:t>
            </w:r>
          </w:p>
        </w:tc>
        <w:tc>
          <w:tcPr>
            <w:tcW w:type="dxa" w:w="2041"/>
          </w:tcPr>
          <w:p>
            <w:pPr>
              <w:spacing w:after="0" w:line="240" w:lineRule="auto"/>
              <w:jc w:val="right"/>
            </w:pPr>
            <w:r/>
            <w:r>
              <w:rPr>
                <w:sz w:val="18"/>
              </w:rPr>
              <w:t>12.8x</w:t>
            </w:r>
          </w:p>
        </w:tc>
      </w:tr>
      <w:tr>
        <w:trPr>
          <w:cantSplit/>
        </w:trPr>
        <w:tc>
          <w:tcPr>
            <w:tcW w:type="dxa" w:w="1134"/>
            <w:shd w:val="clear" w:color="auto" w:fill="F2F4F7"/>
          </w:tcPr>
          <w:p>
            <w:pPr>
              <w:spacing w:after="0" w:line="240" w:lineRule="auto"/>
            </w:pPr>
            <w:r/>
            <w:r>
              <w:rPr>
                <w:sz w:val="18"/>
              </w:rPr>
              <w:t>66</w:t>
            </w:r>
          </w:p>
        </w:tc>
        <w:tc>
          <w:tcPr>
            <w:tcW w:type="dxa" w:w="2268"/>
            <w:shd w:val="clear" w:color="auto" w:fill="F2F4F7"/>
          </w:tcPr>
          <w:p>
            <w:pPr>
              <w:spacing w:after="0" w:line="240" w:lineRule="auto"/>
              <w:jc w:val="right"/>
            </w:pPr>
            <w:r/>
            <w:r>
              <w:rPr>
                <w:sz w:val="18"/>
              </w:rPr>
              <w:t>47.7</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2.0x</w:t>
            </w:r>
          </w:p>
        </w:tc>
        <w:tc>
          <w:tcPr>
            <w:tcW w:type="dxa" w:w="2041"/>
            <w:shd w:val="clear" w:color="auto" w:fill="F2F4F7"/>
          </w:tcPr>
          <w:p>
            <w:pPr>
              <w:spacing w:after="0" w:line="240" w:lineRule="auto"/>
              <w:jc w:val="right"/>
            </w:pPr>
            <w:r/>
            <w:r>
              <w:rPr>
                <w:sz w:val="18"/>
              </w:rPr>
              <w:t>13.7x</w:t>
            </w:r>
          </w:p>
        </w:tc>
      </w:tr>
      <w:tr>
        <w:trPr>
          <w:cantSplit/>
        </w:trPr>
        <w:tc>
          <w:tcPr>
            <w:tcW w:type="dxa" w:w="1134"/>
          </w:tcPr>
          <w:p>
            <w:pPr>
              <w:spacing w:after="0" w:line="240" w:lineRule="auto"/>
            </w:pPr>
            <w:r/>
            <w:r>
              <w:rPr>
                <w:sz w:val="18"/>
              </w:rPr>
              <w:t>69</w:t>
            </w:r>
          </w:p>
        </w:tc>
        <w:tc>
          <w:tcPr>
            <w:tcW w:type="dxa" w:w="2268"/>
          </w:tcPr>
          <w:p>
            <w:pPr>
              <w:spacing w:after="0" w:line="240" w:lineRule="auto"/>
              <w:jc w:val="right"/>
            </w:pPr>
            <w:r/>
            <w:r>
              <w:rPr>
                <w:sz w:val="18"/>
              </w:rPr>
              <w:t>38.8</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1.6x</w:t>
            </w:r>
          </w:p>
        </w:tc>
        <w:tc>
          <w:tcPr>
            <w:tcW w:type="dxa" w:w="2041"/>
          </w:tcPr>
          <w:p>
            <w:pPr>
              <w:spacing w:after="0" w:line="240" w:lineRule="auto"/>
              <w:jc w:val="right"/>
            </w:pPr>
            <w:r/>
            <w:r>
              <w:rPr>
                <w:sz w:val="18"/>
              </w:rPr>
              <w:t>14.4x</w:t>
            </w:r>
          </w:p>
        </w:tc>
      </w:tr>
      <w:tr>
        <w:trPr>
          <w:cantSplit/>
        </w:trPr>
        <w:tc>
          <w:tcPr>
            <w:tcW w:type="dxa" w:w="1134"/>
            <w:shd w:val="clear" w:color="auto" w:fill="F2F4F7"/>
          </w:tcPr>
          <w:p>
            <w:pPr>
              <w:spacing w:after="0" w:line="240" w:lineRule="auto"/>
            </w:pPr>
            <w:r/>
            <w:r>
              <w:rPr>
                <w:sz w:val="18"/>
              </w:rPr>
              <w:t>72</w:t>
            </w:r>
          </w:p>
        </w:tc>
        <w:tc>
          <w:tcPr>
            <w:tcW w:type="dxa" w:w="2268"/>
            <w:shd w:val="clear" w:color="auto" w:fill="F2F4F7"/>
          </w:tcPr>
          <w:p>
            <w:pPr>
              <w:spacing w:after="0" w:line="240" w:lineRule="auto"/>
              <w:jc w:val="right"/>
            </w:pPr>
            <w:r/>
            <w:r>
              <w:rPr>
                <w:sz w:val="18"/>
              </w:rPr>
              <w:t>28.5</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1.2x</w:t>
            </w:r>
          </w:p>
        </w:tc>
        <w:tc>
          <w:tcPr>
            <w:tcW w:type="dxa" w:w="2041"/>
            <w:shd w:val="clear" w:color="auto" w:fill="F2F4F7"/>
          </w:tcPr>
          <w:p>
            <w:pPr>
              <w:spacing w:after="0" w:line="240" w:lineRule="auto"/>
              <w:jc w:val="right"/>
            </w:pPr>
            <w:r/>
            <w:r>
              <w:rPr>
                <w:sz w:val="18"/>
              </w:rPr>
              <w:t>14.6x</w:t>
            </w:r>
          </w:p>
        </w:tc>
      </w:tr>
    </w:tbl>
    <w:p>
      <w:pPr>
        <w:spacing w:after="80"/>
      </w:pPr>
    </w:p>
    <w:p>
      <w:r>
        <w:rPr>
          <w:b w:val="0"/>
          <w:i w:val="0"/>
        </w:rPr>
        <w:t>Coverage on net cash flow alone is below the 1.5x threshold in 5 of 12 quarters, because instalments fall in the construction peak and in the quarters after handover when collections are thin. "Cash available" adds pooled project cash, including the ticket and earlier collections, and is at least 3.8x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23: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5 of 12</w:t>
            </w:r>
          </w:p>
        </w:tc>
        <w:tc>
          <w:tcPr>
            <w:tcW w:type="dxa" w:w="1587"/>
          </w:tcPr>
          <w:p>
            <w:pPr>
              <w:spacing w:after="0" w:line="240" w:lineRule="auto"/>
              <w:jc w:val="right"/>
            </w:pPr>
            <w:r/>
            <w:r>
              <w:rPr>
                <w:sz w:val="18"/>
              </w:rPr>
              <w:t>-867</w:t>
            </w:r>
          </w:p>
        </w:tc>
        <w:tc>
          <w:tcPr>
            <w:tcW w:type="dxa" w:w="1020"/>
          </w:tcPr>
          <w:p>
            <w:pPr>
              <w:spacing w:after="0" w:line="240" w:lineRule="auto"/>
              <w:jc w:val="right"/>
            </w:pPr>
            <w:r/>
            <w:r>
              <w:rPr>
                <w:sz w:val="18"/>
              </w:rPr>
              <w:t>72</w:t>
            </w:r>
          </w:p>
        </w:tc>
      </w:tr>
      <w:tr>
        <w:trPr>
          <w:cantSplit/>
        </w:trPr>
        <w:tc>
          <w:tcPr>
            <w:tcW w:type="dxa" w:w="3515"/>
            <w:shd w:val="clear" w:color="auto" w:fill="F2F4F7"/>
          </w:tcPr>
          <w:p>
            <w:pPr>
              <w:spacing w:after="0" w:line="240" w:lineRule="auto"/>
            </w:pPr>
            <w:r/>
            <w:r>
              <w:rPr>
                <w:sz w:val="18"/>
              </w:rPr>
              <w:t>S2 24.6% of collections, floor 0.4x, cap 1.5x of instalment</w:t>
            </w:r>
          </w:p>
        </w:tc>
        <w:tc>
          <w:tcPr>
            <w:tcW w:type="dxa" w:w="1417"/>
            <w:shd w:val="clear" w:color="auto" w:fill="F2F4F7"/>
          </w:tcPr>
          <w:p>
            <w:pPr>
              <w:spacing w:after="0" w:line="240" w:lineRule="auto"/>
              <w:jc w:val="right"/>
            </w:pPr>
            <w:r/>
            <w:r>
              <w:rPr>
                <w:sz w:val="18"/>
              </w:rPr>
              <w:t>28.7%</w:t>
            </w:r>
          </w:p>
        </w:tc>
        <w:tc>
          <w:tcPr>
            <w:tcW w:type="dxa" w:w="1701"/>
            <w:shd w:val="clear" w:color="auto" w:fill="F2F4F7"/>
          </w:tcPr>
          <w:p>
            <w:pPr>
              <w:spacing w:after="0" w:line="240" w:lineRule="auto"/>
              <w:jc w:val="right"/>
            </w:pPr>
            <w:r/>
            <w:r>
              <w:rPr>
                <w:sz w:val="18"/>
              </w:rPr>
              <w:t>3 of 12</w:t>
            </w:r>
          </w:p>
        </w:tc>
        <w:tc>
          <w:tcPr>
            <w:tcW w:type="dxa" w:w="1587"/>
            <w:shd w:val="clear" w:color="auto" w:fill="F2F4F7"/>
          </w:tcPr>
          <w:p>
            <w:pPr>
              <w:spacing w:after="0" w:line="240" w:lineRule="auto"/>
              <w:jc w:val="right"/>
            </w:pPr>
            <w:r/>
            <w:r>
              <w:rPr>
                <w:sz w:val="18"/>
              </w:rPr>
              <w:t>-851</w:t>
            </w:r>
          </w:p>
        </w:tc>
        <w:tc>
          <w:tcPr>
            <w:tcW w:type="dxa" w:w="1020"/>
            <w:shd w:val="clear" w:color="auto" w:fill="F2F4F7"/>
          </w:tcPr>
          <w:p>
            <w:pPr>
              <w:spacing w:after="0" w:line="240" w:lineRule="auto"/>
              <w:jc w:val="right"/>
            </w:pPr>
            <w:r/>
            <w:r>
              <w:rPr>
                <w:sz w:val="18"/>
              </w:rPr>
              <w:t>75</w:t>
            </w:r>
          </w:p>
        </w:tc>
      </w:tr>
      <w:tr>
        <w:trPr>
          <w:cantSplit/>
        </w:trPr>
        <w:tc>
          <w:tcPr>
            <w:tcW w:type="dxa" w:w="3515"/>
          </w:tcPr>
          <w:p>
            <w:pPr>
              <w:spacing w:after="0" w:line="240" w:lineRule="auto"/>
            </w:pPr>
            <w:r/>
            <w:r>
              <w:rPr>
                <w:sz w:val="18"/>
              </w:rPr>
              <w:t>S3 Fixed 1.8x plus 3.6% of collections, cap 2.8x</w:t>
            </w:r>
          </w:p>
        </w:tc>
        <w:tc>
          <w:tcPr>
            <w:tcW w:type="dxa" w:w="1417"/>
          </w:tcPr>
          <w:p>
            <w:pPr>
              <w:spacing w:after="0" w:line="240" w:lineRule="auto"/>
              <w:jc w:val="right"/>
            </w:pPr>
            <w:r/>
            <w:r>
              <w:rPr>
                <w:sz w:val="18"/>
              </w:rPr>
              <w:t>27.4%</w:t>
            </w:r>
          </w:p>
        </w:tc>
        <w:tc>
          <w:tcPr>
            <w:tcW w:type="dxa" w:w="1701"/>
          </w:tcPr>
          <w:p>
            <w:pPr>
              <w:spacing w:after="0" w:line="240" w:lineRule="auto"/>
              <w:jc w:val="right"/>
            </w:pPr>
            <w:r/>
            <w:r>
              <w:rPr>
                <w:sz w:val="18"/>
              </w:rPr>
              <w:t>4 of 12</w:t>
            </w:r>
          </w:p>
        </w:tc>
        <w:tc>
          <w:tcPr>
            <w:tcW w:type="dxa" w:w="1587"/>
          </w:tcPr>
          <w:p>
            <w:pPr>
              <w:spacing w:after="0" w:line="240" w:lineRule="auto"/>
              <w:jc w:val="right"/>
            </w:pPr>
            <w:r/>
            <w:r>
              <w:rPr>
                <w:sz w:val="18"/>
              </w:rPr>
              <w:t>-855</w:t>
            </w:r>
          </w:p>
        </w:tc>
        <w:tc>
          <w:tcPr>
            <w:tcW w:type="dxa" w:w="1020"/>
          </w:tcPr>
          <w:p>
            <w:pPr>
              <w:spacing w:after="0" w:line="240" w:lineRule="auto"/>
              <w:jc w:val="right"/>
            </w:pPr>
            <w:r/>
            <w:r>
              <w:rPr>
                <w:sz w:val="18"/>
              </w:rPr>
              <w:t>72</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24: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308</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316</w:t>
            </w:r>
          </w:p>
        </w:tc>
        <w:tc>
          <w:tcPr>
            <w:tcW w:type="dxa" w:w="1984"/>
            <w:shd w:val="clear" w:color="auto" w:fill="F2F4F7"/>
          </w:tcPr>
          <w:p>
            <w:pPr>
              <w:spacing w:after="0" w:line="240" w:lineRule="auto"/>
              <w:jc w:val="right"/>
            </w:pPr>
            <w:r/>
            <w:r>
              <w:rPr>
                <w:sz w:val="18"/>
              </w:rPr>
              <w:t>100</w:t>
            </w:r>
          </w:p>
        </w:tc>
        <w:tc>
          <w:tcPr>
            <w:tcW w:type="dxa" w:w="1928"/>
            <w:shd w:val="clear" w:color="auto" w:fill="F2F4F7"/>
          </w:tcPr>
          <w:p>
            <w:pPr>
              <w:spacing w:after="0" w:line="240" w:lineRule="auto"/>
              <w:jc w:val="right"/>
            </w:pPr>
            <w:r/>
            <w:r>
              <w:rPr>
                <w:sz w:val="18"/>
              </w:rPr>
              <w:t>175</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456</w:t>
            </w:r>
          </w:p>
        </w:tc>
        <w:tc>
          <w:tcPr>
            <w:tcW w:type="dxa" w:w="1984"/>
          </w:tcPr>
          <w:p>
            <w:pPr>
              <w:spacing w:after="0" w:line="240" w:lineRule="auto"/>
              <w:jc w:val="right"/>
            </w:pPr>
            <w:r/>
            <w:r>
              <w:rPr>
                <w:sz w:val="18"/>
              </w:rPr>
              <w:t>204</w:t>
            </w:r>
          </w:p>
        </w:tc>
        <w:tc>
          <w:tcPr>
            <w:tcW w:type="dxa" w:w="1928"/>
          </w:tcPr>
          <w:p>
            <w:pPr>
              <w:spacing w:after="0" w:line="240" w:lineRule="auto"/>
              <w:jc w:val="right"/>
            </w:pPr>
            <w:r/>
            <w:r>
              <w:rPr>
                <w:sz w:val="18"/>
              </w:rPr>
              <w:t>138</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735</w:t>
            </w:r>
          </w:p>
        </w:tc>
        <w:tc>
          <w:tcPr>
            <w:tcW w:type="dxa" w:w="1984"/>
            <w:shd w:val="clear" w:color="auto" w:fill="F2F4F7"/>
          </w:tcPr>
          <w:p>
            <w:pPr>
              <w:spacing w:after="0" w:line="240" w:lineRule="auto"/>
              <w:jc w:val="right"/>
            </w:pPr>
            <w:r/>
            <w:r>
              <w:rPr>
                <w:sz w:val="18"/>
              </w:rPr>
              <w:t>412</w:t>
            </w:r>
          </w:p>
        </w:tc>
        <w:tc>
          <w:tcPr>
            <w:tcW w:type="dxa" w:w="1928"/>
            <w:shd w:val="clear" w:color="auto" w:fill="F2F4F7"/>
          </w:tcPr>
          <w:p>
            <w:pPr>
              <w:spacing w:after="0" w:line="240" w:lineRule="auto"/>
              <w:jc w:val="right"/>
            </w:pPr>
            <w:r/>
            <w:r>
              <w:rPr>
                <w:sz w:val="18"/>
              </w:rPr>
              <w:t>88</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875</w:t>
            </w:r>
          </w:p>
        </w:tc>
        <w:tc>
          <w:tcPr>
            <w:tcW w:type="dxa" w:w="1984"/>
          </w:tcPr>
          <w:p>
            <w:pPr>
              <w:spacing w:after="0" w:line="240" w:lineRule="auto"/>
              <w:jc w:val="right"/>
            </w:pPr>
            <w:r/>
            <w:r>
              <w:rPr>
                <w:sz w:val="18"/>
              </w:rPr>
              <w:t>516</w:t>
            </w:r>
          </w:p>
        </w:tc>
        <w:tc>
          <w:tcPr>
            <w:tcW w:type="dxa" w:w="1928"/>
          </w:tcPr>
          <w:p>
            <w:pPr>
              <w:spacing w:after="0" w:line="240" w:lineRule="auto"/>
              <w:jc w:val="right"/>
            </w:pPr>
            <w:r/>
            <w:r>
              <w:rPr>
                <w:sz w:val="18"/>
              </w:rPr>
              <w:t>86</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214</w:t>
            </w:r>
          </w:p>
        </w:tc>
        <w:tc>
          <w:tcPr>
            <w:tcW w:type="dxa" w:w="1928"/>
            <w:shd w:val="clear" w:color="auto" w:fill="F2F4F7"/>
          </w:tcPr>
          <w:p>
            <w:pPr>
              <w:spacing w:after="0" w:line="240" w:lineRule="auto"/>
              <w:jc w:val="right"/>
            </w:pPr>
            <w:r/>
            <w:r>
              <w:rPr>
                <w:sz w:val="18"/>
              </w:rPr>
              <w:t>366</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126</w:t>
            </w:r>
          </w:p>
        </w:tc>
        <w:tc>
          <w:tcPr>
            <w:tcW w:type="dxa" w:w="1928"/>
          </w:tcPr>
          <w:p>
            <w:pPr>
              <w:spacing w:after="0" w:line="240" w:lineRule="auto"/>
              <w:jc w:val="right"/>
            </w:pPr>
            <w:r/>
            <w:r>
              <w:rPr>
                <w:sz w:val="18"/>
              </w:rPr>
              <w:t>779</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43</w:t>
            </w:r>
          </w:p>
        </w:tc>
        <w:tc>
          <w:tcPr>
            <w:tcW w:type="dxa" w:w="1928"/>
            <w:shd w:val="clear" w:color="auto" w:fill="F2F4F7"/>
          </w:tcPr>
          <w:p>
            <w:pPr>
              <w:spacing w:after="0" w:line="240" w:lineRule="auto"/>
              <w:jc w:val="right"/>
            </w:pPr>
            <w:r/>
            <w:r>
              <w:rPr>
                <w:sz w:val="18"/>
              </w:rPr>
              <w:t>1,004</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-34</w:t>
            </w:r>
          </w:p>
        </w:tc>
        <w:tc>
          <w:tcPr>
            <w:tcW w:type="dxa" w:w="1928"/>
          </w:tcPr>
          <w:p>
            <w:pPr>
              <w:spacing w:after="0" w:line="240" w:lineRule="auto"/>
              <w:jc w:val="right"/>
            </w:pPr>
            <w:r/>
            <w:r>
              <w:rPr>
                <w:sz w:val="18"/>
              </w:rPr>
              <w:t>1,179</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515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117</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435</w:t>
            </w:r>
          </w:p>
        </w:tc>
        <w:tc>
          <w:tcPr>
            <w:tcW w:type="dxa" w:w="1984"/>
          </w:tcPr>
          <w:p>
            <w:pPr>
              <w:spacing w:after="0" w:line="240" w:lineRule="auto"/>
              <w:jc w:val="right"/>
            </w:pPr>
            <w:r/>
            <w:r>
              <w:rPr>
                <w:sz w:val="18"/>
              </w:rPr>
              <w:t>208</w:t>
            </w:r>
          </w:p>
        </w:tc>
        <w:tc>
          <w:tcPr>
            <w:tcW w:type="dxa" w:w="1928"/>
          </w:tcPr>
          <w:p>
            <w:pPr>
              <w:spacing w:after="0" w:line="240" w:lineRule="auto"/>
              <w:jc w:val="right"/>
            </w:pPr>
            <w:r/>
            <w:r>
              <w:rPr>
                <w:sz w:val="18"/>
              </w:rPr>
              <w:t>133</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190</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209</w:t>
            </w:r>
          </w:p>
        </w:tc>
        <w:tc>
          <w:tcPr>
            <w:tcW w:type="dxa" w:w="1928"/>
          </w:tcPr>
          <w:p>
            <w:pPr>
              <w:spacing w:after="0" w:line="240" w:lineRule="auto"/>
              <w:jc w:val="right"/>
            </w:pPr>
            <w:r/>
            <w:r>
              <w:rPr>
                <w:sz w:val="18"/>
              </w:rPr>
              <w:t>381</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117</w:t>
            </w:r>
          </w:p>
        </w:tc>
        <w:tc>
          <w:tcPr>
            <w:tcW w:type="dxa" w:w="1928"/>
            <w:shd w:val="clear" w:color="auto" w:fill="F2F4F7"/>
          </w:tcPr>
          <w:p>
            <w:pPr>
              <w:spacing w:after="0" w:line="240" w:lineRule="auto"/>
              <w:jc w:val="right"/>
            </w:pPr>
            <w:r/>
            <w:r>
              <w:rPr>
                <w:sz w:val="18"/>
              </w:rPr>
              <w:t>811</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25: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54; units can be registered and sold from handover. The base case assumes sale over four quarters from month 57.</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26: Early assignment of the contract at month 36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36</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54; for Option A, payback in the base case is month 60.</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44% (retail) and 50%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126 million and the peak funding need rises to EGP 779 million. Mitigant: Jalour funding undertaking; phased sales.</w:t>
      </w:r>
    </w:p>
    <w:p>
      <w:pPr>
        <w:pStyle w:val="Heading3"/>
      </w:pPr>
      <w:r>
        <w:t>Inflation and cost risk</w:t>
      </w:r>
    </w:p>
    <w:p>
      <w:r>
        <w:rPr>
          <w:b w:val="0"/>
          <w:i w:val="0"/>
        </w:rPr>
        <w:t>Construction cost is flat in the model. A 10% overrun lowers NPV by EGP 50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19.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244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on state-linked land (including Decree 2184 of 2022),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Whether a separate project bank account is required for these plots under the rules for developers on state-linked land.</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27: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250,000, offices EGP 160,000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28: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595.3</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307.5</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102.0</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112.5</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29.2% / 2.87x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22.6%</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0.0</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849</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29: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Investment Memorandum (EGP 125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