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Green Square</w:t>
      </w:r>
    </w:p>
    <w:p>
      <w:pPr>
        <w:spacing w:after="120"/>
      </w:pPr>
      <w:r>
        <w:rPr>
          <w:b/>
          <w:i w:val="0"/>
          <w:color w:val="17324D"/>
          <w:sz w:val="36"/>
        </w:rPr>
        <w:t>Due Diligence Memorandum</w:t>
      </w:r>
    </w:p>
    <w:p>
      <w:pPr>
        <w:spacing w:after="600"/>
      </w:pPr>
      <w:r>
        <w:rPr>
          <w:b w:val="0"/>
          <w:i w:val="0"/>
          <w:sz w:val="24"/>
        </w:rPr>
        <w:t>Private placement of EGP 125 million. Companion to the Investment Memorandum and Financial Annex.</w:t>
      </w:r>
    </w:p>
    <w:p>
      <w:r>
        <w:rPr>
          <w:b w:val="0"/>
          <w:i w:val="0"/>
          <w:color w:val="6B7280"/>
          <w:sz w:val="21"/>
        </w:rPr>
        <w:t>Issued by Jalour Developments, a subsidiary of Al Jalal Holding, Cairo. October 2026.</w:t>
      </w:r>
    </w:p>
    <w:p>
      <w:pPr>
        <w:pStyle w:val="Heading1"/>
        <w:pageBreakBefore/>
      </w:pPr>
      <w:r>
        <w:t>Purpose and status</w:t>
      </w:r>
    </w:p>
    <w:p>
      <w:r>
        <w:rPr>
          <w:b w:val="0"/>
          <w:i w:val="0"/>
        </w:rPr>
        <w:t>This memorandum helps the investor and its advisers plan and carry out due diligence. It lists the documents Jalour will provide, the legal and regulatory structure, the evidence behind the main assumptions, the opinions and security documents required, a candid list of red flags, and the open items. It describes status as at October 2026. Items marked [After NDA] are provided after the investor signs a non-disclosure agreement; items marked [Pending] are being prepared.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[After NDA]</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[After NDA]</w:t>
            </w:r>
          </w:p>
        </w:tc>
      </w:tr>
      <w:tr>
        <w:trPr>
          <w:cantSplit/>
        </w:trPr>
        <w:tc>
          <w:tcPr>
            <w:tcW w:type="dxa" w:w="2041"/>
          </w:tcPr>
          <w:p>
            <w:pPr>
              <w:spacing w:after="0" w:line="240" w:lineRule="auto"/>
            </w:pPr>
            <w:r/>
            <w:r>
              <w:rPr>
                <w:b/>
                <w:sz w:val="19"/>
              </w:rPr>
              <w:t>Project company</w:t>
            </w:r>
          </w:p>
        </w:tc>
        <w:tc>
          <w:tcPr>
            <w:tcW w:type="dxa" w:w="3288"/>
          </w:tcPr>
          <w:p>
            <w:pPr>
              <w:spacing w:after="0" w:line="240" w:lineRule="auto"/>
            </w:pPr>
            <w:r/>
            <w:r>
              <w:rPr>
                <w:sz w:val="19"/>
              </w:rPr>
              <w:t>[Name, jurisdiction and capital to be confirmed]</w:t>
            </w:r>
          </w:p>
        </w:tc>
        <w:tc>
          <w:tcPr>
            <w:tcW w:type="dxa" w:w="3912"/>
          </w:tcPr>
          <w:p>
            <w:pPr>
              <w:spacing w:after="0" w:line="240" w:lineRule="auto"/>
            </w:pPr>
            <w:r/>
            <w:r>
              <w:rPr>
                <w:sz w:val="19"/>
              </w:rPr>
              <w:t>To be formed or confirmed; holds the project rights and issues the investor entitlement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The project is held in its own company. There is no cross-collateral and no cross-default with other Jalour projects. The investor has no exposure to other Jalour projects.</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Jalour's position is that the rule requiring a separate project account for developers on state-allocated land does not apply to these plots; the basis is in the data room.</w:t>
      </w:r>
    </w:p>
    <w:p>
      <w:pPr>
        <w:pStyle w:val="ListBullet"/>
        <w:spacing w:after="60"/>
      </w:pPr>
      <w:r>
        <w:rPr>
          <w:b w:val="0"/>
          <w:i w:val="0"/>
        </w:rPr>
        <w:t>The balance of project funding is provided by Jalour sponsor equity, project collections and other capital sources.</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494"/>
            <w:shd w:val="clear" w:color="auto" w:fill="17324D"/>
          </w:tcPr>
          <w:p>
            <w:pPr>
              <w:spacing w:after="0" w:line="240" w:lineRule="auto"/>
            </w:pPr>
            <w:r/>
            <w:r>
              <w:rPr>
                <w:b/>
                <w:color w:val="FFFFFF"/>
                <w:sz w:val="19"/>
              </w:rPr>
              <w:t>Term (from the Jalour model)</w:t>
            </w:r>
          </w:p>
        </w:tc>
        <w:tc>
          <w:tcPr>
            <w:tcW w:type="dxa" w:w="3628"/>
            <w:shd w:val="clear" w:color="auto" w:fill="17324D"/>
          </w:tcPr>
          <w:p>
            <w:pPr>
              <w:spacing w:after="0" w:line="240" w:lineRule="auto"/>
            </w:pPr>
            <w:r/>
            <w:r>
              <w:rPr>
                <w:b/>
                <w:color w:val="FFFFFF"/>
                <w:sz w:val="19"/>
              </w:rPr>
              <w:t>Detail</w:t>
            </w:r>
          </w:p>
        </w:tc>
        <w:tc>
          <w:tcPr>
            <w:tcW w:type="dxa" w:w="3118"/>
            <w:shd w:val="clear" w:color="auto" w:fill="17324D"/>
          </w:tcPr>
          <w:p>
            <w:pPr>
              <w:spacing w:after="0" w:line="240" w:lineRule="auto"/>
            </w:pPr>
            <w:r/>
            <w:r>
              <w:rPr>
                <w:b/>
                <w:color w:val="FFFFFF"/>
                <w:sz w:val="19"/>
              </w:rPr>
              <w:t>Evidence to provide</w:t>
            </w:r>
          </w:p>
        </w:tc>
      </w:tr>
      <w:tr>
        <w:trPr>
          <w:cantSplit/>
        </w:trPr>
        <w:tc>
          <w:tcPr>
            <w:tcW w:type="dxa" w:w="2494"/>
          </w:tcPr>
          <w:p>
            <w:pPr>
              <w:spacing w:after="0" w:line="240" w:lineRule="auto"/>
            </w:pPr>
            <w:r/>
            <w:r>
              <w:rPr>
                <w:b/>
                <w:sz w:val="19"/>
              </w:rPr>
              <w:t>Landlord share</w:t>
            </w:r>
          </w:p>
        </w:tc>
        <w:tc>
          <w:tcPr>
            <w:tcW w:type="dxa" w:w="3628"/>
          </w:tcPr>
          <w:p>
            <w:pPr>
              <w:spacing w:after="0" w:line="240" w:lineRule="auto"/>
            </w:pPr>
            <w:r/>
            <w:r>
              <w:rPr>
                <w:sz w:val="19"/>
              </w:rPr>
              <w:t>35% of collections</w:t>
            </w:r>
          </w:p>
        </w:tc>
        <w:tc>
          <w:tcPr>
            <w:tcW w:type="dxa" w:w="3118"/>
          </w:tcPr>
          <w:p>
            <w:pPr>
              <w:spacing w:after="0" w:line="240" w:lineRule="auto"/>
            </w:pPr>
            <w:r/>
            <w:r>
              <w:rPr>
                <w:sz w:val="19"/>
              </w:rPr>
              <w:t>Signed agreement</w:t>
            </w:r>
          </w:p>
        </w:tc>
      </w:tr>
      <w:tr>
        <w:trPr>
          <w:cantSplit/>
        </w:trPr>
        <w:tc>
          <w:tcPr>
            <w:tcW w:type="dxa" w:w="2494"/>
            <w:shd w:val="clear" w:color="auto" w:fill="F2F4F7"/>
          </w:tcPr>
          <w:p>
            <w:pPr>
              <w:spacing w:after="0" w:line="240" w:lineRule="auto"/>
            </w:pPr>
            <w:r/>
            <w:r>
              <w:rPr>
                <w:b/>
                <w:sz w:val="19"/>
              </w:rPr>
              <w:t>Minimum guarantee</w:t>
            </w:r>
          </w:p>
        </w:tc>
        <w:tc>
          <w:tcPr>
            <w:tcW w:type="dxa" w:w="3628"/>
            <w:shd w:val="clear" w:color="auto" w:fill="F2F4F7"/>
          </w:tcPr>
          <w:p>
            <w:pPr>
              <w:spacing w:after="0" w:line="240" w:lineRule="auto"/>
            </w:pPr>
            <w:r/>
            <w:r>
              <w:rPr>
                <w:sz w:val="19"/>
              </w:rPr>
              <w:t>EGP 800 million over six years</w:t>
            </w:r>
          </w:p>
        </w:tc>
        <w:tc>
          <w:tcPr>
            <w:tcW w:type="dxa" w:w="3118"/>
            <w:shd w:val="clear" w:color="auto" w:fill="F2F4F7"/>
          </w:tcPr>
          <w:p>
            <w:pPr>
              <w:spacing w:after="0" w:line="240" w:lineRule="auto"/>
            </w:pPr>
            <w:r/>
            <w:r>
              <w:rPr>
                <w:sz w:val="19"/>
              </w:rPr>
              <w:t>Schedule and payment mechanics</w:t>
            </w:r>
          </w:p>
        </w:tc>
      </w:tr>
      <w:tr>
        <w:trPr>
          <w:cantSplit/>
        </w:trPr>
        <w:tc>
          <w:tcPr>
            <w:tcW w:type="dxa" w:w="2494"/>
          </w:tcPr>
          <w:p>
            <w:pPr>
              <w:spacing w:after="0" w:line="240" w:lineRule="auto"/>
            </w:pPr>
            <w:r/>
            <w:r>
              <w:rPr>
                <w:b/>
                <w:sz w:val="19"/>
              </w:rPr>
              <w:t>Down payment</w:t>
            </w:r>
          </w:p>
        </w:tc>
        <w:tc>
          <w:tcPr>
            <w:tcW w:type="dxa" w:w="3628"/>
          </w:tcPr>
          <w:p>
            <w:pPr>
              <w:spacing w:after="0" w:line="240" w:lineRule="auto"/>
            </w:pPr>
            <w:r/>
            <w:r>
              <w:rPr>
                <w:sz w:val="19"/>
              </w:rPr>
              <w:t>EGP 80 million (10%)</w:t>
            </w:r>
          </w:p>
        </w:tc>
        <w:tc>
          <w:tcPr>
            <w:tcW w:type="dxa" w:w="3118"/>
          </w:tcPr>
          <w:p>
            <w:pPr>
              <w:spacing w:after="0" w:line="240" w:lineRule="auto"/>
            </w:pPr>
            <w:r/>
            <w:r>
              <w:rPr>
                <w:sz w:val="19"/>
              </w:rPr>
              <w:t>Proof of payment or payment date</w:t>
            </w:r>
          </w:p>
        </w:tc>
      </w:tr>
      <w:tr>
        <w:trPr>
          <w:cantSplit/>
        </w:trPr>
        <w:tc>
          <w:tcPr>
            <w:tcW w:type="dxa" w:w="2494"/>
            <w:shd w:val="clear" w:color="auto" w:fill="F2F4F7"/>
          </w:tcPr>
          <w:p>
            <w:pPr>
              <w:spacing w:after="0" w:line="240" w:lineRule="auto"/>
            </w:pPr>
            <w:r/>
            <w:r>
              <w:rPr>
                <w:b/>
                <w:sz w:val="19"/>
              </w:rPr>
              <w:t>Guarantee schedule</w:t>
            </w:r>
          </w:p>
        </w:tc>
        <w:tc>
          <w:tcPr>
            <w:tcW w:type="dxa" w:w="3628"/>
            <w:shd w:val="clear" w:color="auto" w:fill="F2F4F7"/>
          </w:tcPr>
          <w:p>
            <w:pPr>
              <w:spacing w:after="0" w:line="240" w:lineRule="auto"/>
            </w:pPr>
            <w:r/>
            <w:r>
              <w:rPr>
                <w:sz w:val="19"/>
              </w:rPr>
              <w:t>Y1 45, Y2 90, Y3 135, Y4 180, Y5 180, Y6 90 (EGP million)</w:t>
            </w:r>
          </w:p>
        </w:tc>
        <w:tc>
          <w:tcPr>
            <w:tcW w:type="dxa" w:w="3118"/>
            <w:shd w:val="clear" w:color="auto" w:fill="F2F4F7"/>
          </w:tcPr>
          <w:p>
            <w:pPr>
              <w:spacing w:after="0" w:line="240" w:lineRule="auto"/>
            </w:pPr>
            <w:r/>
            <w:r>
              <w:rPr>
                <w:sz w:val="19"/>
              </w:rPr>
              <w:t>Agreement schedule</w:t>
            </w:r>
          </w:p>
        </w:tc>
      </w:tr>
      <w:tr>
        <w:trPr>
          <w:cantSplit/>
        </w:trPr>
        <w:tc>
          <w:tcPr>
            <w:tcW w:type="dxa" w:w="2494"/>
          </w:tcPr>
          <w:p>
            <w:pPr>
              <w:spacing w:after="0" w:line="240" w:lineRule="auto"/>
            </w:pPr>
            <w:r/>
            <w:r>
              <w:rPr>
                <w:b/>
                <w:sz w:val="19"/>
              </w:rPr>
              <w:t>Excess over guarantee</w:t>
            </w:r>
          </w:p>
        </w:tc>
        <w:tc>
          <w:tcPr>
            <w:tcW w:type="dxa" w:w="3628"/>
          </w:tcPr>
          <w:p>
            <w:pPr>
              <w:spacing w:after="0" w:line="240" w:lineRule="auto"/>
            </w:pPr>
            <w:r/>
            <w:r>
              <w:rPr>
                <w:sz w:val="19"/>
              </w:rPr>
              <w:t>Settled from year 8</w:t>
            </w:r>
          </w:p>
        </w:tc>
        <w:tc>
          <w:tcPr>
            <w:tcW w:type="dxa" w:w="3118"/>
          </w:tcPr>
          <w:p>
            <w:pPr>
              <w:spacing w:after="0" w:line="240" w:lineRule="auto"/>
            </w:pPr>
            <w:r/>
            <w:r>
              <w:rPr>
                <w:sz w:val="19"/>
              </w:rPr>
              <w:t>Settlement clause</w:t>
            </w:r>
          </w:p>
        </w:tc>
      </w:tr>
      <w:tr>
        <w:trPr>
          <w:cantSplit/>
        </w:trPr>
        <w:tc>
          <w:tcPr>
            <w:tcW w:type="dxa" w:w="2494"/>
            <w:shd w:val="clear" w:color="auto" w:fill="F2F4F7"/>
          </w:tcPr>
          <w:p>
            <w:pPr>
              <w:spacing w:after="0" w:line="240" w:lineRule="auto"/>
            </w:pPr>
            <w:r/>
            <w:r>
              <w:rPr>
                <w:b/>
                <w:sz w:val="19"/>
              </w:rPr>
              <w:t>Scope</w:t>
            </w:r>
          </w:p>
        </w:tc>
        <w:tc>
          <w:tcPr>
            <w:tcW w:type="dxa" w:w="3628"/>
            <w:shd w:val="clear" w:color="auto" w:fill="F2F4F7"/>
          </w:tcPr>
          <w:p>
            <w:pPr>
              <w:spacing w:after="0" w:line="240" w:lineRule="auto"/>
            </w:pPr>
            <w:r/>
            <w:r>
              <w:rPr>
                <w:sz w:val="19"/>
              </w:rPr>
              <w:t>Jalour designs, permits, builds (core and shell), markets, sells, collects, operates</w:t>
            </w:r>
          </w:p>
        </w:tc>
        <w:tc>
          <w:tcPr>
            <w:tcW w:type="dxa" w:w="3118"/>
            <w:shd w:val="clear" w:color="auto" w:fill="F2F4F7"/>
          </w:tcPr>
          <w:p>
            <w:pPr>
              <w:spacing w:after="0" w:line="240" w:lineRule="auto"/>
            </w:pPr>
            <w:r/>
            <w:r>
              <w:rPr>
                <w:sz w:val="19"/>
              </w:rPr>
              <w:t>Scope and approvals clauses</w:t>
            </w:r>
          </w:p>
        </w:tc>
      </w:tr>
      <w:tr>
        <w:trPr>
          <w:cantSplit/>
        </w:trPr>
        <w:tc>
          <w:tcPr>
            <w:tcW w:type="dxa" w:w="2494"/>
          </w:tcPr>
          <w:p>
            <w:pPr>
              <w:spacing w:after="0" w:line="240" w:lineRule="auto"/>
            </w:pPr>
            <w:r/>
            <w:r>
              <w:rPr>
                <w:b/>
                <w:sz w:val="19"/>
              </w:rPr>
              <w:t>Delivery</w:t>
            </w:r>
          </w:p>
        </w:tc>
        <w:tc>
          <w:tcPr>
            <w:tcW w:type="dxa" w:w="3628"/>
          </w:tcPr>
          <w:p>
            <w:pPr>
              <w:spacing w:after="0" w:line="240" w:lineRule="auto"/>
            </w:pPr>
            <w:r/>
            <w:r>
              <w:rPr>
                <w:sz w:val="19"/>
              </w:rPr>
              <w:t>Project month 48</w:t>
            </w:r>
          </w:p>
        </w:tc>
        <w:tc>
          <w:tcPr>
            <w:tcW w:type="dxa" w:w="3118"/>
          </w:tcPr>
          <w:p>
            <w:pPr>
              <w:spacing w:after="0" w:line="240" w:lineRule="auto"/>
            </w:pPr>
            <w:r/>
            <w:r>
              <w:rPr>
                <w:sz w:val="19"/>
              </w:rPr>
              <w:t>Delivery covenant, remedies for delay</w:t>
            </w:r>
          </w:p>
        </w:tc>
      </w:tr>
    </w:tbl>
    <w:p>
      <w:pPr>
        <w:spacing w:after="80"/>
      </w:pPr>
    </w:p>
    <w:p>
      <w:pPr>
        <w:pStyle w:val="Heading2"/>
      </w:pPr>
      <w:r>
        <w:t>Consent requirements and status</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the landlord's written consent is a condition precedent to signing. The investor should see the consent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[After NDA]</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[After NDA]</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[After NDA]</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Jalour's position is that it does not apply to these plots; the basis is provided in the data room after the investor signs a non-disclosure agreement.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948"/>
            <w:shd w:val="clear" w:color="auto" w:fill="17324D"/>
          </w:tcPr>
          <w:p>
            <w:pPr>
              <w:spacing w:after="0" w:line="240" w:lineRule="auto"/>
            </w:pPr>
            <w:r/>
            <w:r>
              <w:rPr>
                <w:b/>
                <w:color w:val="FFFFFF"/>
                <w:sz w:val="19"/>
              </w:rPr>
              <w:t>Cost line</w:t>
            </w:r>
          </w:p>
        </w:tc>
        <w:tc>
          <w:tcPr>
            <w:tcW w:type="dxa" w:w="1417"/>
            <w:shd w:val="clear" w:color="auto" w:fill="17324D"/>
          </w:tcPr>
          <w:p>
            <w:pPr>
              <w:spacing w:after="0" w:line="240" w:lineRule="auto"/>
              <w:jc w:val="right"/>
            </w:pPr>
            <w:r/>
            <w:r>
              <w:rPr>
                <w:b/>
                <w:color w:val="FFFFFF"/>
                <w:sz w:val="19"/>
              </w:rPr>
              <w:t>EGP million</w:t>
            </w:r>
          </w:p>
        </w:tc>
        <w:tc>
          <w:tcPr>
            <w:tcW w:type="dxa" w:w="4876"/>
            <w:shd w:val="clear" w:color="auto" w:fill="17324D"/>
          </w:tcPr>
          <w:p>
            <w:pPr>
              <w:spacing w:after="0" w:line="240" w:lineRule="auto"/>
              <w:jc w:val="right"/>
            </w:pPr>
            <w:r/>
            <w:r>
              <w:rPr>
                <w:b/>
                <w:color w:val="FFFFFF"/>
                <w:sz w:val="19"/>
              </w:rPr>
              <w:t>Basis</w:t>
            </w:r>
          </w:p>
        </w:tc>
      </w:tr>
      <w:tr>
        <w:trPr>
          <w:cantSplit/>
        </w:trPr>
        <w:tc>
          <w:tcPr>
            <w:tcW w:type="dxa" w:w="2948"/>
          </w:tcPr>
          <w:p>
            <w:pPr>
              <w:spacing w:after="0" w:line="240" w:lineRule="auto"/>
            </w:pPr>
            <w:r/>
            <w:r>
              <w:rPr>
                <w:sz w:val="19"/>
              </w:rPr>
              <w:t>Construction (core and shell)</w:t>
            </w:r>
          </w:p>
        </w:tc>
        <w:tc>
          <w:tcPr>
            <w:tcW w:type="dxa" w:w="1417"/>
          </w:tcPr>
          <w:p>
            <w:pPr>
              <w:spacing w:after="0" w:line="240" w:lineRule="auto"/>
              <w:jc w:val="right"/>
            </w:pPr>
            <w:r/>
            <w:r>
              <w:rPr>
                <w:sz w:val="19"/>
              </w:rPr>
              <w:t>697.2</w:t>
            </w:r>
          </w:p>
        </w:tc>
        <w:tc>
          <w:tcPr>
            <w:tcW w:type="dxa" w:w="4876"/>
          </w:tcPr>
          <w:p>
            <w:pPr>
              <w:spacing w:after="0" w:line="240" w:lineRule="auto"/>
              <w:jc w:val="right"/>
            </w:pPr>
            <w:r/>
            <w:r>
              <w:rPr>
                <w:sz w:val="19"/>
              </w:rPr>
              <w:t>Stage schedule scaled by a factor of 8 in the model [Jalour to explain what the factor represents and provide contractor pricing]</w:t>
            </w:r>
          </w:p>
        </w:tc>
      </w:tr>
      <w:tr>
        <w:trPr>
          <w:cantSplit/>
        </w:trPr>
        <w:tc>
          <w:tcPr>
            <w:tcW w:type="dxa" w:w="2948"/>
            <w:shd w:val="clear" w:color="auto" w:fill="F2F4F7"/>
          </w:tcPr>
          <w:p>
            <w:pPr>
              <w:spacing w:after="0" w:line="240" w:lineRule="auto"/>
            </w:pPr>
            <w:r/>
            <w:r>
              <w:rPr>
                <w:sz w:val="19"/>
              </w:rPr>
              <w:t>Sales commission</w:t>
            </w:r>
          </w:p>
        </w:tc>
        <w:tc>
          <w:tcPr>
            <w:tcW w:type="dxa" w:w="1417"/>
            <w:shd w:val="clear" w:color="auto" w:fill="F2F4F7"/>
          </w:tcPr>
          <w:p>
            <w:pPr>
              <w:spacing w:after="0" w:line="240" w:lineRule="auto"/>
              <w:jc w:val="right"/>
            </w:pPr>
            <w:r/>
            <w:r>
              <w:rPr>
                <w:sz w:val="19"/>
              </w:rPr>
              <w:t>90.1</w:t>
            </w:r>
          </w:p>
        </w:tc>
        <w:tc>
          <w:tcPr>
            <w:tcW w:type="dxa" w:w="4876"/>
            <w:shd w:val="clear" w:color="auto" w:fill="F2F4F7"/>
          </w:tcPr>
          <w:p>
            <w:pPr>
              <w:spacing w:after="0" w:line="240" w:lineRule="auto"/>
              <w:jc w:val="right"/>
            </w:pPr>
            <w:r/>
            <w:r>
              <w:rPr>
                <w:sz w:val="19"/>
              </w:rPr>
              <w:t>4% of sales value, paid 12 months after each sale quarter</w:t>
            </w:r>
          </w:p>
        </w:tc>
      </w:tr>
      <w:tr>
        <w:trPr>
          <w:cantSplit/>
        </w:trPr>
        <w:tc>
          <w:tcPr>
            <w:tcW w:type="dxa" w:w="2948"/>
          </w:tcPr>
          <w:p>
            <w:pPr>
              <w:spacing w:after="0" w:line="240" w:lineRule="auto"/>
            </w:pPr>
            <w:r/>
            <w:r>
              <w:rPr>
                <w:sz w:val="19"/>
              </w:rPr>
              <w:t>SG&amp;A and others</w:t>
            </w:r>
          </w:p>
        </w:tc>
        <w:tc>
          <w:tcPr>
            <w:tcW w:type="dxa" w:w="1417"/>
          </w:tcPr>
          <w:p>
            <w:pPr>
              <w:spacing w:after="0" w:line="240" w:lineRule="auto"/>
              <w:jc w:val="right"/>
            </w:pPr>
            <w:r/>
            <w:r>
              <w:rPr>
                <w:sz w:val="19"/>
              </w:rPr>
              <w:t>104.6</w:t>
            </w:r>
          </w:p>
        </w:tc>
        <w:tc>
          <w:tcPr>
            <w:tcW w:type="dxa" w:w="4876"/>
          </w:tcPr>
          <w:p>
            <w:pPr>
              <w:spacing w:after="0" w:line="240" w:lineRule="auto"/>
              <w:jc w:val="right"/>
            </w:pPr>
            <w:r/>
            <w:r>
              <w:rPr>
                <w:sz w:val="19"/>
              </w:rPr>
              <w:t>15% of construction: contingency 5%, professional fees 5%, overhead 5%</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53.5 thousand, for core and shell including a basement stage. Jalour to provide a bill of quantities and contractor quotation to support it.</w:t>
      </w:r>
    </w:p>
    <w:p>
      <w:pPr>
        <w:pStyle w:val="ListBullet"/>
        <w:spacing w:after="60"/>
      </w:pPr>
      <w:r>
        <w:rPr>
          <w:b w:val="0"/>
          <w:i w:val="0"/>
        </w:rPr>
        <w:t>The model applies no construction cost inflation over the 36-month build. Jalour's working papers contain a construction-cost index that is not applied in the model. A 10% overrun reduces project NPV by EGP 53 million and a 20% overrun by EGP 106 million.</w:t>
      </w:r>
    </w:p>
    <w:p>
      <w:pPr>
        <w:pStyle w:val="ListBullet"/>
        <w:spacing w:after="60"/>
      </w:pPr>
      <w:r>
        <w:rPr>
          <w:b w:val="0"/>
          <w:i w:val="0"/>
        </w:rPr>
        <w:t>Design, permit and pre-construction costs are not separately modelled. The funding plan adds EGP 10.5 million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247"/>
            <w:shd w:val="clear" w:color="auto" w:fill="17324D"/>
          </w:tcPr>
          <w:p>
            <w:pPr>
              <w:spacing w:after="0" w:line="240" w:lineRule="auto"/>
            </w:pPr>
            <w:r/>
            <w:r>
              <w:rPr>
                <w:b/>
                <w:color w:val="FFFFFF"/>
                <w:sz w:val="18"/>
              </w:rPr>
              <w:t>EGP per m2</w:t>
            </w:r>
          </w:p>
        </w:tc>
        <w:tc>
          <w:tcPr>
            <w:tcW w:type="dxa" w:w="1474"/>
            <w:shd w:val="clear" w:color="auto" w:fill="17324D"/>
          </w:tcPr>
          <w:p>
            <w:pPr>
              <w:spacing w:after="0" w:line="240" w:lineRule="auto"/>
              <w:jc w:val="right"/>
            </w:pPr>
            <w:r/>
            <w:r>
              <w:rPr>
                <w:b/>
                <w:color w:val="FFFFFF"/>
                <w:sz w:val="18"/>
              </w:rPr>
              <w:t>Plan: launch</w:t>
            </w:r>
          </w:p>
        </w:tc>
        <w:tc>
          <w:tcPr>
            <w:tcW w:type="dxa" w:w="1474"/>
            <w:shd w:val="clear" w:color="auto" w:fill="17324D"/>
          </w:tcPr>
          <w:p>
            <w:pPr>
              <w:spacing w:after="0" w:line="240" w:lineRule="auto"/>
              <w:jc w:val="right"/>
            </w:pPr>
            <w:r/>
            <w:r>
              <w:rPr>
                <w:b/>
                <w:color w:val="FFFFFF"/>
                <w:sz w:val="18"/>
              </w:rPr>
              <w:t>Plan: delivery list</w:t>
            </w:r>
          </w:p>
        </w:tc>
        <w:tc>
          <w:tcPr>
            <w:tcW w:type="dxa" w:w="1814"/>
            <w:shd w:val="clear" w:color="auto" w:fill="17324D"/>
          </w:tcPr>
          <w:p>
            <w:pPr>
              <w:spacing w:after="0" w:line="240" w:lineRule="auto"/>
              <w:jc w:val="right"/>
            </w:pPr>
            <w:r/>
            <w:r>
              <w:rPr>
                <w:b/>
                <w:color w:val="FFFFFF"/>
                <w:sz w:val="18"/>
              </w:rPr>
              <w:t>Plan: average realised</w:t>
            </w:r>
          </w:p>
        </w:tc>
        <w:tc>
          <w:tcPr>
            <w:tcW w:type="dxa" w:w="3231"/>
            <w:shd w:val="clear" w:color="auto" w:fill="17324D"/>
          </w:tcPr>
          <w:p>
            <w:pPr>
              <w:spacing w:after="0" w:line="240" w:lineRule="auto"/>
              <w:jc w:val="right"/>
            </w:pPr>
            <w:r/>
            <w:r>
              <w:rPr>
                <w:b/>
                <w:color w:val="FFFFFF"/>
                <w:sz w:val="18"/>
              </w:rPr>
              <w:t>Market evidence (asking)</w:t>
            </w:r>
          </w:p>
        </w:tc>
      </w:tr>
      <w:tr>
        <w:trPr>
          <w:cantSplit/>
        </w:trPr>
        <w:tc>
          <w:tcPr>
            <w:tcW w:type="dxa" w:w="1247"/>
          </w:tcPr>
          <w:p>
            <w:pPr>
              <w:spacing w:after="0" w:line="240" w:lineRule="auto"/>
            </w:pPr>
            <w:r/>
            <w:r>
              <w:rPr>
                <w:sz w:val="18"/>
              </w:rPr>
              <w:t>Offices</w:t>
            </w:r>
          </w:p>
        </w:tc>
        <w:tc>
          <w:tcPr>
            <w:tcW w:type="dxa" w:w="1474"/>
          </w:tcPr>
          <w:p>
            <w:pPr>
              <w:spacing w:after="0" w:line="240" w:lineRule="auto"/>
              <w:jc w:val="right"/>
            </w:pPr>
            <w:r/>
            <w:r>
              <w:rPr>
                <w:sz w:val="18"/>
              </w:rPr>
              <w:t>135,000</w:t>
            </w:r>
          </w:p>
        </w:tc>
        <w:tc>
          <w:tcPr>
            <w:tcW w:type="dxa" w:w="1474"/>
          </w:tcPr>
          <w:p>
            <w:pPr>
              <w:spacing w:after="0" w:line="240" w:lineRule="auto"/>
              <w:jc w:val="right"/>
            </w:pPr>
            <w:r/>
            <w:r>
              <w:rPr>
                <w:sz w:val="18"/>
              </w:rPr>
              <w:t>200,000</w:t>
            </w:r>
          </w:p>
        </w:tc>
        <w:tc>
          <w:tcPr>
            <w:tcW w:type="dxa" w:w="1814"/>
          </w:tcPr>
          <w:p>
            <w:pPr>
              <w:spacing w:after="0" w:line="240" w:lineRule="auto"/>
              <w:jc w:val="right"/>
            </w:pPr>
            <w:r/>
            <w:r>
              <w:rPr>
                <w:sz w:val="18"/>
              </w:rPr>
              <w:t>163,125</w:t>
            </w:r>
          </w:p>
        </w:tc>
        <w:tc>
          <w:tcPr>
            <w:tcW w:type="dxa" w:w="3231"/>
          </w:tcPr>
          <w:p>
            <w:pPr>
              <w:spacing w:after="0" w:line="240" w:lineRule="auto"/>
              <w:jc w:val="right"/>
            </w:pPr>
            <w:r/>
            <w:r>
              <w:rPr>
                <w:sz w:val="18"/>
              </w:rPr>
              <w:t>106,000 to 120,000 (Mostakbal City listings, 2026)</w:t>
            </w:r>
          </w:p>
        </w:tc>
      </w:tr>
      <w:tr>
        <w:trPr>
          <w:cantSplit/>
        </w:trPr>
        <w:tc>
          <w:tcPr>
            <w:tcW w:type="dxa" w:w="1247"/>
            <w:shd w:val="clear" w:color="auto" w:fill="F2F4F7"/>
          </w:tcPr>
          <w:p>
            <w:pPr>
              <w:spacing w:after="0" w:line="240" w:lineRule="auto"/>
            </w:pPr>
            <w:r/>
            <w:r>
              <w:rPr>
                <w:sz w:val="18"/>
              </w:rPr>
              <w:t>Retail</w:t>
            </w:r>
          </w:p>
        </w:tc>
        <w:tc>
          <w:tcPr>
            <w:tcW w:type="dxa" w:w="1474"/>
            <w:shd w:val="clear" w:color="auto" w:fill="F2F4F7"/>
          </w:tcPr>
          <w:p>
            <w:pPr>
              <w:spacing w:after="0" w:line="240" w:lineRule="auto"/>
              <w:jc w:val="right"/>
            </w:pPr>
            <w:r/>
            <w:r>
              <w:rPr>
                <w:sz w:val="18"/>
              </w:rPr>
              <w:t>225,000</w:t>
            </w:r>
          </w:p>
        </w:tc>
        <w:tc>
          <w:tcPr>
            <w:tcW w:type="dxa" w:w="1474"/>
            <w:shd w:val="clear" w:color="auto" w:fill="F2F4F7"/>
          </w:tcPr>
          <w:p>
            <w:pPr>
              <w:spacing w:after="0" w:line="240" w:lineRule="auto"/>
              <w:jc w:val="right"/>
            </w:pPr>
            <w:r/>
            <w:r>
              <w:rPr>
                <w:sz w:val="18"/>
              </w:rPr>
              <w:t>300,000</w:t>
            </w:r>
          </w:p>
        </w:tc>
        <w:tc>
          <w:tcPr>
            <w:tcW w:type="dxa" w:w="1814"/>
            <w:shd w:val="clear" w:color="auto" w:fill="F2F4F7"/>
          </w:tcPr>
          <w:p>
            <w:pPr>
              <w:spacing w:after="0" w:line="240" w:lineRule="auto"/>
              <w:jc w:val="right"/>
            </w:pPr>
            <w:r/>
            <w:r>
              <w:rPr>
                <w:sz w:val="18"/>
              </w:rPr>
              <w:t>268,125</w:t>
            </w:r>
          </w:p>
        </w:tc>
        <w:tc>
          <w:tcPr>
            <w:tcW w:type="dxa" w:w="3231"/>
            <w:shd w:val="clear" w:color="auto" w:fill="F2F4F7"/>
          </w:tcPr>
          <w:p>
            <w:pPr>
              <w:spacing w:after="0" w:line="240" w:lineRule="auto"/>
              <w:jc w:val="right"/>
            </w:pPr>
            <w:r/>
            <w:r>
              <w:rPr>
                <w:sz w:val="18"/>
              </w:rPr>
              <w:t>139,000 to 325,000 (New Cairo listings, individual)</w:t>
            </w:r>
          </w:p>
        </w:tc>
      </w:tr>
    </w:tbl>
    <w:p>
      <w:pPr>
        <w:spacing w:after="80"/>
      </w:pPr>
    </w:p>
    <w:p>
      <w:pPr>
        <w:pStyle w:val="ListBullet"/>
        <w:spacing w:after="60"/>
      </w:pPr>
      <w:r>
        <w:rPr>
          <w:b w:val="0"/>
          <w:i w:val="0"/>
        </w:rPr>
        <w:t>The plan raises list prices by 33% (retail) and 48% (offices) from the first to the last sales tranche. New Cairo secondary prices rose 3.1% y/y in Q1 2026 (JLL via Enterprise); broker estimates for 2026 are 10% to 16% a year (a blog estimate). Against today's office asking prices (mid-point EGP 113,000) the delivery list is +77%, about 15% a year to handover.</w:t>
      </w:r>
    </w:p>
    <w:p>
      <w:pPr>
        <w:pStyle w:val="ListBullet"/>
        <w:spacing w:after="60"/>
      </w:pPr>
      <w:r>
        <w:rPr>
          <w:b w:val="0"/>
          <w:i w:val="0"/>
        </w:rPr>
        <w:t>Sellable office area in the model is 10,129 m2, against 8,682 m2 of office built-up area. Jalour to provide the sellable-area schedule. If the lower area were right, office sales at 80% would be about EGP 189 million lower.</w:t>
      </w:r>
    </w:p>
    <w:p>
      <w:pPr>
        <w:pStyle w:val="ListBullet"/>
        <w:spacing w:after="60"/>
      </w:pPr>
      <w:r>
        <w:rPr>
          <w:b w:val="0"/>
          <w:i w:val="0"/>
        </w:rPr>
        <w:t>Payment plans: down payment 5% to 20%, equal second payment after three months, instalments over 2 to 8 years, delivery payment 20% to 25%. Delivery payments are collected on a contractual milestone before handover; Jalour to provide the standard sale contract showing the milestone.</w:t>
      </w:r>
    </w:p>
    <w:p>
      <w:pPr>
        <w:pStyle w:val="ListBullet"/>
        <w:spacing w:after="60"/>
      </w:pPr>
      <w:r>
        <w:rPr>
          <w:b w:val="0"/>
          <w:i w:val="0"/>
        </w:rPr>
        <w:t>No sales have been contracted yet [Jalour to confirm]. Evidence to provide: broker valuation, comparable transactions, reservation register once sales begin.</w:t>
      </w:r>
    </w:p>
    <w:p>
      <w:pPr>
        <w:keepNext/>
        <w:spacing w:after="60"/>
      </w:pPr>
      <w:r>
        <w:rPr>
          <w:b/>
          <w:color w:val="17324D"/>
          <w:sz w:val="19"/>
        </w:rPr>
        <w:t>Table 8: Sales sensitivities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422"/>
            <w:shd w:val="clear" w:color="auto" w:fill="17324D"/>
          </w:tcPr>
          <w:p>
            <w:pPr>
              <w:spacing w:after="0" w:line="240" w:lineRule="auto"/>
            </w:pPr>
            <w:r/>
            <w:r>
              <w:rPr>
                <w:b/>
                <w:color w:val="FFFFFF"/>
                <w:sz w:val="19"/>
              </w:rPr>
              <w:t>Sales sensitivity</w:t>
            </w:r>
          </w:p>
        </w:tc>
        <w:tc>
          <w:tcPr>
            <w:tcW w:type="dxa" w:w="2381"/>
            <w:shd w:val="clear" w:color="auto" w:fill="17324D"/>
          </w:tcPr>
          <w:p>
            <w:pPr>
              <w:spacing w:after="0" w:line="240" w:lineRule="auto"/>
              <w:jc w:val="right"/>
            </w:pPr>
            <w:r/>
            <w:r>
              <w:rPr>
                <w:b/>
                <w:color w:val="FFFFFF"/>
                <w:sz w:val="19"/>
              </w:rPr>
              <w:t>NPV (EGP m)</w:t>
            </w:r>
          </w:p>
        </w:tc>
        <w:tc>
          <w:tcPr>
            <w:tcW w:type="dxa" w:w="2438"/>
            <w:shd w:val="clear" w:color="auto" w:fill="17324D"/>
          </w:tcPr>
          <w:p>
            <w:pPr>
              <w:spacing w:after="0" w:line="240" w:lineRule="auto"/>
              <w:jc w:val="right"/>
            </w:pPr>
            <w:r/>
            <w:r>
              <w:rPr>
                <w:b/>
                <w:color w:val="FFFFFF"/>
                <w:sz w:val="19"/>
              </w:rPr>
              <w:t>Peak shortage (EGP m)</w:t>
            </w:r>
          </w:p>
        </w:tc>
      </w:tr>
      <w:tr>
        <w:trPr>
          <w:cantSplit/>
        </w:trPr>
        <w:tc>
          <w:tcPr>
            <w:tcW w:type="dxa" w:w="4422"/>
          </w:tcPr>
          <w:p>
            <w:pPr>
              <w:spacing w:after="0" w:line="240" w:lineRule="auto"/>
            </w:pPr>
            <w:r/>
            <w:r>
              <w:rPr>
                <w:sz w:val="19"/>
              </w:rPr>
              <w:t>Prices -19%</w:t>
            </w:r>
          </w:p>
        </w:tc>
        <w:tc>
          <w:tcPr>
            <w:tcW w:type="dxa" w:w="2381"/>
          </w:tcPr>
          <w:p>
            <w:pPr>
              <w:spacing w:after="0" w:line="240" w:lineRule="auto"/>
              <w:jc w:val="right"/>
            </w:pPr>
            <w:r/>
            <w:r>
              <w:rPr>
                <w:sz w:val="19"/>
              </w:rPr>
              <w:t>13</w:t>
            </w:r>
          </w:p>
        </w:tc>
        <w:tc>
          <w:tcPr>
            <w:tcW w:type="dxa" w:w="2438"/>
          </w:tcPr>
          <w:p>
            <w:pPr>
              <w:spacing w:after="0" w:line="240" w:lineRule="auto"/>
              <w:jc w:val="right"/>
            </w:pPr>
            <w:r/>
            <w:r>
              <w:rPr>
                <w:sz w:val="19"/>
              </w:rPr>
              <w:t>184</w:t>
            </w:r>
          </w:p>
        </w:tc>
      </w:tr>
      <w:tr>
        <w:trPr>
          <w:cantSplit/>
        </w:trPr>
        <w:tc>
          <w:tcPr>
            <w:tcW w:type="dxa" w:w="4422"/>
            <w:shd w:val="clear" w:color="auto" w:fill="F2F4F7"/>
          </w:tcPr>
          <w:p>
            <w:pPr>
              <w:spacing w:after="0" w:line="240" w:lineRule="auto"/>
            </w:pPr>
            <w:r/>
            <w:r>
              <w:rPr>
                <w:sz w:val="19"/>
              </w:rPr>
              <w:t>Prices -9%</w:t>
            </w:r>
          </w:p>
        </w:tc>
        <w:tc>
          <w:tcPr>
            <w:tcW w:type="dxa" w:w="2381"/>
            <w:shd w:val="clear" w:color="auto" w:fill="F2F4F7"/>
          </w:tcPr>
          <w:p>
            <w:pPr>
              <w:spacing w:after="0" w:line="240" w:lineRule="auto"/>
              <w:jc w:val="right"/>
            </w:pPr>
            <w:r/>
            <w:r>
              <w:rPr>
                <w:sz w:val="19"/>
              </w:rPr>
              <w:t>116</w:t>
            </w:r>
          </w:p>
        </w:tc>
        <w:tc>
          <w:tcPr>
            <w:tcW w:type="dxa" w:w="2438"/>
            <w:shd w:val="clear" w:color="auto" w:fill="F2F4F7"/>
          </w:tcPr>
          <w:p>
            <w:pPr>
              <w:spacing w:after="0" w:line="240" w:lineRule="auto"/>
              <w:jc w:val="right"/>
            </w:pPr>
            <w:r/>
            <w:r>
              <w:rPr>
                <w:sz w:val="19"/>
              </w:rPr>
              <w:t>114</w:t>
            </w:r>
          </w:p>
        </w:tc>
      </w:tr>
      <w:tr>
        <w:trPr>
          <w:cantSplit/>
        </w:trPr>
        <w:tc>
          <w:tcPr>
            <w:tcW w:type="dxa" w:w="4422"/>
          </w:tcPr>
          <w:p>
            <w:pPr>
              <w:spacing w:after="0" w:line="240" w:lineRule="auto"/>
            </w:pPr>
            <w:r/>
            <w:r>
              <w:rPr>
                <w:sz w:val="19"/>
              </w:rPr>
              <w:t>Prices +10%</w:t>
            </w:r>
          </w:p>
        </w:tc>
        <w:tc>
          <w:tcPr>
            <w:tcW w:type="dxa" w:w="2381"/>
          </w:tcPr>
          <w:p>
            <w:pPr>
              <w:spacing w:after="0" w:line="240" w:lineRule="auto"/>
              <w:jc w:val="right"/>
            </w:pPr>
            <w:r/>
            <w:r>
              <w:rPr>
                <w:sz w:val="19"/>
              </w:rPr>
              <w:t>315</w:t>
            </w:r>
          </w:p>
        </w:tc>
        <w:tc>
          <w:tcPr>
            <w:tcW w:type="dxa" w:w="2438"/>
          </w:tcPr>
          <w:p>
            <w:pPr>
              <w:spacing w:after="0" w:line="240" w:lineRule="auto"/>
              <w:jc w:val="right"/>
            </w:pPr>
            <w:r/>
            <w:r>
              <w:rPr>
                <w:sz w:val="19"/>
              </w:rPr>
              <w:t>102</w:t>
            </w:r>
          </w:p>
        </w:tc>
      </w:tr>
      <w:tr>
        <w:trPr>
          <w:cantSplit/>
        </w:trPr>
        <w:tc>
          <w:tcPr>
            <w:tcW w:type="dxa" w:w="4422"/>
            <w:shd w:val="clear" w:color="auto" w:fill="F2F4F7"/>
          </w:tcPr>
          <w:p>
            <w:pPr>
              <w:spacing w:after="0" w:line="240" w:lineRule="auto"/>
            </w:pPr>
            <w:r/>
            <w:r>
              <w:rPr>
                <w:sz w:val="19"/>
              </w:rPr>
              <w:t>Sales delayed 6 months</w:t>
            </w:r>
          </w:p>
        </w:tc>
        <w:tc>
          <w:tcPr>
            <w:tcW w:type="dxa" w:w="2381"/>
            <w:shd w:val="clear" w:color="auto" w:fill="F2F4F7"/>
          </w:tcPr>
          <w:p>
            <w:pPr>
              <w:spacing w:after="0" w:line="240" w:lineRule="auto"/>
              <w:jc w:val="right"/>
            </w:pPr>
            <w:r/>
            <w:r>
              <w:rPr>
                <w:sz w:val="19"/>
              </w:rPr>
              <w:t>129</w:t>
            </w:r>
          </w:p>
        </w:tc>
        <w:tc>
          <w:tcPr>
            <w:tcW w:type="dxa" w:w="2438"/>
            <w:shd w:val="clear" w:color="auto" w:fill="F2F4F7"/>
          </w:tcPr>
          <w:p>
            <w:pPr>
              <w:spacing w:after="0" w:line="240" w:lineRule="auto"/>
              <w:jc w:val="right"/>
            </w:pPr>
            <w:r/>
            <w:r>
              <w:rPr>
                <w:sz w:val="19"/>
              </w:rPr>
              <w:t>217</w:t>
            </w:r>
          </w:p>
        </w:tc>
      </w:tr>
      <w:tr>
        <w:trPr>
          <w:cantSplit/>
        </w:trPr>
        <w:tc>
          <w:tcPr>
            <w:tcW w:type="dxa" w:w="4422"/>
          </w:tcPr>
          <w:p>
            <w:pPr>
              <w:spacing w:after="0" w:line="240" w:lineRule="auto"/>
            </w:pPr>
            <w:r/>
            <w:r>
              <w:rPr>
                <w:sz w:val="19"/>
              </w:rPr>
              <w:t>Sales delayed 12 months</w:t>
            </w:r>
          </w:p>
        </w:tc>
        <w:tc>
          <w:tcPr>
            <w:tcW w:type="dxa" w:w="2381"/>
          </w:tcPr>
          <w:p>
            <w:pPr>
              <w:spacing w:after="0" w:line="240" w:lineRule="auto"/>
              <w:jc w:val="right"/>
            </w:pPr>
            <w:r/>
            <w:r>
              <w:rPr>
                <w:sz w:val="19"/>
              </w:rPr>
              <w:t>49</w:t>
            </w:r>
          </w:p>
        </w:tc>
        <w:tc>
          <w:tcPr>
            <w:tcW w:type="dxa" w:w="2438"/>
          </w:tcPr>
          <w:p>
            <w:pPr>
              <w:spacing w:after="0" w:line="240" w:lineRule="auto"/>
              <w:jc w:val="right"/>
            </w:pPr>
            <w:r/>
            <w:r>
              <w:rPr>
                <w:sz w:val="19"/>
              </w:rPr>
              <w:t>408</w:t>
            </w:r>
          </w:p>
        </w:tc>
      </w:tr>
      <w:tr>
        <w:trPr>
          <w:cantSplit/>
        </w:trPr>
        <w:tc>
          <w:tcPr>
            <w:tcW w:type="dxa" w:w="4422"/>
            <w:shd w:val="clear" w:color="auto" w:fill="F2F4F7"/>
          </w:tcPr>
          <w:p>
            <w:pPr>
              <w:spacing w:after="0" w:line="240" w:lineRule="auto"/>
            </w:pPr>
            <w:r/>
            <w:r>
              <w:rPr>
                <w:sz w:val="19"/>
              </w:rPr>
              <w:t>Sales delayed 24 months</w:t>
            </w:r>
          </w:p>
        </w:tc>
        <w:tc>
          <w:tcPr>
            <w:tcW w:type="dxa" w:w="2381"/>
            <w:shd w:val="clear" w:color="auto" w:fill="F2F4F7"/>
          </w:tcPr>
          <w:p>
            <w:pPr>
              <w:spacing w:after="0" w:line="240" w:lineRule="auto"/>
              <w:jc w:val="right"/>
            </w:pPr>
            <w:r/>
            <w:r>
              <w:rPr>
                <w:sz w:val="19"/>
              </w:rPr>
              <w:t>-97</w:t>
            </w:r>
          </w:p>
        </w:tc>
        <w:tc>
          <w:tcPr>
            <w:tcW w:type="dxa" w:w="2438"/>
            <w:shd w:val="clear" w:color="auto" w:fill="F2F4F7"/>
          </w:tcPr>
          <w:p>
            <w:pPr>
              <w:spacing w:after="0" w:line="240" w:lineRule="auto"/>
              <w:jc w:val="right"/>
            </w:pPr>
            <w:r/>
            <w:r>
              <w:rPr>
                <w:sz w:val="19"/>
              </w:rPr>
              <w:t>1,075</w:t>
            </w:r>
          </w:p>
        </w:tc>
      </w:tr>
      <w:tr>
        <w:trPr>
          <w:cantSplit/>
        </w:trPr>
        <w:tc>
          <w:tcPr>
            <w:tcW w:type="dxa" w:w="4422"/>
          </w:tcPr>
          <w:p>
            <w:pPr>
              <w:spacing w:after="0" w:line="240" w:lineRule="auto"/>
            </w:pPr>
            <w:r/>
            <w:r>
              <w:rPr>
                <w:sz w:val="19"/>
              </w:rPr>
              <w:t>Delivery payments at handover</w:t>
            </w:r>
          </w:p>
        </w:tc>
        <w:tc>
          <w:tcPr>
            <w:tcW w:type="dxa" w:w="2381"/>
          </w:tcPr>
          <w:p>
            <w:pPr>
              <w:spacing w:after="0" w:line="240" w:lineRule="auto"/>
              <w:jc w:val="right"/>
            </w:pPr>
            <w:r/>
            <w:r>
              <w:rPr>
                <w:sz w:val="19"/>
              </w:rPr>
              <w:t>155</w:t>
            </w:r>
          </w:p>
        </w:tc>
        <w:tc>
          <w:tcPr>
            <w:tcW w:type="dxa" w:w="2438"/>
          </w:tcPr>
          <w:p>
            <w:pPr>
              <w:spacing w:after="0" w:line="240" w:lineRule="auto"/>
              <w:jc w:val="right"/>
            </w:pPr>
            <w:r/>
            <w:r>
              <w:rPr>
                <w:sz w:val="19"/>
              </w:rPr>
              <w:t>269</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The basis for Jalour's position that the separate project-account rule for developers on state-allocated land (Decree 2184 of 2022) does not apply to these plots. The proposed structure does not ring-fence funds.</w:t>
      </w:r>
    </w:p>
    <w:p>
      <w:pPr>
        <w:pStyle w:val="ListBullet"/>
        <w:spacing w:after="60"/>
      </w:pPr>
      <w:r>
        <w:rPr>
          <w:b w:val="0"/>
          <w:i w:val="0"/>
        </w:rPr>
        <w:t>Validity, assignability and any change-of-control or consent clauses in the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registration fees and real estate disposal tax.</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the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company</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Corporate approvals, incumbency, KYC</w:t>
            </w:r>
          </w:p>
        </w:tc>
        <w:tc>
          <w:tcPr>
            <w:tcW w:type="dxa" w:w="3402"/>
            <w:shd w:val="clear" w:color="auto" w:fill="F2F4F7"/>
          </w:tcPr>
          <w:p>
            <w:pPr>
              <w:spacing w:after="0" w:line="240" w:lineRule="auto"/>
            </w:pPr>
            <w:r/>
            <w:r>
              <w:rPr>
                <w:sz w:val="19"/>
              </w:rPr>
              <w:t>All</w:t>
            </w:r>
          </w:p>
        </w:tc>
        <w:tc>
          <w:tcPr>
            <w:tcW w:type="dxa" w:w="1644"/>
            <w:shd w:val="clear" w:color="auto" w:fill="F2F4F7"/>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1701"/>
            <w:shd w:val="clear" w:color="auto" w:fill="17324D"/>
          </w:tcPr>
          <w:p>
            <w:pPr>
              <w:spacing w:after="0" w:line="240" w:lineRule="auto"/>
              <w:jc w:val="right"/>
            </w:pPr>
            <w:r/>
            <w:r>
              <w:rPr>
                <w:b/>
                <w:color w:val="FFFFFF"/>
                <w:sz w:val="19"/>
              </w:rPr>
              <w:t>Jalour cost of capital</w:t>
            </w:r>
          </w:p>
        </w:tc>
        <w:tc>
          <w:tcPr>
            <w:tcW w:type="dxa" w:w="2041"/>
            <w:shd w:val="clear" w:color="auto" w:fill="17324D"/>
          </w:tcPr>
          <w:p>
            <w:pPr>
              <w:spacing w:after="0" w:line="240" w:lineRule="auto"/>
              <w:jc w:val="right"/>
            </w:pPr>
            <w:r/>
            <w:r>
              <w:rPr>
                <w:b/>
                <w:color w:val="FFFFFF"/>
                <w:sz w:val="19"/>
              </w:rPr>
              <w:t>NPV to Jalour at 14% (EGP m)</w:t>
            </w:r>
          </w:p>
        </w:tc>
        <w:tc>
          <w:tcPr>
            <w:tcW w:type="dxa" w:w="1984"/>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at launch list (recommended)</w:t>
            </w:r>
          </w:p>
        </w:tc>
        <w:tc>
          <w:tcPr>
            <w:tcW w:type="dxa" w:w="1701"/>
          </w:tcPr>
          <w:p>
            <w:pPr>
              <w:spacing w:after="0" w:line="240" w:lineRule="auto"/>
              <w:jc w:val="right"/>
            </w:pPr>
            <w:r/>
            <w:r>
              <w:rPr>
                <w:sz w:val="19"/>
              </w:rPr>
              <w:t>20.7%</w:t>
            </w:r>
          </w:p>
        </w:tc>
        <w:tc>
          <w:tcPr>
            <w:tcW w:type="dxa" w:w="2041"/>
          </w:tcPr>
          <w:p>
            <w:pPr>
              <w:spacing w:after="0" w:line="240" w:lineRule="auto"/>
              <w:jc w:val="right"/>
            </w:pPr>
            <w:r/>
            <w:r>
              <w:rPr>
                <w:sz w:val="19"/>
              </w:rPr>
              <w:t>-23.9</w:t>
            </w:r>
          </w:p>
        </w:tc>
        <w:tc>
          <w:tcPr>
            <w:tcW w:type="dxa" w:w="1984"/>
          </w:tcPr>
          <w:p>
            <w:pPr>
              <w:spacing w:after="0" w:line="240" w:lineRule="auto"/>
              <w:jc w:val="right"/>
            </w:pPr>
            <w:r/>
            <w:r>
              <w:rPr>
                <w:sz w:val="19"/>
              </w:rPr>
              <w:t>Removes 41%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1701"/>
            <w:shd w:val="clear" w:color="auto" w:fill="F2F4F7"/>
          </w:tcPr>
          <w:p>
            <w:pPr>
              <w:spacing w:after="0" w:line="240" w:lineRule="auto"/>
              <w:jc w:val="right"/>
            </w:pPr>
            <w:r/>
            <w:r>
              <w:rPr>
                <w:sz w:val="19"/>
              </w:rPr>
              <w:t>30.7%</w:t>
            </w:r>
          </w:p>
        </w:tc>
        <w:tc>
          <w:tcPr>
            <w:tcW w:type="dxa" w:w="2041"/>
            <w:shd w:val="clear" w:color="auto" w:fill="F2F4F7"/>
          </w:tcPr>
          <w:p>
            <w:pPr>
              <w:spacing w:after="0" w:line="240" w:lineRule="auto"/>
              <w:jc w:val="right"/>
            </w:pPr>
            <w:r/>
            <w:r>
              <w:rPr>
                <w:sz w:val="19"/>
              </w:rPr>
              <w:t>-59.7</w:t>
            </w:r>
          </w:p>
        </w:tc>
        <w:tc>
          <w:tcPr>
            <w:tcW w:type="dxa" w:w="1984"/>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1701"/>
          </w:tcPr>
          <w:p>
            <w:pPr>
              <w:spacing w:after="0" w:line="240" w:lineRule="auto"/>
              <w:jc w:val="right"/>
            </w:pPr>
            <w:r/>
            <w:r>
              <w:rPr>
                <w:sz w:val="19"/>
              </w:rPr>
              <w:t>Not considered</w:t>
            </w:r>
          </w:p>
        </w:tc>
        <w:tc>
          <w:tcPr>
            <w:tcW w:type="dxa" w:w="2041"/>
          </w:tcPr>
          <w:p>
            <w:pPr>
              <w:spacing w:after="0" w:line="240" w:lineRule="auto"/>
              <w:jc w:val="right"/>
            </w:pPr>
            <w:r/>
            <w:r>
              <w:rPr>
                <w:sz w:val="19"/>
              </w:rPr>
              <w:t>n/a</w:t>
            </w:r>
          </w:p>
        </w:tc>
        <w:tc>
          <w:tcPr>
            <w:tcW w:type="dxa" w:w="1984"/>
          </w:tcPr>
          <w:p>
            <w:pPr>
              <w:spacing w:after="0" w:line="240" w:lineRule="auto"/>
              <w:jc w:val="right"/>
            </w:pPr>
            <w:r/>
            <w:r>
              <w:rPr>
                <w:sz w:val="19"/>
              </w:rPr>
              <w:t>Excluded by Jalour</w:t>
            </w:r>
          </w:p>
        </w:tc>
      </w:tr>
    </w:tbl>
    <w:p>
      <w:pPr>
        <w:spacing w:after="80"/>
      </w:pPr>
    </w:p>
    <w:p>
      <w:r>
        <w:rPr>
          <w:b w:val="0"/>
          <w:i w:val="0"/>
        </w:rPr>
        <w:t>A mix of retail and offices in proportion to the launch tranches (retail 32%, offices 68%) is recommended. Retail alone would exceed the retail inventory of those tranches at larger tickets.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2665"/>
            <w:shd w:val="clear" w:color="auto" w:fill="17324D"/>
          </w:tcPr>
          <w:p>
            <w:pPr>
              <w:spacing w:after="0" w:line="240" w:lineRule="auto"/>
            </w:pPr>
            <w:r/>
            <w:r>
              <w:rPr>
                <w:b/>
                <w:color w:val="FFFFFF"/>
                <w:sz w:val="18"/>
              </w:rPr>
              <w:t>Structure</w:t>
            </w:r>
          </w:p>
        </w:tc>
        <w:tc>
          <w:tcPr>
            <w:tcW w:type="dxa" w:w="1247"/>
            <w:shd w:val="clear" w:color="auto" w:fill="17324D"/>
          </w:tcPr>
          <w:p>
            <w:pPr>
              <w:spacing w:after="0" w:line="240" w:lineRule="auto"/>
              <w:jc w:val="right"/>
            </w:pPr>
            <w:r/>
            <w:r>
              <w:rPr>
                <w:b/>
                <w:color w:val="FFFFFF"/>
                <w:sz w:val="18"/>
              </w:rPr>
              <w:t>Investor IRR (base)</w:t>
            </w:r>
          </w:p>
        </w:tc>
        <w:tc>
          <w:tcPr>
            <w:tcW w:type="dxa" w:w="1531"/>
            <w:shd w:val="clear" w:color="auto" w:fill="17324D"/>
          </w:tcPr>
          <w:p>
            <w:pPr>
              <w:spacing w:after="0" w:line="240" w:lineRule="auto"/>
              <w:jc w:val="right"/>
            </w:pPr>
            <w:r/>
            <w:r>
              <w:rPr>
                <w:b/>
                <w:color w:val="FFFFFF"/>
                <w:sz w:val="18"/>
              </w:rPr>
              <w:t>Quarters &lt; 1.5x (net cash flow)</w:t>
            </w:r>
          </w:p>
        </w:tc>
        <w:tc>
          <w:tcPr>
            <w:tcW w:type="dxa" w:w="1701"/>
            <w:shd w:val="clear" w:color="auto" w:fill="17324D"/>
          </w:tcPr>
          <w:p>
            <w:pPr>
              <w:spacing w:after="0" w:line="240" w:lineRule="auto"/>
              <w:jc w:val="right"/>
            </w:pPr>
            <w:r/>
            <w:r>
              <w:rPr>
                <w:b/>
                <w:color w:val="FFFFFF"/>
                <w:sz w:val="18"/>
              </w:rPr>
              <w:t>Downside lowest pooled cash (EGP m)</w:t>
            </w:r>
          </w:p>
        </w:tc>
        <w:tc>
          <w:tcPr>
            <w:tcW w:type="dxa" w:w="2098"/>
            <w:shd w:val="clear" w:color="auto" w:fill="17324D"/>
          </w:tcPr>
          <w:p>
            <w:pPr>
              <w:spacing w:after="0" w:line="240" w:lineRule="auto"/>
              <w:jc w:val="right"/>
            </w:pPr>
            <w:r/>
            <w:r>
              <w:rPr>
                <w:b/>
                <w:color w:val="FFFFFF"/>
                <w:sz w:val="18"/>
              </w:rPr>
              <w:t>Why rejected or chosen</w:t>
            </w:r>
          </w:p>
        </w:tc>
      </w:tr>
      <w:tr>
        <w:trPr>
          <w:cantSplit/>
        </w:trPr>
        <w:tc>
          <w:tcPr>
            <w:tcW w:type="dxa" w:w="2665"/>
          </w:tcPr>
          <w:p>
            <w:pPr>
              <w:spacing w:after="0" w:line="240" w:lineRule="auto"/>
            </w:pPr>
            <w:r/>
            <w:r>
              <w:rPr>
                <w:sz w:val="18"/>
              </w:rPr>
              <w:t>S1 fixed multiple, equal instalments</w:t>
            </w:r>
          </w:p>
        </w:tc>
        <w:tc>
          <w:tcPr>
            <w:tcW w:type="dxa" w:w="1247"/>
          </w:tcPr>
          <w:p>
            <w:pPr>
              <w:spacing w:after="0" w:line="240" w:lineRule="auto"/>
              <w:jc w:val="right"/>
            </w:pPr>
            <w:r/>
            <w:r>
              <w:rPr>
                <w:sz w:val="18"/>
              </w:rPr>
              <w:t>26.5%</w:t>
            </w:r>
          </w:p>
        </w:tc>
        <w:tc>
          <w:tcPr>
            <w:tcW w:type="dxa" w:w="1531"/>
          </w:tcPr>
          <w:p>
            <w:pPr>
              <w:spacing w:after="0" w:line="240" w:lineRule="auto"/>
              <w:jc w:val="right"/>
            </w:pPr>
            <w:r/>
            <w:r>
              <w:rPr>
                <w:sz w:val="18"/>
              </w:rPr>
              <w:t>9 of 12</w:t>
            </w:r>
          </w:p>
        </w:tc>
        <w:tc>
          <w:tcPr>
            <w:tcW w:type="dxa" w:w="1701"/>
          </w:tcPr>
          <w:p>
            <w:pPr>
              <w:spacing w:after="0" w:line="240" w:lineRule="auto"/>
              <w:jc w:val="right"/>
            </w:pPr>
            <w:r/>
            <w:r>
              <w:rPr>
                <w:sz w:val="18"/>
              </w:rPr>
              <w:t>-412</w:t>
            </w:r>
          </w:p>
        </w:tc>
        <w:tc>
          <w:tcPr>
            <w:tcW w:type="dxa" w:w="2098"/>
          </w:tcPr>
          <w:p>
            <w:pPr>
              <w:spacing w:after="0" w:line="240" w:lineRule="auto"/>
              <w:jc w:val="right"/>
            </w:pPr>
            <w:r/>
            <w:r>
              <w:rPr>
                <w:sz w:val="18"/>
              </w:rPr>
              <w:t>Chosen: simple and certain</w:t>
            </w:r>
          </w:p>
        </w:tc>
      </w:tr>
      <w:tr>
        <w:trPr>
          <w:cantSplit/>
        </w:trPr>
        <w:tc>
          <w:tcPr>
            <w:tcW w:type="dxa" w:w="2665"/>
            <w:shd w:val="clear" w:color="auto" w:fill="F2F4F7"/>
          </w:tcPr>
          <w:p>
            <w:pPr>
              <w:spacing w:after="0" w:line="240" w:lineRule="auto"/>
            </w:pPr>
            <w:r/>
            <w:r>
              <w:rPr>
                <w:sz w:val="18"/>
              </w:rPr>
              <w:t>S2 30.9% of collections, floor and cap</w:t>
            </w:r>
          </w:p>
        </w:tc>
        <w:tc>
          <w:tcPr>
            <w:tcW w:type="dxa" w:w="1247"/>
            <w:shd w:val="clear" w:color="auto" w:fill="F2F4F7"/>
          </w:tcPr>
          <w:p>
            <w:pPr>
              <w:spacing w:after="0" w:line="240" w:lineRule="auto"/>
              <w:jc w:val="right"/>
            </w:pPr>
            <w:r/>
            <w:r>
              <w:rPr>
                <w:sz w:val="18"/>
              </w:rPr>
              <w:t>29.0%</w:t>
            </w:r>
          </w:p>
        </w:tc>
        <w:tc>
          <w:tcPr>
            <w:tcW w:type="dxa" w:w="1531"/>
            <w:shd w:val="clear" w:color="auto" w:fill="F2F4F7"/>
          </w:tcPr>
          <w:p>
            <w:pPr>
              <w:spacing w:after="0" w:line="240" w:lineRule="auto"/>
              <w:jc w:val="right"/>
            </w:pPr>
            <w:r/>
            <w:r>
              <w:rPr>
                <w:sz w:val="18"/>
              </w:rPr>
              <w:t>8 of 12</w:t>
            </w:r>
          </w:p>
        </w:tc>
        <w:tc>
          <w:tcPr>
            <w:tcW w:type="dxa" w:w="1701"/>
            <w:shd w:val="clear" w:color="auto" w:fill="F2F4F7"/>
          </w:tcPr>
          <w:p>
            <w:pPr>
              <w:spacing w:after="0" w:line="240" w:lineRule="auto"/>
              <w:jc w:val="right"/>
            </w:pPr>
            <w:r/>
            <w:r>
              <w:rPr>
                <w:sz w:val="18"/>
              </w:rPr>
              <w:t>-391</w:t>
            </w:r>
          </w:p>
        </w:tc>
        <w:tc>
          <w:tcPr>
            <w:tcW w:type="dxa" w:w="2098"/>
            <w:shd w:val="clear" w:color="auto" w:fill="F2F4F7"/>
          </w:tcPr>
          <w:p>
            <w:pPr>
              <w:spacing w:after="0" w:line="240" w:lineRule="auto"/>
              <w:jc w:val="right"/>
            </w:pPr>
            <w:r/>
            <w:r>
              <w:rPr>
                <w:sz w:val="18"/>
              </w:rPr>
              <w:t>Takes cash needed for construction; no better coverage</w:t>
            </w:r>
          </w:p>
        </w:tc>
      </w:tr>
      <w:tr>
        <w:trPr>
          <w:cantSplit/>
        </w:trPr>
        <w:tc>
          <w:tcPr>
            <w:tcW w:type="dxa" w:w="2665"/>
          </w:tcPr>
          <w:p>
            <w:pPr>
              <w:spacing w:after="0" w:line="240" w:lineRule="auto"/>
            </w:pPr>
            <w:r/>
            <w:r>
              <w:rPr>
                <w:sz w:val="18"/>
              </w:rPr>
              <w:t>S3 fixed 1.8x plus 4.3% of collections</w:t>
            </w:r>
          </w:p>
        </w:tc>
        <w:tc>
          <w:tcPr>
            <w:tcW w:type="dxa" w:w="1247"/>
          </w:tcPr>
          <w:p>
            <w:pPr>
              <w:spacing w:after="0" w:line="240" w:lineRule="auto"/>
              <w:jc w:val="right"/>
            </w:pPr>
            <w:r/>
            <w:r>
              <w:rPr>
                <w:sz w:val="18"/>
              </w:rPr>
              <w:t>27.8%</w:t>
            </w:r>
          </w:p>
        </w:tc>
        <w:tc>
          <w:tcPr>
            <w:tcW w:type="dxa" w:w="1531"/>
          </w:tcPr>
          <w:p>
            <w:pPr>
              <w:spacing w:after="0" w:line="240" w:lineRule="auto"/>
              <w:jc w:val="right"/>
            </w:pPr>
            <w:r/>
            <w:r>
              <w:rPr>
                <w:sz w:val="18"/>
              </w:rPr>
              <w:t>9 of 12</w:t>
            </w:r>
          </w:p>
        </w:tc>
        <w:tc>
          <w:tcPr>
            <w:tcW w:type="dxa" w:w="1701"/>
          </w:tcPr>
          <w:p>
            <w:pPr>
              <w:spacing w:after="0" w:line="240" w:lineRule="auto"/>
              <w:jc w:val="right"/>
            </w:pPr>
            <w:r/>
            <w:r>
              <w:rPr>
                <w:sz w:val="18"/>
              </w:rPr>
              <w:t>-402</w:t>
            </w:r>
          </w:p>
        </w:tc>
        <w:tc>
          <w:tcPr>
            <w:tcW w:type="dxa" w:w="2098"/>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register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98"/>
            <w:shd w:val="clear" w:color="auto" w:fill="17324D"/>
          </w:tcPr>
          <w:p>
            <w:pPr>
              <w:spacing w:after="0" w:line="240" w:lineRule="auto"/>
            </w:pPr>
            <w:r/>
            <w:r>
              <w:rPr>
                <w:b/>
                <w:color w:val="FFFFFF"/>
                <w:sz w:val="18"/>
              </w:rPr>
              <w:t>Risk</w:t>
            </w:r>
          </w:p>
        </w:tc>
        <w:tc>
          <w:tcPr>
            <w:tcW w:type="dxa" w:w="2608"/>
            <w:shd w:val="clear" w:color="auto" w:fill="17324D"/>
          </w:tcPr>
          <w:p>
            <w:pPr>
              <w:spacing w:after="0" w:line="240" w:lineRule="auto"/>
            </w:pPr>
            <w:r/>
            <w:r>
              <w:rPr>
                <w:b/>
                <w:color w:val="FFFFFF"/>
                <w:sz w:val="18"/>
              </w:rPr>
              <w:t>Effect on the investor</w:t>
            </w:r>
          </w:p>
        </w:tc>
        <w:tc>
          <w:tcPr>
            <w:tcW w:type="dxa" w:w="3061"/>
            <w:shd w:val="clear" w:color="auto" w:fill="17324D"/>
          </w:tcPr>
          <w:p>
            <w:pPr>
              <w:spacing w:after="0" w:line="240" w:lineRule="auto"/>
            </w:pPr>
            <w:r/>
            <w:r>
              <w:rPr>
                <w:b/>
                <w:color w:val="FFFFFF"/>
                <w:sz w:val="18"/>
              </w:rPr>
              <w:t>Mitigant</w:t>
            </w:r>
          </w:p>
        </w:tc>
        <w:tc>
          <w:tcPr>
            <w:tcW w:type="dxa" w:w="1474"/>
            <w:shd w:val="clear" w:color="auto" w:fill="17324D"/>
          </w:tcPr>
          <w:p>
            <w:pPr>
              <w:spacing w:after="0" w:line="240" w:lineRule="auto"/>
            </w:pPr>
            <w:r/>
            <w:r>
              <w:rPr>
                <w:b/>
                <w:color w:val="FFFFFF"/>
                <w:sz w:val="18"/>
              </w:rPr>
              <w:t>Residual</w:t>
            </w:r>
          </w:p>
        </w:tc>
      </w:tr>
      <w:tr>
        <w:trPr>
          <w:cantSplit/>
        </w:trPr>
        <w:tc>
          <w:tcPr>
            <w:tcW w:type="dxa" w:w="2098"/>
          </w:tcPr>
          <w:p>
            <w:pPr>
              <w:spacing w:after="0" w:line="240" w:lineRule="auto"/>
            </w:pPr>
            <w:r/>
            <w:r>
              <w:rPr>
                <w:sz w:val="18"/>
              </w:rPr>
              <w:t>Price below plan</w:t>
            </w:r>
          </w:p>
        </w:tc>
        <w:tc>
          <w:tcPr>
            <w:tcW w:type="dxa" w:w="2608"/>
          </w:tcPr>
          <w:p>
            <w:pPr>
              <w:spacing w:after="0" w:line="240" w:lineRule="auto"/>
            </w:pPr>
            <w:r/>
            <w:r>
              <w:rPr>
                <w:sz w:val="18"/>
              </w:rPr>
              <w:t>Option A value falls; project cash weaker</w:t>
            </w:r>
          </w:p>
        </w:tc>
        <w:tc>
          <w:tcPr>
            <w:tcW w:type="dxa" w:w="3061"/>
          </w:tcPr>
          <w:p>
            <w:pPr>
              <w:spacing w:after="0" w:line="240" w:lineRule="auto"/>
            </w:pPr>
            <w:r/>
            <w:r>
              <w:rPr>
                <w:sz w:val="18"/>
              </w:rPr>
              <w:t>Downside case; Option B unaffected by price</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Sales delay</w:t>
            </w:r>
          </w:p>
        </w:tc>
        <w:tc>
          <w:tcPr>
            <w:tcW w:type="dxa" w:w="2608"/>
            <w:shd w:val="clear" w:color="auto" w:fill="F2F4F7"/>
          </w:tcPr>
          <w:p>
            <w:pPr>
              <w:spacing w:after="0" w:line="240" w:lineRule="auto"/>
            </w:pPr>
            <w:r/>
            <w:r>
              <w:rPr>
                <w:sz w:val="18"/>
              </w:rPr>
              <w:t>Funding peak EGP 408 million at 12 months</w:t>
            </w:r>
          </w:p>
        </w:tc>
        <w:tc>
          <w:tcPr>
            <w:tcW w:type="dxa" w:w="3061"/>
            <w:shd w:val="clear" w:color="auto" w:fill="F2F4F7"/>
          </w:tcPr>
          <w:p>
            <w:pPr>
              <w:spacing w:after="0" w:line="240" w:lineRule="auto"/>
            </w:pPr>
            <w:r/>
            <w:r>
              <w:rPr>
                <w:sz w:val="18"/>
              </w:rPr>
              <w:t>Jalour funding; phased sales</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Delivery payments at handover</w:t>
            </w:r>
          </w:p>
        </w:tc>
        <w:tc>
          <w:tcPr>
            <w:tcW w:type="dxa" w:w="2608"/>
          </w:tcPr>
          <w:p>
            <w:pPr>
              <w:spacing w:after="0" w:line="240" w:lineRule="auto"/>
            </w:pPr>
            <w:r/>
            <w:r>
              <w:rPr>
                <w:sz w:val="18"/>
              </w:rPr>
              <w:t>Peak EGP 269 million</w:t>
            </w:r>
          </w:p>
        </w:tc>
        <w:tc>
          <w:tcPr>
            <w:tcW w:type="dxa" w:w="3061"/>
          </w:tcPr>
          <w:p>
            <w:pPr>
              <w:spacing w:after="0" w:line="240" w:lineRule="auto"/>
            </w:pPr>
            <w:r/>
            <w:r>
              <w:rPr>
                <w:sz w:val="18"/>
              </w:rPr>
              <w:t>Contractual milestone; Jalour funding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Cost overrun</w:t>
            </w:r>
          </w:p>
        </w:tc>
        <w:tc>
          <w:tcPr>
            <w:tcW w:type="dxa" w:w="2608"/>
            <w:shd w:val="clear" w:color="auto" w:fill="F2F4F7"/>
          </w:tcPr>
          <w:p>
            <w:pPr>
              <w:spacing w:after="0" w:line="240" w:lineRule="auto"/>
            </w:pPr>
            <w:r/>
            <w:r>
              <w:rPr>
                <w:sz w:val="18"/>
              </w:rPr>
              <w:t>NPV down EGP 53 million per 10%</w:t>
            </w:r>
          </w:p>
        </w:tc>
        <w:tc>
          <w:tcPr>
            <w:tcW w:type="dxa" w:w="3061"/>
            <w:shd w:val="clear" w:color="auto" w:fill="F2F4F7"/>
          </w:tcPr>
          <w:p>
            <w:pPr>
              <w:spacing w:after="0" w:line="240" w:lineRule="auto"/>
            </w:pPr>
            <w:r/>
            <w:r>
              <w:rPr>
                <w:sz w:val="18"/>
              </w:rPr>
              <w:t>Contingency; fixed-price contracts; engineer</w:t>
            </w:r>
          </w:p>
        </w:tc>
        <w:tc>
          <w:tcPr>
            <w:tcW w:type="dxa" w:w="1474"/>
            <w:shd w:val="clear" w:color="auto" w:fill="F2F4F7"/>
          </w:tcPr>
          <w:p>
            <w:pPr>
              <w:spacing w:after="0" w:line="240" w:lineRule="auto"/>
            </w:pPr>
            <w:r/>
            <w:r>
              <w:rPr>
                <w:sz w:val="18"/>
              </w:rPr>
              <w:t>Medium</w:t>
            </w:r>
          </w:p>
        </w:tc>
      </w:tr>
      <w:tr>
        <w:trPr>
          <w:cantSplit/>
        </w:trPr>
        <w:tc>
          <w:tcPr>
            <w:tcW w:type="dxa" w:w="2098"/>
          </w:tcPr>
          <w:p>
            <w:pPr>
              <w:spacing w:after="0" w:line="240" w:lineRule="auto"/>
            </w:pPr>
            <w:r/>
            <w:r>
              <w:rPr>
                <w:sz w:val="18"/>
              </w:rPr>
              <w:t>Landlord consent or dispute</w:t>
            </w:r>
          </w:p>
        </w:tc>
        <w:tc>
          <w:tcPr>
            <w:tcW w:type="dxa" w:w="2608"/>
          </w:tcPr>
          <w:p>
            <w:pPr>
              <w:spacing w:after="0" w:line="240" w:lineRule="auto"/>
            </w:pPr>
            <w:r/>
            <w:r>
              <w:rPr>
                <w:sz w:val="18"/>
              </w:rPr>
              <w:t>Allocation blocked or delayed</w:t>
            </w:r>
          </w:p>
        </w:tc>
        <w:tc>
          <w:tcPr>
            <w:tcW w:type="dxa" w:w="3061"/>
          </w:tcPr>
          <w:p>
            <w:pPr>
              <w:spacing w:after="0" w:line="240" w:lineRule="auto"/>
            </w:pPr>
            <w:r/>
            <w:r>
              <w:rPr>
                <w:sz w:val="18"/>
              </w:rPr>
              <w:t>Condition precedent</w:t>
            </w:r>
          </w:p>
        </w:tc>
        <w:tc>
          <w:tcPr>
            <w:tcW w:type="dxa" w:w="1474"/>
          </w:tcPr>
          <w:p>
            <w:pPr>
              <w:spacing w:after="0" w:line="240" w:lineRule="auto"/>
            </w:pPr>
            <w:r/>
            <w:r>
              <w:rPr>
                <w:sz w:val="18"/>
              </w:rPr>
              <w:t>Low if obtained</w:t>
            </w:r>
          </w:p>
        </w:tc>
      </w:tr>
      <w:tr>
        <w:trPr>
          <w:cantSplit/>
        </w:trPr>
        <w:tc>
          <w:tcPr>
            <w:tcW w:type="dxa" w:w="2098"/>
            <w:shd w:val="clear" w:color="auto" w:fill="F2F4F7"/>
          </w:tcPr>
          <w:p>
            <w:pPr>
              <w:spacing w:after="0" w:line="240" w:lineRule="auto"/>
            </w:pPr>
            <w:r/>
            <w:r>
              <w:rPr>
                <w:sz w:val="18"/>
              </w:rPr>
              <w:t>Jalour funding capacity</w:t>
            </w:r>
          </w:p>
        </w:tc>
        <w:tc>
          <w:tcPr>
            <w:tcW w:type="dxa" w:w="2608"/>
            <w:shd w:val="clear" w:color="auto" w:fill="F2F4F7"/>
          </w:tcPr>
          <w:p>
            <w:pPr>
              <w:spacing w:after="0" w:line="240" w:lineRule="auto"/>
            </w:pPr>
            <w:r/>
            <w:r>
              <w:rPr>
                <w:sz w:val="18"/>
              </w:rPr>
              <w:t>Option B payouts depend on it in downside</w:t>
            </w:r>
          </w:p>
        </w:tc>
        <w:tc>
          <w:tcPr>
            <w:tcW w:type="dxa" w:w="3061"/>
            <w:shd w:val="clear" w:color="auto" w:fill="F2F4F7"/>
          </w:tcPr>
          <w:p>
            <w:pPr>
              <w:spacing w:after="0" w:line="240" w:lineRule="auto"/>
            </w:pPr>
            <w:r/>
            <w:r>
              <w:rPr>
                <w:sz w:val="18"/>
              </w:rPr>
              <w:t>Funding undertaking; audited accounts; payment priority</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Legal and regulatory</w:t>
            </w:r>
          </w:p>
        </w:tc>
        <w:tc>
          <w:tcPr>
            <w:tcW w:type="dxa" w:w="2608"/>
          </w:tcPr>
          <w:p>
            <w:pPr>
              <w:spacing w:after="0" w:line="240" w:lineRule="auto"/>
            </w:pPr>
            <w:r/>
            <w:r>
              <w:rPr>
                <w:sz w:val="18"/>
              </w:rPr>
              <w:t>Structure may need change</w:t>
            </w:r>
          </w:p>
        </w:tc>
        <w:tc>
          <w:tcPr>
            <w:tcW w:type="dxa" w:w="3061"/>
          </w:tcPr>
          <w:p>
            <w:pPr>
              <w:spacing w:after="0" w:line="240" w:lineRule="auto"/>
            </w:pPr>
            <w:r/>
            <w:r>
              <w:rPr>
                <w:sz w:val="18"/>
              </w:rPr>
              <w:t>Counsel review before signing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Liquidity</w:t>
            </w:r>
          </w:p>
        </w:tc>
        <w:tc>
          <w:tcPr>
            <w:tcW w:type="dxa" w:w="2608"/>
            <w:shd w:val="clear" w:color="auto" w:fill="F2F4F7"/>
          </w:tcPr>
          <w:p>
            <w:pPr>
              <w:spacing w:after="0" w:line="240" w:lineRule="auto"/>
            </w:pPr>
            <w:r/>
            <w:r>
              <w:rPr>
                <w:sz w:val="18"/>
              </w:rPr>
              <w:t>No market for Option B; Option A resale discount</w:t>
            </w:r>
          </w:p>
        </w:tc>
        <w:tc>
          <w:tcPr>
            <w:tcW w:type="dxa" w:w="3061"/>
            <w:shd w:val="clear" w:color="auto" w:fill="F2F4F7"/>
          </w:tcPr>
          <w:p>
            <w:pPr>
              <w:spacing w:after="0" w:line="240" w:lineRule="auto"/>
            </w:pPr>
            <w:r/>
            <w:r>
              <w:rPr>
                <w:sz w:val="18"/>
              </w:rPr>
              <w:t>Contractual schedule; early-assignment table</w:t>
            </w:r>
          </w:p>
        </w:tc>
        <w:tc>
          <w:tcPr>
            <w:tcW w:type="dxa" w:w="1474"/>
            <w:shd w:val="clear" w:color="auto" w:fill="F2F4F7"/>
          </w:tcPr>
          <w:p>
            <w:pPr>
              <w:spacing w:after="0" w:line="240" w:lineRule="auto"/>
            </w:pPr>
            <w:r/>
            <w:r>
              <w:rPr>
                <w:sz w:val="18"/>
              </w:rPr>
              <w:t>Medium</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 collects them at project month 30, 18 months before handover. If collected at handover the peak shortage is EGP 269 million, not EGP 102.5 million.</w:t>
      </w:r>
    </w:p>
    <w:p>
      <w:pPr>
        <w:pStyle w:val="ListNumber"/>
        <w:spacing w:after="60"/>
      </w:pPr>
      <w:r>
        <w:rPr>
          <w:b/>
          <w:i w:val="0"/>
        </w:rPr>
        <w:t>Price growth.</w:t>
      </w:r>
      <w:r>
        <w:rPr>
          <w:b w:val="0"/>
          <w:i w:val="0"/>
        </w:rPr>
        <w:t xml:space="preserve"> The plan needs list prices to rise 33% (retail) and 48% (offices); launch office prices exceed current Mostakbal City asking prices; recent growth evidence is mixed.</w:t>
      </w:r>
    </w:p>
    <w:p>
      <w:pPr>
        <w:pStyle w:val="ListNumber"/>
        <w:spacing w:after="60"/>
      </w:pPr>
      <w:r>
        <w:rPr>
          <w:b/>
          <w:i w:val="0"/>
        </w:rPr>
        <w:t>Sellable office area</w:t>
      </w:r>
      <w:r>
        <w:rPr>
          <w:b w:val="0"/>
          <w:i w:val="0"/>
        </w:rPr>
        <w:t xml:space="preserve"> (10,129 m2) exceeds office built-up area (8,682 m2);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documents in sections 2 and 3 are provided after the investor signs a non-disclosure agreement.</w:t>
      </w:r>
    </w:p>
    <w:p>
      <w:pPr>
        <w:pStyle w:val="ListNumber"/>
        <w:spacing w:after="60"/>
      </w:pPr>
      <w:r>
        <w:rPr>
          <w:b/>
          <w:i w:val="0"/>
        </w:rPr>
        <w:t>Payout coverage.</w:t>
      </w:r>
      <w:r>
        <w:rPr>
          <w:b w:val="0"/>
          <w:i w:val="0"/>
        </w:rPr>
        <w:t xml:space="preserve"> Net cash flow covers Option B instalments by 1.5x or more in only 3 of 12 quarters; the minimum on net cash flow is -7.2x. Pooled cash covers at least 1.4x in the base case.</w:t>
      </w:r>
    </w:p>
    <w:p>
      <w:pPr>
        <w:pStyle w:val="ListNumber"/>
        <w:spacing w:after="60"/>
      </w:pPr>
      <w:r>
        <w:rPr>
          <w:b/>
          <w:i w:val="0"/>
        </w:rPr>
        <w:t>Downside funding need.</w:t>
      </w:r>
      <w:r>
        <w:rPr>
          <w:b w:val="0"/>
          <w:i w:val="0"/>
        </w:rPr>
        <w:t xml:space="preserve"> With sales delayed 12 months and prices 10% lower the funding need is EGP 441 million and the lowest pooled cash after Option B payouts is EGP -412 million. The investor relies on Jalour's capacity to fund it; there is no parent guarantee and no restricted account.</w:t>
      </w:r>
    </w:p>
    <w:p>
      <w:pPr>
        <w:pStyle w:val="ListNumber"/>
        <w:spacing w:after="60"/>
      </w:pPr>
      <w:r>
        <w:rPr>
          <w:b/>
          <w:i w:val="0"/>
        </w:rPr>
        <w:t>Option A uses the first sales tranches.</w:t>
      </w:r>
      <w:r>
        <w:rPr>
          <w:b w:val="0"/>
          <w:i w:val="0"/>
        </w:rPr>
        <w:t xml:space="preserve"> The investor receives 41% of the launch-priced inventory, which raises the peak shortage before the ticket from EGP 102.5 million to EGP 125.3 million and gives the investor units that compete with Jalour's later sales.</w:t>
      </w:r>
    </w:p>
    <w:p>
      <w:pPr>
        <w:pStyle w:val="ListNumber"/>
        <w:spacing w:after="60"/>
      </w:pPr>
      <w:r>
        <w:rPr>
          <w:b/>
          <w:i w:val="0"/>
        </w:rPr>
        <w:t>Commission timing.</w:t>
      </w:r>
      <w:r>
        <w:rPr>
          <w:b w:val="0"/>
          <w:i w:val="0"/>
        </w:rPr>
        <w:t xml:space="preserve"> The model pays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is provided only after the investor signs a non-disclosure agreement, and the </w:t>
      </w:r>
      <w:r>
        <w:rPr>
          <w:b/>
          <w:i w:val="0"/>
        </w:rPr>
        <w:t>form of the investor's instrument</w:t>
      </w:r>
      <w:r>
        <w:rPr>
          <w:b w:val="0"/>
          <w:i w:val="0"/>
        </w:rPr>
        <w:t xml:space="preserve"> is still open.</w:t>
      </w:r>
    </w:p>
    <w:p>
      <w:pPr>
        <w:pStyle w:val="ListNumber"/>
        <w:spacing w:after="60"/>
      </w:pPr>
      <w:r>
        <w:rPr>
          <w:b/>
          <w:i w:val="0"/>
        </w:rPr>
        <w:t>Market data</w:t>
      </w:r>
      <w:r>
        <w:rPr>
          <w:b w:val="0"/>
          <w:i w:val="0"/>
        </w:rPr>
        <w:t xml:space="preserve"> are reported from third-party summaries and asking prices; they are not audited.</w:t>
      </w:r>
    </w:p>
    <w:p>
      <w:r>
        <w:rPr>
          <w:b/>
          <w:i w:val="0"/>
        </w:rPr>
        <w:t>Sponsor capacity (additional).</w:t>
      </w:r>
      <w:r>
        <w:rPr>
          <w:b w:val="0"/>
          <w:i w:val="0"/>
        </w:rPr>
        <w:t xml:space="preserve"> Jalour's funding undertaking draws on its cash reserves and on other projects' cash. The combined view of Green Square and L'avenir (Investment Memorandum, section 11.2) shows a base-case combined low of EGP 168.0 million in month 15, but in the downside case both projects are short at the same time and the combined peak shortage is EGP 1,089 million.</w:t>
      </w:r>
    </w:p>
    <w:p>
      <w:pPr>
        <w:pStyle w:val="Heading1"/>
        <w:pageBreakBefore/>
      </w:pPr>
      <w:r>
        <w:t>11. Questions an investor is likely to ask</w:t>
      </w:r>
    </w:p>
    <w:p>
      <w:r>
        <w:rPr>
          <w:b/>
          <w:i w:val="0"/>
        </w:rPr>
        <w:t>Is the price growth realistic?</w:t>
      </w:r>
      <w:r>
        <w:rPr>
          <w:b w:val="0"/>
          <w:i w:val="0"/>
        </w:rPr>
        <w:t xml:space="preserve"> The plan needs +33% retail and +48% offices. Evidence is mixed (section 5). Option B removes the exposure; the Option A downside shows 18.6% IRR.</w:t>
      </w:r>
    </w:p>
    <w:p>
      <w:r>
        <w:rPr>
          <w:b/>
          <w:i w:val="0"/>
        </w:rPr>
        <w:t>What if delivery payments are not received early?</w:t>
      </w:r>
      <w:r>
        <w:rPr>
          <w:b w:val="0"/>
          <w:i w:val="0"/>
        </w:rPr>
        <w:t xml:space="preserve"> Peak funding rises to EGP 269 million (Investment Memorandum, section 11). Jalour funds the gap.</w:t>
      </w:r>
    </w:p>
    <w:p>
      <w:r>
        <w:rPr>
          <w:b/>
          <w:i w:val="0"/>
        </w:rPr>
        <w:t>Who pays if the project has a gap?</w:t>
      </w:r>
      <w:r>
        <w:rPr>
          <w:b w:val="0"/>
          <w:i w:val="0"/>
        </w:rPr>
        <w:t xml:space="preserve"> Jalour has said it will cover project funding gaps from its cash reserves and from cash generated by other projects it is constructing. The form and cap are to be documented; see red flag 7.</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 with Al Ahly Sabbour, payment schedule, down payment proof, consents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 licences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 bill of quantities, contractor quotes, programme</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 payment plans, standard sale contract, valuation, comparables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 security documents, opinions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80"/>
            <w:shd w:val="clear" w:color="auto" w:fill="17324D"/>
          </w:tcPr>
          <w:p>
            <w:pPr>
              <w:spacing w:after="0" w:line="240" w:lineRule="auto"/>
            </w:pPr>
            <w:r/>
            <w:r>
              <w:rPr>
                <w:b/>
                <w:color w:val="FFFFFF"/>
                <w:sz w:val="19"/>
              </w:rPr>
              <w:t>No.</w:t>
            </w:r>
          </w:p>
        </w:tc>
        <w:tc>
          <w:tcPr>
            <w:tcW w:type="dxa" w:w="6633"/>
            <w:shd w:val="clear" w:color="auto" w:fill="17324D"/>
          </w:tcPr>
          <w:p>
            <w:pPr>
              <w:spacing w:after="0" w:line="240" w:lineRule="auto"/>
            </w:pPr>
            <w:r/>
            <w:r>
              <w:rPr>
                <w:b/>
                <w:color w:val="FFFFFF"/>
                <w:sz w:val="19"/>
              </w:rPr>
              <w:t>Item</w:t>
            </w:r>
          </w:p>
        </w:tc>
        <w:tc>
          <w:tcPr>
            <w:tcW w:type="dxa" w:w="1928"/>
            <w:shd w:val="clear" w:color="auto" w:fill="17324D"/>
          </w:tcPr>
          <w:p>
            <w:pPr>
              <w:spacing w:after="0" w:line="240" w:lineRule="auto"/>
            </w:pPr>
            <w:r/>
            <w:r>
              <w:rPr>
                <w:b/>
                <w:color w:val="FFFFFF"/>
                <w:sz w:val="19"/>
              </w:rPr>
              <w:t>Owner</w:t>
            </w:r>
          </w:p>
        </w:tc>
      </w:tr>
      <w:tr>
        <w:trPr>
          <w:cantSplit/>
        </w:trPr>
        <w:tc>
          <w:tcPr>
            <w:tcW w:type="dxa" w:w="680"/>
          </w:tcPr>
          <w:p>
            <w:pPr>
              <w:spacing w:after="0" w:line="240" w:lineRule="auto"/>
            </w:pPr>
            <w:r/>
            <w:r>
              <w:rPr>
                <w:sz w:val="19"/>
              </w:rPr>
              <w:t>1</w:t>
            </w:r>
          </w:p>
        </w:tc>
        <w:tc>
          <w:tcPr>
            <w:tcW w:type="dxa" w:w="6633"/>
          </w:tcPr>
          <w:p>
            <w:pPr>
              <w:spacing w:after="0" w:line="240" w:lineRule="auto"/>
            </w:pPr>
            <w:r/>
            <w:r>
              <w:rPr>
                <w:sz w:val="19"/>
              </w:rPr>
              <w:t>Landlord written consent: allocation, assignment, earmark</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2</w:t>
            </w:r>
          </w:p>
        </w:tc>
        <w:tc>
          <w:tcPr>
            <w:tcW w:type="dxa" w:w="6633"/>
            <w:shd w:val="clear" w:color="auto" w:fill="F2F4F7"/>
          </w:tcPr>
          <w:p>
            <w:pPr>
              <w:spacing w:after="0" w:line="240" w:lineRule="auto"/>
            </w:pPr>
            <w:r/>
            <w:r>
              <w:rPr>
                <w:sz w:val="19"/>
              </w:rPr>
              <w:t>Legal form of the investor's instrument, project company name and jurisdiction</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3</w:t>
            </w:r>
          </w:p>
        </w:tc>
        <w:tc>
          <w:tcPr>
            <w:tcW w:type="dxa" w:w="6633"/>
          </w:tcPr>
          <w:p>
            <w:pPr>
              <w:spacing w:after="0" w:line="240" w:lineRule="auto"/>
            </w:pPr>
            <w:r/>
            <w:r>
              <w:rPr>
                <w:sz w:val="19"/>
              </w:rPr>
              <w:t>Confirm Jalour will not guarantee the return; documentation of the funding undertaking (form, amount)</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4</w:t>
            </w:r>
          </w:p>
        </w:tc>
        <w:tc>
          <w:tcPr>
            <w:tcW w:type="dxa" w:w="6633"/>
            <w:shd w:val="clear" w:color="auto" w:fill="F2F4F7"/>
          </w:tcPr>
          <w:p>
            <w:pPr>
              <w:spacing w:after="0" w:line="240" w:lineRule="auto"/>
            </w:pPr>
            <w:r/>
            <w:r>
              <w:rPr>
                <w:sz w:val="19"/>
              </w:rPr>
              <w:t>Evidence that delivery payments are contractual before handover</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5</w:t>
            </w:r>
          </w:p>
        </w:tc>
        <w:tc>
          <w:tcPr>
            <w:tcW w:type="dxa" w:w="6633"/>
          </w:tcPr>
          <w:p>
            <w:pPr>
              <w:spacing w:after="0" w:line="240" w:lineRule="auto"/>
            </w:pPr>
            <w:r/>
            <w:r>
              <w:rPr>
                <w:sz w:val="19"/>
              </w:rPr>
              <w:t>Area schedule reconciling sellable and built-up office area</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6</w:t>
            </w:r>
          </w:p>
        </w:tc>
        <w:tc>
          <w:tcPr>
            <w:tcW w:type="dxa" w:w="6633"/>
            <w:shd w:val="clear" w:color="auto" w:fill="F2F4F7"/>
          </w:tcPr>
          <w:p>
            <w:pPr>
              <w:spacing w:after="0" w:line="240" w:lineRule="auto"/>
            </w:pPr>
            <w:r/>
            <w:r>
              <w:rPr>
                <w:sz w:val="19"/>
              </w:rPr>
              <w:t>Cost basis: contractor quote, bill of quantities, factor of 8, pre-construction budget</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7</w:t>
            </w:r>
          </w:p>
        </w:tc>
        <w:tc>
          <w:tcPr>
            <w:tcW w:type="dxa" w:w="6633"/>
          </w:tcPr>
          <w:p>
            <w:pPr>
              <w:spacing w:after="0" w:line="240" w:lineRule="auto"/>
            </w:pPr>
            <w:r/>
            <w:r>
              <w:rPr>
                <w:sz w:val="19"/>
              </w:rPr>
              <w:t>Permits, licences, title status</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8</w:t>
            </w:r>
          </w:p>
        </w:tc>
        <w:tc>
          <w:tcPr>
            <w:tcW w:type="dxa" w:w="6633"/>
            <w:shd w:val="clear" w:color="auto" w:fill="F2F4F7"/>
          </w:tcPr>
          <w:p>
            <w:pPr>
              <w:spacing w:after="0" w:line="240" w:lineRule="auto"/>
            </w:pPr>
            <w:r/>
            <w:r>
              <w:rPr>
                <w:sz w:val="19"/>
              </w:rPr>
              <w:t>Track record, team, audited financial statements</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9</w:t>
            </w:r>
          </w:p>
        </w:tc>
        <w:tc>
          <w:tcPr>
            <w:tcW w:type="dxa" w:w="6633"/>
          </w:tcPr>
          <w:p>
            <w:pPr>
              <w:spacing w:after="0" w:line="240" w:lineRule="auto"/>
            </w:pPr>
            <w:r/>
            <w:r>
              <w:rPr>
                <w:sz w:val="19"/>
              </w:rPr>
              <w:t>Regulatory position of the placement; separate project account question</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10</w:t>
            </w:r>
          </w:p>
        </w:tc>
        <w:tc>
          <w:tcPr>
            <w:tcW w:type="dxa" w:w="6633"/>
            <w:shd w:val="clear" w:color="auto" w:fill="F2F4F7"/>
          </w:tcPr>
          <w:p>
            <w:pPr>
              <w:spacing w:after="0" w:line="240" w:lineRule="auto"/>
            </w:pPr>
            <w:r/>
            <w:r>
              <w:rPr>
                <w:sz w:val="19"/>
              </w:rPr>
              <w:t>Secondary transfer rules and fees for unit contracts</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11</w:t>
            </w:r>
          </w:p>
        </w:tc>
        <w:tc>
          <w:tcPr>
            <w:tcW w:type="dxa" w:w="6633"/>
          </w:tcPr>
          <w:p>
            <w:pPr>
              <w:spacing w:after="0" w:line="240" w:lineRule="auto"/>
            </w:pPr>
            <w:r/>
            <w:r>
              <w:rPr>
                <w:sz w:val="19"/>
              </w:rPr>
              <w:t>Foreign investor, FX and repatriation treatment</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12</w:t>
            </w:r>
          </w:p>
        </w:tc>
        <w:tc>
          <w:tcPr>
            <w:tcW w:type="dxa" w:w="6633"/>
            <w:shd w:val="clear" w:color="auto" w:fill="F2F4F7"/>
          </w:tcPr>
          <w:p>
            <w:pPr>
              <w:spacing w:after="0" w:line="240" w:lineRule="auto"/>
            </w:pPr>
            <w:r/>
            <w:r>
              <w:rPr>
                <w:sz w:val="19"/>
              </w:rPr>
              <w:t>Verification of market data against original sources</w:t>
            </w:r>
          </w:p>
        </w:tc>
        <w:tc>
          <w:tcPr>
            <w:tcW w:type="dxa" w:w="1928"/>
            <w:shd w:val="clear" w:color="auto" w:fill="F2F4F7"/>
          </w:tcPr>
          <w:p>
            <w:pPr>
              <w:spacing w:after="0" w:line="240" w:lineRule="auto"/>
            </w:pPr>
            <w:r/>
            <w:r>
              <w:rPr>
                <w:sz w:val="19"/>
              </w:rPr>
              <w:t>Jalour</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 Due Diligence Memorandum (EGP 125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