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Green Square</w:t>
      </w:r>
    </w:p>
    <w:p>
      <w:pPr>
        <w:spacing w:after="280"/>
      </w:pPr>
      <w:r>
        <w:rPr>
          <w:b w:val="0"/>
          <w:i w:val="0"/>
          <w:color w:val="1B1F2A"/>
          <w:sz w:val="30"/>
        </w:rPr>
        <w:t>Commercial and office development, El Mostakbal City, Cairo</w:t>
      </w:r>
    </w:p>
    <w:p>
      <w:pPr>
        <w:spacing w:after="40"/>
      </w:pPr>
      <w:r>
        <w:rPr>
          <w:b/>
          <w:i w:val="0"/>
          <w:color w:val="17324D"/>
          <w:sz w:val="28"/>
        </w:rPr>
        <w:t>INVESTMENT MEMORANDUM</w:t>
      </w:r>
    </w:p>
    <w:p>
      <w:pPr>
        <w:spacing w:after="40"/>
      </w:pPr>
      <w:r>
        <w:rPr>
          <w:b w:val="0"/>
          <w:i w:val="0"/>
          <w:sz w:val="24"/>
        </w:rPr>
        <w:t>Private placement of EGP 125 million (USD 2.6 million at EGP 48 per USD)</w:t>
      </w:r>
    </w:p>
    <w:p>
      <w:pPr>
        <w:spacing w:after="720"/>
      </w:pPr>
      <w:r>
        <w:rPr>
          <w:b w:val="0"/>
          <w:i w:val="0"/>
          <w:sz w:val="24"/>
        </w:rPr>
        <w:t>Option A: units. Option B: cash.</w:t>
      </w:r>
    </w:p>
    <w:p>
      <w:pPr>
        <w:spacing w:after="40"/>
      </w:pPr>
      <w:r>
        <w:rPr>
          <w:b w:val="0"/>
          <w:i w:val="0"/>
          <w:sz w:val="21"/>
        </w:rPr>
        <w:t>Issued by Jalour Developments, a subsidiary of Al Jalal Holding, Cairo</w:t>
      </w:r>
    </w:p>
    <w:p>
      <w:r>
        <w:rPr>
          <w:b w:val="0"/>
          <w:i w:val="0"/>
          <w:color w:val="6B7280"/>
          <w:sz w:val="21"/>
        </w:rPr>
        <w:t>October 2026. Draft for discussion with the named investor only.</w:t>
      </w:r>
    </w:p>
    <w:p>
      <w:pPr>
        <w:pStyle w:val="Heading1"/>
        <w:pageBreakBefore/>
      </w:pPr>
      <w:r>
        <w:t>Important notice</w:t>
      </w:r>
    </w:p>
    <w:p>
      <w:r>
        <w:rPr>
          <w:b w:val="0"/>
          <w:i w:val="0"/>
        </w:rPr>
        <w:t>This memorandum has been prepared by Jalour Developments (Jalour) for the sole use of the investor to whom it is addressed. It is confidential. It must not be copied, distributed or disclosed to any other person without Jalour's written consent.</w:t>
      </w:r>
    </w:p>
    <w:p>
      <w:r>
        <w:rPr>
          <w:b w:val="0"/>
          <w:i w:val="0"/>
        </w:rPr>
        <w:t>It is not an offer to the public and is not a prospectus. It has not been reviewed or approved by any regulator. Whether this placement requires any regulatory filing, approval or exemption in Egypt or elsewhere is a matter for legal counsel; nothing here is legal, tax or investment advice.</w:t>
      </w:r>
    </w:p>
    <w:p>
      <w:r>
        <w:rPr>
          <w:b w:val="0"/>
          <w:i w:val="0"/>
        </w:rPr>
        <w:t>All forecasts, returns, multiples, internal rates of return, cash flows and market statements are projections or reported third-party statements, not statements of fact or guarantees. Actual results may differ materially. Every return figure in this memorandum is labelled with its case (base, downside or upside).</w:t>
      </w:r>
    </w:p>
    <w:p>
      <w:r>
        <w:rPr>
          <w:b w:val="0"/>
          <w:i w:val="0"/>
        </w:rPr>
        <w:t>Figures come from the Jalour financial model for the project and are reproduced in the Financial Annex, whose Summary sheet is the reference for every number below. Market data are taken from third-party publications identified in the text and in Appendix D; Jalour has not independently verified them. Property listings are asking prices, not transaction prices.</w:t>
      </w:r>
    </w:p>
    <w:p>
      <w:r>
        <w:rPr>
          <w:b w:val="0"/>
          <w:i w:val="0"/>
        </w:rPr>
        <w:t>Items shown in square brackets are provided after the investor signs a non-disclosure agreement. Terms are indicative until set out in definitive agreements, which prevail over this memorandum.</w:t>
      </w:r>
    </w:p>
    <w:p>
      <w:r>
        <w:rPr>
          <w:b w:val="0"/>
          <w:i w:val="0"/>
        </w:rPr>
        <w:t>Jalour may raise further capital at project or holding level, subject to the investor's stated rights as to ranking, collateral and information. This memorandum creates no exclusivity in favour of any investor.</w:t>
      </w:r>
    </w:p>
    <w:p>
      <w:r>
        <w:rPr>
          <w:b w:val="0"/>
          <w:i w:val="0"/>
        </w:rPr>
        <w:t>The investment has no exposure to other Jalour projects: the project is held in its own company, with no cross-collateral and no cross-default to any other project.</w:t>
      </w:r>
    </w:p>
    <w:p>
      <w:pPr>
        <w:pStyle w:val="Heading1"/>
        <w:pageBreakBefore/>
      </w:pPr>
      <w:r>
        <w:t>Contents</w:t>
      </w:r>
    </w:p>
    <w:p>
      <w:pPr>
        <w:tabs>
          <w:tab w:pos="9241" w:val="right" w:leader="dot"/>
        </w:tabs>
        <w:spacing w:after="60"/>
      </w:pPr>
      <w:r>
        <w:rPr>
          <w:sz w:val="22"/>
        </w:rPr>
        <w:t>1. Executive summary</w:t>
        <w:tab/>
        <w:t>4</w:t>
      </w:r>
    </w:p>
    <w:p>
      <w:pPr>
        <w:tabs>
          <w:tab w:pos="9241" w:val="right" w:leader="dot"/>
        </w:tabs>
        <w:spacing w:after="60"/>
      </w:pPr>
      <w:r>
        <w:rPr>
          <w:sz w:val="22"/>
        </w:rPr>
        <w:t>2. Transaction overview</w:t>
        <w:tab/>
        <w:t>5</w:t>
      </w:r>
    </w:p>
    <w:p>
      <w:pPr>
        <w:tabs>
          <w:tab w:pos="9241" w:val="right" w:leader="dot"/>
        </w:tabs>
        <w:spacing w:after="60"/>
      </w:pPr>
      <w:r>
        <w:rPr>
          <w:sz w:val="22"/>
        </w:rPr>
        <w:t>3. Investment thesis</w:t>
        <w:tab/>
        <w:t>6</w:t>
      </w:r>
    </w:p>
    <w:p>
      <w:pPr>
        <w:tabs>
          <w:tab w:pos="9241" w:val="right" w:leader="dot"/>
        </w:tabs>
        <w:spacing w:after="60"/>
      </w:pPr>
      <w:r>
        <w:rPr>
          <w:sz w:val="22"/>
        </w:rPr>
        <w:t>4. Market analysis</w:t>
        <w:tab/>
        <w:t>7</w:t>
      </w:r>
    </w:p>
    <w:p>
      <w:pPr>
        <w:tabs>
          <w:tab w:pos="9241" w:val="right" w:leader="dot"/>
        </w:tabs>
        <w:spacing w:after="60"/>
      </w:pPr>
      <w:r>
        <w:rPr>
          <w:sz w:val="22"/>
        </w:rPr>
        <w:t>5. Project description</w:t>
        <w:tab/>
        <w:t>10</w:t>
      </w:r>
    </w:p>
    <w:p>
      <w:pPr>
        <w:tabs>
          <w:tab w:pos="9241" w:val="right" w:leader="dot"/>
        </w:tabs>
        <w:spacing w:after="60"/>
      </w:pPr>
      <w:r>
        <w:rPr>
          <w:sz w:val="22"/>
        </w:rPr>
        <w:t>6. The Al Ahly Sabbour agreement and consents</w:t>
        <w:tab/>
        <w:t>11</w:t>
      </w:r>
    </w:p>
    <w:p>
      <w:pPr>
        <w:tabs>
          <w:tab w:pos="9241" w:val="right" w:leader="dot"/>
        </w:tabs>
        <w:spacing w:after="60"/>
      </w:pPr>
      <w:r>
        <w:rPr>
          <w:sz w:val="22"/>
        </w:rPr>
        <w:t>7. Sponsor and management</w:t>
        <w:tab/>
        <w:t>11</w:t>
      </w:r>
    </w:p>
    <w:p>
      <w:pPr>
        <w:tabs>
          <w:tab w:pos="9241" w:val="right" w:leader="dot"/>
        </w:tabs>
        <w:spacing w:after="60"/>
      </w:pPr>
      <w:r>
        <w:rPr>
          <w:sz w:val="22"/>
        </w:rPr>
        <w:t>8. Business plan and assumptions</w:t>
        <w:tab/>
        <w:t>13</w:t>
      </w:r>
    </w:p>
    <w:p>
      <w:pPr>
        <w:tabs>
          <w:tab w:pos="9241" w:val="right" w:leader="dot"/>
        </w:tabs>
        <w:spacing w:after="60"/>
      </w:pPr>
      <w:r>
        <w:rPr>
          <w:sz w:val="22"/>
        </w:rPr>
        <w:t>9. Sales and collections model</w:t>
        <w:tab/>
        <w:t>14</w:t>
      </w:r>
    </w:p>
    <w:p>
      <w:pPr>
        <w:tabs>
          <w:tab w:pos="9241" w:val="right" w:leader="dot"/>
        </w:tabs>
        <w:spacing w:after="60"/>
      </w:pPr>
      <w:r>
        <w:rPr>
          <w:sz w:val="22"/>
        </w:rPr>
        <w:t>10. Cost model</w:t>
        <w:tab/>
        <w:t>15</w:t>
      </w:r>
    </w:p>
    <w:p>
      <w:pPr>
        <w:tabs>
          <w:tab w:pos="9241" w:val="right" w:leader="dot"/>
        </w:tabs>
        <w:spacing w:after="60"/>
      </w:pPr>
      <w:r>
        <w:rPr>
          <w:sz w:val="22"/>
        </w:rPr>
        <w:t>11. Funding plan and use of funds</w:t>
        <w:tab/>
        <w:t>16</w:t>
      </w:r>
    </w:p>
    <w:p>
      <w:pPr>
        <w:tabs>
          <w:tab w:pos="9241" w:val="right" w:leader="dot"/>
        </w:tabs>
        <w:spacing w:after="60"/>
      </w:pPr>
      <w:r>
        <w:rPr>
          <w:sz w:val="22"/>
        </w:rPr>
        <w:t>12. Investment terms</w:t>
        <w:tab/>
        <w:t>19</w:t>
      </w:r>
    </w:p>
    <w:p>
      <w:pPr>
        <w:tabs>
          <w:tab w:pos="9241" w:val="right" w:leader="dot"/>
        </w:tabs>
        <w:spacing w:after="60"/>
      </w:pPr>
      <w:r>
        <w:rPr>
          <w:sz w:val="22"/>
        </w:rPr>
        <w:t>13. Returns analysis and sensitivities</w:t>
        <w:tab/>
        <w:t>21</w:t>
      </w:r>
    </w:p>
    <w:p>
      <w:pPr>
        <w:tabs>
          <w:tab w:pos="9241" w:val="right" w:leader="dot"/>
        </w:tabs>
        <w:spacing w:after="60"/>
      </w:pPr>
      <w:r>
        <w:rPr>
          <w:sz w:val="22"/>
        </w:rPr>
        <w:t>14. Security and ranking</w:t>
        <w:tab/>
        <w:t>25</w:t>
      </w:r>
    </w:p>
    <w:p>
      <w:pPr>
        <w:tabs>
          <w:tab w:pos="9241" w:val="right" w:leader="dot"/>
        </w:tabs>
        <w:spacing w:after="60"/>
      </w:pPr>
      <w:r>
        <w:rPr>
          <w:sz w:val="22"/>
        </w:rPr>
        <w:t>15. Governance and information rights</w:t>
        <w:tab/>
        <w:t>25</w:t>
      </w:r>
    </w:p>
    <w:p>
      <w:pPr>
        <w:tabs>
          <w:tab w:pos="9241" w:val="right" w:leader="dot"/>
        </w:tabs>
        <w:spacing w:after="60"/>
      </w:pPr>
      <w:r>
        <w:rPr>
          <w:sz w:val="22"/>
        </w:rPr>
        <w:t>16. Exit and liquidity</w:t>
        <w:tab/>
        <w:t>26</w:t>
      </w:r>
    </w:p>
    <w:p>
      <w:pPr>
        <w:tabs>
          <w:tab w:pos="9241" w:val="right" w:leader="dot"/>
        </w:tabs>
        <w:spacing w:after="60"/>
      </w:pPr>
      <w:r>
        <w:rPr>
          <w:sz w:val="22"/>
        </w:rPr>
        <w:t>17. Risk factors</w:t>
        <w:tab/>
        <w:t>27</w:t>
      </w:r>
    </w:p>
    <w:p>
      <w:pPr>
        <w:tabs>
          <w:tab w:pos="9241" w:val="right" w:leader="dot"/>
        </w:tabs>
        <w:spacing w:after="60"/>
      </w:pPr>
      <w:r>
        <w:rPr>
          <w:sz w:val="22"/>
        </w:rPr>
        <w:t>18. Tax and legal considerations</w:t>
        <w:tab/>
        <w:t>28</w:t>
      </w:r>
    </w:p>
    <w:p>
      <w:pPr>
        <w:tabs>
          <w:tab w:pos="9241" w:val="right" w:leader="dot"/>
        </w:tabs>
        <w:spacing w:after="60"/>
      </w:pPr>
      <w:r>
        <w:rPr>
          <w:sz w:val="22"/>
        </w:rPr>
        <w:t>Appendices</w:t>
        <w:tab/>
        <w:t>29</w:t>
      </w:r>
    </w:p>
    <w:p>
      <w:pPr>
        <w:pStyle w:val="Heading1"/>
        <w:pageBreakBefore/>
      </w:pPr>
      <w:r>
        <w:t>1. Executive summary</w:t>
      </w:r>
    </w:p>
    <w:p>
      <w:r>
        <w:rPr>
          <w:b w:val="0"/>
          <w:i w:val="0"/>
        </w:rPr>
        <w:t>Jalour is raising EGP 125 million from a single investor to part-fund Green Square, a 13,023 m2 commercial and office development of G+2 buildings on a 14,470 m2 plot in El Mostakbal City, east of New Cairo. The land belongs to Al Ahly Sabbour. Jalour is developer and operator: it designs, obtains permits, builds to core-and-shell standard, markets, sells, collects and operates. Collections are shared 35% to the landowner (subject to a minimum guarantee of EGP 800 million over six years) and 65% to Jalour.</w:t>
      </w:r>
    </w:p>
    <w:p>
      <w:r>
        <w:rPr>
          <w:b w:val="0"/>
          <w:i w:val="0"/>
        </w:rPr>
        <w:t>The investor chooses one of two instruments at signing:</w:t>
      </w:r>
    </w:p>
    <w:p>
      <w:pPr>
        <w:pStyle w:val="ListBullet"/>
        <w:spacing w:after="60"/>
      </w:pPr>
      <w:r>
        <w:rPr>
          <w:b/>
          <w:i w:val="0"/>
        </w:rPr>
        <w:t>Option A, units.</w:t>
      </w:r>
      <w:r>
        <w:rPr>
          <w:b w:val="0"/>
          <w:i w:val="0"/>
        </w:rPr>
        <w:t xml:space="preserve"> Units with a face value of EGP 250 million, twice the ticket, priced at the launch list (retail EGP 225,000 per m2, offices EGP 135,000 per m2), allocated from the first two sales tranches. At the model's delivery list prices the units are worth EGP 358 million. Projected investor IRR: 26.4% base, 18.6% downside, 29.2% upside.</w:t>
      </w:r>
    </w:p>
    <w:p>
      <w:pPr>
        <w:pStyle w:val="ListBullet"/>
        <w:spacing w:after="60"/>
      </w:pPr>
      <w:r>
        <w:rPr>
          <w:b/>
          <w:i w:val="0"/>
        </w:rPr>
        <w:t>Option B, cash.</w:t>
      </w:r>
      <w:r>
        <w:rPr>
          <w:b w:val="0"/>
          <w:i w:val="0"/>
        </w:rPr>
        <w:t xml:space="preserve"> EGP 288 million (2.3x the ticket) in 12 equal quarterly instalments of EGP 23.96 million after a 24-month grace period, from month 30 to month 63. Projected investor IRR 26.5%, contractual if Jalour pays.</w:t>
      </w:r>
    </w:p>
    <w:p>
      <w:pPr>
        <w:keepNext/>
        <w:spacing w:after="60"/>
      </w:pPr>
      <w:r>
        <w:rPr>
          <w:b/>
          <w:color w:val="17324D"/>
          <w:sz w:val="19"/>
        </w:rPr>
        <w:t>Table 1: Headline figures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236"/>
            <w:shd w:val="clear" w:color="auto" w:fill="17324D"/>
          </w:tcPr>
          <w:p>
            <w:pPr>
              <w:spacing w:after="0" w:line="240" w:lineRule="auto"/>
            </w:pPr>
            <w:r/>
            <w:r>
              <w:rPr>
                <w:b/>
                <w:color w:val="FFFFFF"/>
                <w:sz w:val="19"/>
              </w:rPr>
              <w:t>Key figures (EGP million unless stated)</w:t>
            </w:r>
          </w:p>
        </w:tc>
        <w:tc>
          <w:tcPr>
            <w:tcW w:type="dxa" w:w="3005"/>
            <w:shd w:val="clear" w:color="auto" w:fill="17324D"/>
          </w:tcPr>
          <w:p>
            <w:pPr>
              <w:spacing w:after="0" w:line="240" w:lineRule="auto"/>
              <w:jc w:val="right"/>
            </w:pPr>
            <w:r/>
            <w:r>
              <w:rPr>
                <w:b/>
                <w:color w:val="FFFFFF"/>
                <w:sz w:val="19"/>
              </w:rPr>
              <w:t>Value</w:t>
            </w:r>
          </w:p>
        </w:tc>
      </w:tr>
      <w:tr>
        <w:trPr>
          <w:cantSplit/>
        </w:trPr>
        <w:tc>
          <w:tcPr>
            <w:tcW w:type="dxa" w:w="6236"/>
          </w:tcPr>
          <w:p>
            <w:pPr>
              <w:spacing w:after="0" w:line="240" w:lineRule="auto"/>
            </w:pPr>
            <w:r/>
            <w:r>
              <w:rPr>
                <w:sz w:val="19"/>
              </w:rPr>
              <w:t>Investor ticket</w:t>
            </w:r>
          </w:p>
        </w:tc>
        <w:tc>
          <w:tcPr>
            <w:tcW w:type="dxa" w:w="3005"/>
          </w:tcPr>
          <w:p>
            <w:pPr>
              <w:spacing w:after="0" w:line="240" w:lineRule="auto"/>
              <w:jc w:val="right"/>
            </w:pPr>
            <w:r/>
            <w:r>
              <w:rPr>
                <w:sz w:val="19"/>
              </w:rPr>
              <w:t>125.0</w:t>
            </w:r>
          </w:p>
        </w:tc>
      </w:tr>
      <w:tr>
        <w:trPr>
          <w:cantSplit/>
        </w:trPr>
        <w:tc>
          <w:tcPr>
            <w:tcW w:type="dxa" w:w="6236"/>
            <w:shd w:val="clear" w:color="auto" w:fill="F2F4F7"/>
          </w:tcPr>
          <w:p>
            <w:pPr>
              <w:spacing w:after="0" w:line="240" w:lineRule="auto"/>
            </w:pPr>
            <w:r/>
            <w:r>
              <w:rPr>
                <w:sz w:val="19"/>
              </w:rPr>
              <w:t>Modelled peak cumulative cash shortage (month 6)</w:t>
            </w:r>
          </w:p>
        </w:tc>
        <w:tc>
          <w:tcPr>
            <w:tcW w:type="dxa" w:w="3005"/>
            <w:shd w:val="clear" w:color="auto" w:fill="F2F4F7"/>
          </w:tcPr>
          <w:p>
            <w:pPr>
              <w:spacing w:after="0" w:line="240" w:lineRule="auto"/>
              <w:jc w:val="right"/>
            </w:pPr>
            <w:r/>
            <w:r>
              <w:rPr>
                <w:sz w:val="19"/>
              </w:rPr>
              <w:t>102.5</w:t>
            </w:r>
          </w:p>
        </w:tc>
      </w:tr>
      <w:tr>
        <w:trPr>
          <w:cantSplit/>
        </w:trPr>
        <w:tc>
          <w:tcPr>
            <w:tcW w:type="dxa" w:w="6236"/>
          </w:tcPr>
          <w:p>
            <w:pPr>
              <w:spacing w:after="0" w:line="240" w:lineRule="auto"/>
            </w:pPr>
            <w:r/>
            <w:r>
              <w:rPr>
                <w:sz w:val="19"/>
              </w:rPr>
              <w:t>Total uses at the funding peak</w:t>
            </w:r>
          </w:p>
        </w:tc>
        <w:tc>
          <w:tcPr>
            <w:tcW w:type="dxa" w:w="3005"/>
          </w:tcPr>
          <w:p>
            <w:pPr>
              <w:spacing w:after="0" w:line="240" w:lineRule="auto"/>
              <w:jc w:val="right"/>
            </w:pPr>
            <w:r/>
            <w:r>
              <w:rPr>
                <w:sz w:val="19"/>
              </w:rPr>
              <w:t>113.0</w:t>
            </w:r>
          </w:p>
        </w:tc>
      </w:tr>
      <w:tr>
        <w:trPr>
          <w:cantSplit/>
        </w:trPr>
        <w:tc>
          <w:tcPr>
            <w:tcW w:type="dxa" w:w="6236"/>
            <w:shd w:val="clear" w:color="auto" w:fill="F2F4F7"/>
          </w:tcPr>
          <w:p>
            <w:pPr>
              <w:spacing w:after="0" w:line="240" w:lineRule="auto"/>
            </w:pPr>
            <w:r/>
            <w:r>
              <w:rPr>
                <w:sz w:val="19"/>
              </w:rPr>
              <w:t>Total sales at 80% of units (sales plan)</w:t>
            </w:r>
          </w:p>
        </w:tc>
        <w:tc>
          <w:tcPr>
            <w:tcW w:type="dxa" w:w="3005"/>
            <w:shd w:val="clear" w:color="auto" w:fill="F2F4F7"/>
          </w:tcPr>
          <w:p>
            <w:pPr>
              <w:spacing w:after="0" w:line="240" w:lineRule="auto"/>
              <w:jc w:val="right"/>
            </w:pPr>
            <w:r/>
            <w:r>
              <w:rPr>
                <w:sz w:val="19"/>
              </w:rPr>
              <w:t>2,253</w:t>
            </w:r>
          </w:p>
        </w:tc>
      </w:tr>
      <w:tr>
        <w:trPr>
          <w:cantSplit/>
        </w:trPr>
        <w:tc>
          <w:tcPr>
            <w:tcW w:type="dxa" w:w="6236"/>
          </w:tcPr>
          <w:p>
            <w:pPr>
              <w:spacing w:after="0" w:line="240" w:lineRule="auto"/>
            </w:pPr>
            <w:r/>
            <w:r>
              <w:rPr>
                <w:sz w:val="19"/>
              </w:rPr>
              <w:t>Jalour net cash flow, nominal</w:t>
            </w:r>
          </w:p>
        </w:tc>
        <w:tc>
          <w:tcPr>
            <w:tcW w:type="dxa" w:w="3005"/>
          </w:tcPr>
          <w:p>
            <w:pPr>
              <w:spacing w:after="0" w:line="240" w:lineRule="auto"/>
              <w:jc w:val="right"/>
            </w:pPr>
            <w:r/>
            <w:r>
              <w:rPr>
                <w:sz w:val="19"/>
              </w:rPr>
              <w:t>375.4</w:t>
            </w:r>
          </w:p>
        </w:tc>
      </w:tr>
      <w:tr>
        <w:trPr>
          <w:cantSplit/>
        </w:trPr>
        <w:tc>
          <w:tcPr>
            <w:tcW w:type="dxa" w:w="6236"/>
            <w:shd w:val="clear" w:color="auto" w:fill="F2F4F7"/>
          </w:tcPr>
          <w:p>
            <w:pPr>
              <w:spacing w:after="0" w:line="240" w:lineRule="auto"/>
            </w:pPr>
            <w:r/>
            <w:r>
              <w:rPr>
                <w:sz w:val="19"/>
              </w:rPr>
              <w:t>NPV of Jalour net cash flow at 14%</w:t>
            </w:r>
          </w:p>
        </w:tc>
        <w:tc>
          <w:tcPr>
            <w:tcW w:type="dxa" w:w="3005"/>
            <w:shd w:val="clear" w:color="auto" w:fill="F2F4F7"/>
          </w:tcPr>
          <w:p>
            <w:pPr>
              <w:spacing w:after="0" w:line="240" w:lineRule="auto"/>
              <w:jc w:val="right"/>
            </w:pPr>
            <w:r/>
            <w:r>
              <w:rPr>
                <w:sz w:val="19"/>
              </w:rPr>
              <w:t>215.3</w:t>
            </w:r>
          </w:p>
        </w:tc>
      </w:tr>
      <w:tr>
        <w:trPr>
          <w:cantSplit/>
        </w:trPr>
        <w:tc>
          <w:tcPr>
            <w:tcW w:type="dxa" w:w="6236"/>
          </w:tcPr>
          <w:p>
            <w:pPr>
              <w:spacing w:after="0" w:line="240" w:lineRule="auto"/>
            </w:pPr>
            <w:r/>
            <w:r>
              <w:rPr>
                <w:sz w:val="19"/>
              </w:rPr>
              <w:t>Handover (project month)</w:t>
            </w:r>
          </w:p>
        </w:tc>
        <w:tc>
          <w:tcPr>
            <w:tcW w:type="dxa" w:w="3005"/>
          </w:tcPr>
          <w:p>
            <w:pPr>
              <w:spacing w:after="0" w:line="240" w:lineRule="auto"/>
              <w:jc w:val="right"/>
            </w:pPr>
            <w:r/>
            <w:r>
              <w:rPr>
                <w:sz w:val="19"/>
              </w:rPr>
              <w:t>48</w:t>
            </w:r>
          </w:p>
        </w:tc>
      </w:tr>
      <w:tr>
        <w:trPr>
          <w:cantSplit/>
        </w:trPr>
        <w:tc>
          <w:tcPr>
            <w:tcW w:type="dxa" w:w="6236"/>
            <w:shd w:val="clear" w:color="auto" w:fill="F2F4F7"/>
          </w:tcPr>
          <w:p>
            <w:pPr>
              <w:spacing w:after="0" w:line="240" w:lineRule="auto"/>
            </w:pPr>
            <w:r/>
            <w:r>
              <w:rPr>
                <w:sz w:val="19"/>
              </w:rPr>
              <w:t>Option A units, face value</w:t>
            </w:r>
          </w:p>
        </w:tc>
        <w:tc>
          <w:tcPr>
            <w:tcW w:type="dxa" w:w="3005"/>
            <w:shd w:val="clear" w:color="auto" w:fill="F2F4F7"/>
          </w:tcPr>
          <w:p>
            <w:pPr>
              <w:spacing w:after="0" w:line="240" w:lineRule="auto"/>
              <w:jc w:val="right"/>
            </w:pPr>
            <w:r/>
            <w:r>
              <w:rPr>
                <w:sz w:val="19"/>
              </w:rPr>
              <w:t>250</w:t>
            </w:r>
          </w:p>
        </w:tc>
      </w:tr>
      <w:tr>
        <w:trPr>
          <w:cantSplit/>
        </w:trPr>
        <w:tc>
          <w:tcPr>
            <w:tcW w:type="dxa" w:w="6236"/>
          </w:tcPr>
          <w:p>
            <w:pPr>
              <w:spacing w:after="0" w:line="240" w:lineRule="auto"/>
            </w:pPr>
            <w:r/>
            <w:r>
              <w:rPr>
                <w:sz w:val="19"/>
              </w:rPr>
              <w:t>Option B total return</w:t>
            </w:r>
          </w:p>
        </w:tc>
        <w:tc>
          <w:tcPr>
            <w:tcW w:type="dxa" w:w="3005"/>
          </w:tcPr>
          <w:p>
            <w:pPr>
              <w:spacing w:after="0" w:line="240" w:lineRule="auto"/>
              <w:jc w:val="right"/>
            </w:pPr>
            <w:r/>
            <w:r>
              <w:rPr>
                <w:sz w:val="19"/>
              </w:rPr>
              <w:t>288</w:t>
            </w:r>
          </w:p>
        </w:tc>
      </w:tr>
    </w:tbl>
    <w:p>
      <w:pPr>
        <w:spacing w:after="80"/>
      </w:pPr>
    </w:p>
    <w:p>
      <w:pPr>
        <w:keepNext/>
      </w:pPr>
      <w:r>
        <w:rPr>
          <w:b/>
          <w:i w:val="0"/>
        </w:rPr>
        <w:t>Three points deserve the investor's attention before the detail.</w:t>
      </w:r>
    </w:p>
    <w:p>
      <w:pPr>
        <w:pStyle w:val="ListBullet"/>
        <w:spacing w:after="60"/>
      </w:pPr>
      <w:r>
        <w:rPr>
          <w:b/>
          <w:i w:val="0"/>
        </w:rPr>
        <w:t>Pricing.</w:t>
      </w:r>
      <w:r>
        <w:rPr>
          <w:b w:val="0"/>
          <w:i w:val="0"/>
        </w:rPr>
        <w:t xml:space="preserve"> The plan relies on list prices rising from EGP 225,000 to 300,000 per m2 for retail (+33%) and from 135,000 to 200,000 for offices (+48%) across the sales window. Recent evidence of price growth is lower than this at its low end and similar at its high end (section 4). Option B removes unit price exposure; Option A does not.</w:t>
      </w:r>
    </w:p>
    <w:p>
      <w:pPr>
        <w:pStyle w:val="ListBullet"/>
        <w:spacing w:after="60"/>
      </w:pPr>
      <w:r>
        <w:rPr>
          <w:b/>
          <w:i w:val="0"/>
        </w:rPr>
        <w:t>Timing of cash.</w:t>
      </w:r>
      <w:r>
        <w:rPr>
          <w:b w:val="0"/>
          <w:i w:val="0"/>
        </w:rPr>
        <w:t xml:space="preserve"> The model collects the delivery payment (20% to 25% of price) on a contractual milestone ahead of handover. If it were collected at handover the peak funding need would be EGP 269 million instead of EGP 102.5 million. Jalour has said it will cover project funding gaps above project cash from its cash reserves and from cash generated by other projects it is constructing (section 11).</w:t>
      </w:r>
    </w:p>
    <w:p>
      <w:pPr>
        <w:pStyle w:val="ListBullet"/>
        <w:spacing w:after="60"/>
      </w:pPr>
      <w:r>
        <w:rPr>
          <w:b/>
          <w:i w:val="0"/>
        </w:rPr>
        <w:t>Payout capacity (Option B).</w:t>
      </w:r>
      <w:r>
        <w:rPr>
          <w:b w:val="0"/>
          <w:i w:val="0"/>
        </w:rPr>
        <w:t xml:space="preserve"> Net project cash flow is negative in the construction peak (months 39 to 48, inside the payout window), so quarter-by-quarter coverage of instalments is below 1.5x in 9 of 12 quarters. Pooled cash including the ticket covers every instalment at least 1.4x in the base case (section 13).</w:t>
      </w:r>
    </w:p>
    <w:p>
      <w:r>
        <w:rPr>
          <w:b w:val="0"/>
          <w:i/>
        </w:rPr>
        <w:t>The balance of project funding is provided by Jalour sponsor equity, project collections and other capital sources.</w:t>
      </w:r>
    </w:p>
    <w:p>
      <w:pPr>
        <w:pStyle w:val="Heading1"/>
        <w:pageBreakBefore/>
      </w:pPr>
      <w:r>
        <w:t>2. Transaction overview</w:t>
      </w:r>
    </w:p>
    <w:p>
      <w:pPr>
        <w:pStyle w:val="Heading2"/>
      </w:pPr>
      <w:r>
        <w:t>2.1 Parties and instrument</w:t>
      </w:r>
    </w:p>
    <w:p>
      <w:pPr>
        <w:keepNext/>
        <w:spacing w:after="60"/>
      </w:pPr>
      <w:r>
        <w:rPr>
          <w:b/>
          <w:color w:val="17324D"/>
          <w:sz w:val="19"/>
        </w:rPr>
        <w:t>Table 2: Principal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381"/>
            <w:shd w:val="clear" w:color="auto" w:fill="17324D"/>
          </w:tcPr>
          <w:p>
            <w:pPr>
              <w:spacing w:after="0" w:line="240" w:lineRule="auto"/>
            </w:pPr>
            <w:r/>
            <w:r>
              <w:rPr>
                <w:b/>
                <w:color w:val="FFFFFF"/>
                <w:sz w:val="19"/>
              </w:rPr>
              <w:t>Item</w:t>
            </w:r>
          </w:p>
        </w:tc>
        <w:tc>
          <w:tcPr>
            <w:tcW w:type="dxa" w:w="6860"/>
            <w:shd w:val="clear" w:color="auto" w:fill="17324D"/>
          </w:tcPr>
          <w:p>
            <w:pPr>
              <w:spacing w:after="0" w:line="240" w:lineRule="auto"/>
            </w:pPr>
            <w:r/>
            <w:r>
              <w:rPr>
                <w:b/>
                <w:color w:val="FFFFFF"/>
                <w:sz w:val="19"/>
              </w:rPr>
              <w:t>Description</w:t>
            </w:r>
          </w:p>
        </w:tc>
      </w:tr>
      <w:tr>
        <w:trPr>
          <w:cantSplit/>
        </w:trPr>
        <w:tc>
          <w:tcPr>
            <w:tcW w:type="dxa" w:w="2381"/>
          </w:tcPr>
          <w:p>
            <w:pPr>
              <w:spacing w:after="0" w:line="240" w:lineRule="auto"/>
            </w:pPr>
            <w:r/>
            <w:r>
              <w:rPr>
                <w:b/>
                <w:sz w:val="19"/>
              </w:rPr>
              <w:t>Sponsor and developer</w:t>
            </w:r>
          </w:p>
        </w:tc>
        <w:tc>
          <w:tcPr>
            <w:tcW w:type="dxa" w:w="6860"/>
          </w:tcPr>
          <w:p>
            <w:pPr>
              <w:spacing w:after="0" w:line="240" w:lineRule="auto"/>
            </w:pPr>
            <w:r/>
            <w:r>
              <w:rPr>
                <w:sz w:val="19"/>
              </w:rPr>
              <w:t>Jalour Developments, the real estate arm of Al Jalal Holding, Cairo</w:t>
            </w:r>
          </w:p>
        </w:tc>
      </w:tr>
      <w:tr>
        <w:trPr>
          <w:cantSplit/>
        </w:trPr>
        <w:tc>
          <w:tcPr>
            <w:tcW w:type="dxa" w:w="2381"/>
            <w:shd w:val="clear" w:color="auto" w:fill="F2F4F7"/>
          </w:tcPr>
          <w:p>
            <w:pPr>
              <w:spacing w:after="0" w:line="240" w:lineRule="auto"/>
            </w:pPr>
            <w:r/>
            <w:r>
              <w:rPr>
                <w:b/>
                <w:sz w:val="19"/>
              </w:rPr>
              <w:t>Landowner</w:t>
            </w:r>
          </w:p>
        </w:tc>
        <w:tc>
          <w:tcPr>
            <w:tcW w:type="dxa" w:w="6860"/>
            <w:shd w:val="clear" w:color="auto" w:fill="F2F4F7"/>
          </w:tcPr>
          <w:p>
            <w:pPr>
              <w:spacing w:after="0" w:line="240" w:lineRule="auto"/>
            </w:pPr>
            <w:r/>
            <w:r>
              <w:rPr>
                <w:sz w:val="19"/>
              </w:rPr>
              <w:t>Al Ahly Sabbour</w:t>
            </w:r>
          </w:p>
        </w:tc>
      </w:tr>
      <w:tr>
        <w:trPr>
          <w:cantSplit/>
        </w:trPr>
        <w:tc>
          <w:tcPr>
            <w:tcW w:type="dxa" w:w="2381"/>
          </w:tcPr>
          <w:p>
            <w:pPr>
              <w:spacing w:after="0" w:line="240" w:lineRule="auto"/>
            </w:pPr>
            <w:r/>
            <w:r>
              <w:rPr>
                <w:b/>
                <w:sz w:val="19"/>
              </w:rPr>
              <w:t>Issuer</w:t>
            </w:r>
          </w:p>
        </w:tc>
        <w:tc>
          <w:tcPr>
            <w:tcW w:type="dxa" w:w="6860"/>
          </w:tcPr>
          <w:p>
            <w:pPr>
              <w:spacing w:after="0" w:line="240" w:lineRule="auto"/>
            </w:pPr>
            <w:r/>
            <w:r>
              <w:rPr>
                <w:sz w:val="19"/>
              </w:rPr>
              <w:t>The project company for this development [name and jurisdiction to be confirmed]</w:t>
            </w:r>
          </w:p>
        </w:tc>
      </w:tr>
      <w:tr>
        <w:trPr>
          <w:cantSplit/>
        </w:trPr>
        <w:tc>
          <w:tcPr>
            <w:tcW w:type="dxa" w:w="2381"/>
            <w:shd w:val="clear" w:color="auto" w:fill="F2F4F7"/>
          </w:tcPr>
          <w:p>
            <w:pPr>
              <w:spacing w:after="0" w:line="240" w:lineRule="auto"/>
            </w:pPr>
            <w:r/>
            <w:r>
              <w:rPr>
                <w:b/>
                <w:sz w:val="19"/>
              </w:rPr>
              <w:t>Investor</w:t>
            </w:r>
          </w:p>
        </w:tc>
        <w:tc>
          <w:tcPr>
            <w:tcW w:type="dxa" w:w="6860"/>
            <w:shd w:val="clear" w:color="auto" w:fill="F2F4F7"/>
          </w:tcPr>
          <w:p>
            <w:pPr>
              <w:spacing w:after="0" w:line="240" w:lineRule="auto"/>
            </w:pPr>
            <w:r/>
            <w:r>
              <w:rPr>
                <w:sz w:val="19"/>
              </w:rPr>
              <w:t>[Name of investor]</w:t>
            </w:r>
          </w:p>
        </w:tc>
      </w:tr>
      <w:tr>
        <w:trPr>
          <w:cantSplit/>
        </w:trPr>
        <w:tc>
          <w:tcPr>
            <w:tcW w:type="dxa" w:w="2381"/>
          </w:tcPr>
          <w:p>
            <w:pPr>
              <w:spacing w:after="0" w:line="240" w:lineRule="auto"/>
            </w:pPr>
            <w:r/>
            <w:r>
              <w:rPr>
                <w:b/>
                <w:sz w:val="19"/>
              </w:rPr>
              <w:t>Instrument</w:t>
            </w:r>
          </w:p>
        </w:tc>
        <w:tc>
          <w:tcPr>
            <w:tcW w:type="dxa" w:w="6860"/>
          </w:tcPr>
          <w:p>
            <w:pPr>
              <w:spacing w:after="0" w:line="240" w:lineRule="auto"/>
            </w:pPr>
            <w:r/>
            <w:r>
              <w:rPr>
                <w:sz w:val="19"/>
              </w:rPr>
              <w:t>Contractual entitlement to units (Option A) or to cash payments (Option B). Whether it is documented as equity, a loan or a contractual entitlement is to be confirmed by counsel and affects tax, regulation and enforceability</w:t>
            </w:r>
          </w:p>
        </w:tc>
      </w:tr>
      <w:tr>
        <w:trPr>
          <w:cantSplit/>
        </w:trPr>
        <w:tc>
          <w:tcPr>
            <w:tcW w:type="dxa" w:w="2381"/>
            <w:shd w:val="clear" w:color="auto" w:fill="F2F4F7"/>
          </w:tcPr>
          <w:p>
            <w:pPr>
              <w:spacing w:after="0" w:line="240" w:lineRule="auto"/>
            </w:pPr>
            <w:r/>
            <w:r>
              <w:rPr>
                <w:b/>
                <w:sz w:val="19"/>
              </w:rPr>
              <w:t>Ticket</w:t>
            </w:r>
          </w:p>
        </w:tc>
        <w:tc>
          <w:tcPr>
            <w:tcW w:type="dxa" w:w="6860"/>
            <w:shd w:val="clear" w:color="auto" w:fill="F2F4F7"/>
          </w:tcPr>
          <w:p>
            <w:pPr>
              <w:spacing w:after="0" w:line="240" w:lineRule="auto"/>
            </w:pPr>
            <w:r/>
            <w:r>
              <w:rPr>
                <w:sz w:val="19"/>
              </w:rPr>
              <w:t>EGP 125 million</w:t>
            </w:r>
          </w:p>
        </w:tc>
      </w:tr>
      <w:tr>
        <w:trPr>
          <w:cantSplit/>
        </w:trPr>
        <w:tc>
          <w:tcPr>
            <w:tcW w:type="dxa" w:w="2381"/>
          </w:tcPr>
          <w:p>
            <w:pPr>
              <w:spacing w:after="0" w:line="240" w:lineRule="auto"/>
            </w:pPr>
            <w:r/>
            <w:r>
              <w:rPr>
                <w:b/>
                <w:sz w:val="19"/>
              </w:rPr>
              <w:t>Choice</w:t>
            </w:r>
          </w:p>
        </w:tc>
        <w:tc>
          <w:tcPr>
            <w:tcW w:type="dxa" w:w="6860"/>
          </w:tcPr>
          <w:p>
            <w:pPr>
              <w:spacing w:after="0" w:line="240" w:lineRule="auto"/>
            </w:pPr>
            <w:r/>
            <w:r>
              <w:rPr>
                <w:sz w:val="19"/>
              </w:rPr>
              <w:t>Option A or Option B, selected at signing; not both</w:t>
            </w:r>
          </w:p>
        </w:tc>
      </w:tr>
      <w:tr>
        <w:trPr>
          <w:cantSplit/>
        </w:trPr>
        <w:tc>
          <w:tcPr>
            <w:tcW w:type="dxa" w:w="2381"/>
            <w:shd w:val="clear" w:color="auto" w:fill="F2F4F7"/>
          </w:tcPr>
          <w:p>
            <w:pPr>
              <w:spacing w:after="0" w:line="240" w:lineRule="auto"/>
            </w:pPr>
            <w:r/>
            <w:r>
              <w:rPr>
                <w:b/>
                <w:sz w:val="19"/>
              </w:rPr>
              <w:t>Balance of funding</w:t>
            </w:r>
          </w:p>
        </w:tc>
        <w:tc>
          <w:tcPr>
            <w:tcW w:type="dxa" w:w="6860"/>
            <w:shd w:val="clear" w:color="auto" w:fill="F2F4F7"/>
          </w:tcPr>
          <w:p>
            <w:pPr>
              <w:spacing w:after="0" w:line="240" w:lineRule="auto"/>
            </w:pPr>
            <w:r/>
            <w:r>
              <w:rPr>
                <w:sz w:val="19"/>
              </w:rPr>
              <w:t>The balance of project funding is provided by Jalour sponsor equity, project collections and other capital sources.</w:t>
            </w:r>
          </w:p>
        </w:tc>
      </w:tr>
    </w:tbl>
    <w:p>
      <w:pPr>
        <w:spacing w:after="80"/>
      </w:pPr>
    </w:p>
    <w:p>
      <w:pPr>
        <w:pStyle w:val="Heading2"/>
      </w:pPr>
      <w:r>
        <w:t>2.2 Conditions and timetable</w:t>
      </w:r>
    </w:p>
    <w:p>
      <w:pPr>
        <w:pStyle w:val="ListBullet"/>
        <w:spacing w:after="60"/>
      </w:pPr>
      <w:r>
        <w:rPr>
          <w:b w:val="0"/>
          <w:i w:val="0"/>
        </w:rPr>
        <w:t>Due diligence by the investor and its advisers on the data room (Due Diligence Memorandum).</w:t>
      </w:r>
    </w:p>
    <w:p>
      <w:pPr>
        <w:pStyle w:val="ListBullet"/>
        <w:spacing w:after="60"/>
      </w:pPr>
      <w:r>
        <w:rPr>
          <w:b w:val="0"/>
          <w:i w:val="0"/>
        </w:rPr>
        <w:t>Written consent of Al Ahly Sabbour to the unit allocation (Option A) and to any assignment or encumbrance that affects its share.</w:t>
      </w:r>
    </w:p>
    <w:p>
      <w:pPr>
        <w:pStyle w:val="ListBullet"/>
        <w:spacing w:after="60"/>
      </w:pPr>
      <w:r>
        <w:rPr>
          <w:b w:val="0"/>
          <w:i w:val="0"/>
        </w:rPr>
        <w:t>Definitive agreements, including security documents reviewed by counsel for both sides.</w:t>
      </w:r>
    </w:p>
    <w:p>
      <w:pPr>
        <w:pStyle w:val="ListBullet"/>
        <w:spacing w:after="60"/>
      </w:pPr>
      <w:r>
        <w:rPr>
          <w:b w:val="0"/>
          <w:i w:val="0"/>
        </w:rPr>
        <w:t>Funding in cash into the project company, expected for project month 3 (the month the landlord down payment falls due in the model).</w:t>
      </w:r>
    </w:p>
    <w:p>
      <w:pPr>
        <w:pStyle w:val="Heading2"/>
      </w:pPr>
      <w:r>
        <w:t>2.3 No exclusivity; further capital</w:t>
      </w:r>
    </w:p>
    <w:p>
      <w:r>
        <w:rPr>
          <w:b w:val="0"/>
          <w:i w:val="0"/>
        </w:rPr>
        <w:t>Jalour may raise further capital at project or holding level, subject to the investor's stated rights: ranking of the investor's claim, collateral over the earmarked units, and information rights. The project company will not grant security over the investor's earmarked units or rank any new instrument ahead of the investor's entitlement without the consent given in the definitive agreements.</w:t>
      </w:r>
    </w:p>
    <w:p>
      <w:pPr>
        <w:pStyle w:val="Heading2"/>
      </w:pPr>
      <w:r>
        <w:t>2.4 Separation from other projects</w:t>
      </w:r>
    </w:p>
    <w:p>
      <w:r>
        <w:rPr>
          <w:b w:val="0"/>
          <w:i w:val="0"/>
        </w:rPr>
        <w:t>The project is held in its own company. There is no cross-collateral and no cross-default with any other Jalour project, and the investor has no exposure to other Jalour projects. The funds are project funding, not a restricted or segregated account; payment protections are contractual and described in section 14.</w:t>
      </w:r>
    </w:p>
    <w:p>
      <w:pPr>
        <w:pStyle w:val="Heading1"/>
      </w:pPr>
      <w:r>
        <w:t>3. Investment thesis</w:t>
      </w:r>
    </w:p>
    <w:p>
      <w:pPr>
        <w:keepNext/>
      </w:pPr>
      <w:r>
        <w:rPr>
          <w:b w:val="0"/>
          <w:i w:val="0"/>
        </w:rPr>
        <w:t>The case for the investment, with the main reservation against each point:</w:t>
      </w:r>
    </w:p>
    <w:p>
      <w:pPr>
        <w:keepNext/>
        <w:spacing w:after="60"/>
      </w:pPr>
      <w:r>
        <w:rPr>
          <w:b/>
          <w:color w:val="17324D"/>
          <w:sz w:val="19"/>
        </w:rPr>
        <w:t>Table 3: Thesis and reservations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4706"/>
            <w:shd w:val="clear" w:color="auto" w:fill="17324D"/>
          </w:tcPr>
          <w:p>
            <w:pPr>
              <w:spacing w:after="0" w:line="240" w:lineRule="auto"/>
            </w:pPr>
            <w:r/>
            <w:r>
              <w:rPr>
                <w:b/>
                <w:color w:val="FFFFFF"/>
                <w:sz w:val="19"/>
              </w:rPr>
              <w:t>Thesis</w:t>
            </w:r>
          </w:p>
        </w:tc>
        <w:tc>
          <w:tcPr>
            <w:tcW w:type="dxa" w:w="4535"/>
            <w:shd w:val="clear" w:color="auto" w:fill="17324D"/>
          </w:tcPr>
          <w:p>
            <w:pPr>
              <w:spacing w:after="0" w:line="240" w:lineRule="auto"/>
            </w:pPr>
            <w:r/>
            <w:r>
              <w:rPr>
                <w:b/>
                <w:color w:val="FFFFFF"/>
                <w:sz w:val="19"/>
              </w:rPr>
              <w:t>Reservation</w:t>
            </w:r>
          </w:p>
        </w:tc>
      </w:tr>
      <w:tr>
        <w:trPr>
          <w:cantSplit/>
        </w:trPr>
        <w:tc>
          <w:tcPr>
            <w:tcW w:type="dxa" w:w="4706"/>
          </w:tcPr>
          <w:p>
            <w:pPr>
              <w:spacing w:after="0" w:line="240" w:lineRule="auto"/>
            </w:pPr>
            <w:r/>
            <w:r>
              <w:rPr>
                <w:sz w:val="19"/>
              </w:rPr>
              <w:t>A defined, permitted-scale asset: two G+2 buildings of 13,023 m2 in a state-planned city of about 11,000 feddans and about 1 million planned residents.</w:t>
            </w:r>
          </w:p>
        </w:tc>
        <w:tc>
          <w:tcPr>
            <w:tcW w:type="dxa" w:w="4535"/>
          </w:tcPr>
          <w:p>
            <w:pPr>
              <w:spacing w:after="0" w:line="240" w:lineRule="auto"/>
            </w:pPr>
            <w:r/>
            <w:r>
              <w:rPr>
                <w:sz w:val="19"/>
              </w:rPr>
              <w:t>Mostakbal City is early in its build-out; current resident population and occupancy were not found in public sources.</w:t>
            </w:r>
          </w:p>
        </w:tc>
      </w:tr>
      <w:tr>
        <w:trPr>
          <w:cantSplit/>
        </w:trPr>
        <w:tc>
          <w:tcPr>
            <w:tcW w:type="dxa" w:w="4706"/>
            <w:shd w:val="clear" w:color="auto" w:fill="F2F4F7"/>
          </w:tcPr>
          <w:p>
            <w:pPr>
              <w:spacing w:after="0" w:line="240" w:lineRule="auto"/>
            </w:pPr>
            <w:r/>
            <w:r>
              <w:rPr>
                <w:sz w:val="19"/>
              </w:rPr>
              <w:t>Land is owned by an established developer, Al Ahly Sabbour, and is not an acquisition cost for Jalour: the landowner is paid from collections.</w:t>
            </w:r>
          </w:p>
        </w:tc>
        <w:tc>
          <w:tcPr>
            <w:tcW w:type="dxa" w:w="4535"/>
            <w:shd w:val="clear" w:color="auto" w:fill="F2F4F7"/>
          </w:tcPr>
          <w:p>
            <w:pPr>
              <w:spacing w:after="0" w:line="240" w:lineRule="auto"/>
            </w:pPr>
            <w:r/>
            <w:r>
              <w:rPr>
                <w:sz w:val="19"/>
              </w:rPr>
              <w:t>The landlord's guarantee (EGP 800 million over six years) is payable even if sales are slow.</w:t>
            </w:r>
          </w:p>
        </w:tc>
      </w:tr>
      <w:tr>
        <w:trPr>
          <w:cantSplit/>
        </w:trPr>
        <w:tc>
          <w:tcPr>
            <w:tcW w:type="dxa" w:w="4706"/>
          </w:tcPr>
          <w:p>
            <w:pPr>
              <w:spacing w:after="0" w:line="240" w:lineRule="auto"/>
            </w:pPr>
            <w:r/>
            <w:r>
              <w:rPr>
                <w:sz w:val="19"/>
              </w:rPr>
              <w:t>Sales begin at a launch list of EGP 225,000 (retail) and 135,000 (offices) per m2, with list price steps built into the plan.</w:t>
            </w:r>
          </w:p>
        </w:tc>
        <w:tc>
          <w:tcPr>
            <w:tcW w:type="dxa" w:w="4535"/>
          </w:tcPr>
          <w:p>
            <w:pPr>
              <w:spacing w:after="0" w:line="240" w:lineRule="auto"/>
            </w:pPr>
            <w:r/>
            <w:r>
              <w:rPr>
                <w:sz w:val="19"/>
              </w:rPr>
              <w:t>Asking prices for Mostakbal City offices today are about EGP 106,000 to 120,000 per m2; the plan assumes higher.</w:t>
            </w:r>
          </w:p>
        </w:tc>
      </w:tr>
      <w:tr>
        <w:trPr>
          <w:cantSplit/>
        </w:trPr>
        <w:tc>
          <w:tcPr>
            <w:tcW w:type="dxa" w:w="4706"/>
            <w:shd w:val="clear" w:color="auto" w:fill="F2F4F7"/>
          </w:tcPr>
          <w:p>
            <w:pPr>
              <w:spacing w:after="0" w:line="240" w:lineRule="auto"/>
            </w:pPr>
            <w:r/>
            <w:r>
              <w:rPr>
                <w:sz w:val="19"/>
              </w:rPr>
              <w:t>Project funding peaks at EGP 102.5 million in the base case and the project generates EGP 375 million of net cash flow before the value of retained units.</w:t>
            </w:r>
          </w:p>
        </w:tc>
        <w:tc>
          <w:tcPr>
            <w:tcW w:type="dxa" w:w="4535"/>
            <w:shd w:val="clear" w:color="auto" w:fill="F2F4F7"/>
          </w:tcPr>
          <w:p>
            <w:pPr>
              <w:spacing w:after="0" w:line="240" w:lineRule="auto"/>
            </w:pPr>
            <w:r/>
            <w:r>
              <w:rPr>
                <w:sz w:val="19"/>
              </w:rPr>
              <w:t>Funding peak is EGP 269 million if delivery payments arrive at handover.</w:t>
            </w:r>
          </w:p>
        </w:tc>
      </w:tr>
      <w:tr>
        <w:trPr>
          <w:cantSplit/>
        </w:trPr>
        <w:tc>
          <w:tcPr>
            <w:tcW w:type="dxa" w:w="4706"/>
          </w:tcPr>
          <w:p>
            <w:pPr>
              <w:spacing w:after="0" w:line="240" w:lineRule="auto"/>
            </w:pPr>
            <w:r/>
            <w:r>
              <w:rPr>
                <w:sz w:val="19"/>
              </w:rPr>
              <w:t>Two ways to participate: units with price upside, or cash with a fixed return.</w:t>
            </w:r>
          </w:p>
        </w:tc>
        <w:tc>
          <w:tcPr>
            <w:tcW w:type="dxa" w:w="4535"/>
          </w:tcPr>
          <w:p>
            <w:pPr>
              <w:spacing w:after="0" w:line="240" w:lineRule="auto"/>
            </w:pPr>
            <w:r/>
            <w:r>
              <w:rPr>
                <w:sz w:val="19"/>
              </w:rPr>
              <w:t>Option A carries price and resale risk; Option B depends on Jalour's ability to fund payouts during the construction peak.</w:t>
            </w:r>
          </w:p>
        </w:tc>
      </w:tr>
    </w:tbl>
    <w:p>
      <w:pPr>
        <w:spacing w:after="80"/>
      </w:pPr>
    </w:p>
    <w:p>
      <w:r>
        <w:rPr>
          <w:b w:val="0"/>
          <w:i w:val="0"/>
        </w:rPr>
        <w:t>Jalour retains 20% of the units. They sit outside the sales plan, outside the cash flows shown here, and outside this offering.</w:t>
      </w:r>
    </w:p>
    <w:p>
      <w:pPr>
        <w:pStyle w:val="Heading1"/>
        <w:pageBreakBefore/>
      </w:pPr>
      <w:r>
        <w:t>4. Market analysis</w:t>
      </w:r>
    </w:p>
    <w:p>
      <w:r>
        <w:rPr>
          <w:b w:val="0"/>
          <w:i w:val="0"/>
        </w:rPr>
        <w:t>Market statements below are reported by the third parties named. They are drawn from published summaries as at October 2026; Jalour has not audited them. Where sources use different definitions (for example, Knight Frank and JLL measure Cairo office stock differently) the figures are not additive.</w:t>
      </w:r>
    </w:p>
    <w:p>
      <w:pPr>
        <w:pStyle w:val="Heading2"/>
      </w:pPr>
      <w:r>
        <w:t>4.1 Cairo and New Cairo offices</w:t>
      </w:r>
    </w:p>
    <w:p>
      <w:pPr>
        <w:pStyle w:val="ListBullet"/>
        <w:spacing w:after="60"/>
      </w:pPr>
      <w:r>
        <w:rPr>
          <w:b w:val="0"/>
          <w:i w:val="0"/>
        </w:rPr>
        <w:t>Cairo office stock of about 1.0 million m2 (Knight Frank definition), with a further 818,000 m2 in the pipeline to 2029, equal to +82% of stock (Knight Frank, Cairo office review H2 2025, via Arabian Business (July 2026)).</w:t>
      </w:r>
    </w:p>
    <w:p>
      <w:pPr>
        <w:pStyle w:val="ListBullet"/>
        <w:spacing w:after="60"/>
      </w:pPr>
      <w:r>
        <w:rPr>
          <w:b w:val="0"/>
          <w:i w:val="0"/>
        </w:rPr>
        <w:t>New Cairo holds 73% of current and future Cairo office stock; Grade A occupancy is about 90% (Knight Frank via Arabian Business (July 2026)).</w:t>
      </w:r>
    </w:p>
    <w:p>
      <w:pPr>
        <w:pStyle w:val="ListBullet"/>
        <w:spacing w:after="60"/>
      </w:pPr>
      <w:r>
        <w:rPr>
          <w:b w:val="0"/>
          <w:i w:val="0"/>
        </w:rPr>
        <w:t>Office vacancy averaged about 9% and was stable in Q1 2026; over 100,000 m2 of Grade A and B space was delivered in the quarter (JLL Q1 2026 Cairo, via Invest-Gate).</w:t>
      </w:r>
    </w:p>
    <w:p>
      <w:pPr>
        <w:pStyle w:val="ListBullet"/>
        <w:spacing w:after="60"/>
      </w:pPr>
      <w:r>
        <w:rPr>
          <w:b w:val="0"/>
          <w:i w:val="0"/>
        </w:rPr>
        <w:t>Grade A business-park rent in New Cairo of USD 348/m2/yr (market average USD 325); EGP rents up about 20% y/y after the pound's fall (Knight Frank Q2 2026, via Enterprise (8 July 2026)).</w:t>
      </w:r>
    </w:p>
    <w:p>
      <w:r>
        <w:rPr>
          <w:b w:val="0"/>
          <w:i w:val="0"/>
        </w:rPr>
        <w:t>Reading across: occupancy and rents are firm today, but the pipeline is large relative to stock. New Cairo is where most of that supply will land, so absorption of new supply by 2029 is the main market risk for the offices.</w:t>
      </w:r>
    </w:p>
    <w:p>
      <w:pPr>
        <w:pStyle w:val="Heading2"/>
      </w:pPr>
      <w:r>
        <w:t>4.2 Retail and commercial</w:t>
      </w:r>
    </w:p>
    <w:p>
      <w:pPr>
        <w:pStyle w:val="ListBullet"/>
        <w:spacing w:after="60"/>
      </w:pPr>
      <w:r>
        <w:rPr>
          <w:b w:val="0"/>
          <w:i w:val="0"/>
        </w:rPr>
        <w:t>Cairo retail stock above 3.3 million m2 after about 89,000 m2 delivered in Q1 2026, mostly small malls in New Cairo and Giza; about 331,300 m2 more due by end 2026 (JLL Q1 2026 Cairo, via Invest-Gate).</w:t>
      </w:r>
    </w:p>
    <w:p>
      <w:pPr>
        <w:pStyle w:val="ListBullet"/>
        <w:spacing w:after="60"/>
      </w:pPr>
      <w:r>
        <w:rPr>
          <w:b w:val="0"/>
          <w:i w:val="0"/>
        </w:rPr>
        <w:t>Comparable commercial schemes are under way: Hassan Allam's HAPTOWN (offices G+1 to G+4, retail, healthcare) in Mostakbal City (Invest-Gate).</w:t>
      </w:r>
    </w:p>
    <w:p>
      <w:pPr>
        <w:pStyle w:val="ListBullet"/>
        <w:spacing w:after="60"/>
      </w:pPr>
      <w:r>
        <w:rPr>
          <w:b w:val="0"/>
          <w:i w:val="0"/>
        </w:rPr>
        <w:t>Retail rents rose 0.8% to 3.6% y/y in Q1 2026 depending on format (JLL via Invest-Gate); vacancy fell from 9.2% in Q2 2024 to 7.2% in Q2 2025 (JLL).</w:t>
      </w:r>
    </w:p>
    <w:p>
      <w:r>
        <w:rPr>
          <w:b w:val="0"/>
          <w:i w:val="0"/>
        </w:rPr>
        <w:t>The product here, ground-floor retail beneath two office floors in a G+2 form, is close to the mixed-use commercial boulevards now being launched in Mostakbal City. Retail sales in a new city depend on resident and worker footfall that builds over years.</w:t>
      </w:r>
    </w:p>
    <w:p>
      <w:pPr>
        <w:pStyle w:val="Heading2"/>
      </w:pPr>
      <w:r>
        <w:t>4.3 Mostakbal City</w:t>
      </w:r>
    </w:p>
    <w:p>
      <w:pPr>
        <w:pStyle w:val="ListBullet"/>
        <w:spacing w:after="60"/>
      </w:pPr>
      <w:r>
        <w:rPr>
          <w:b w:val="0"/>
          <w:i w:val="0"/>
        </w:rPr>
        <w:t>Mostakbal City covers about 11,000 feddans, with a planned population of about 1 million; master developer is the state-linked Mostakbal for Urban Development (MIDAR) (MIDAR; Nawy).</w:t>
      </w:r>
    </w:p>
    <w:p>
      <w:pPr>
        <w:pStyle w:val="ListBullet"/>
        <w:spacing w:after="60"/>
      </w:pPr>
      <w:r>
        <w:rPr>
          <w:b w:val="0"/>
          <w:i w:val="0"/>
        </w:rPr>
        <w:t>Connected by the Regional (Middle) Ring Road and the East Cairo monorail corridor to Shorouk, Obour, Badr and the New Administrative Capital (Presidency of Egypt; Bayut guide).</w:t>
      </w:r>
    </w:p>
    <w:p>
      <w:pPr>
        <w:pStyle w:val="ListBullet"/>
        <w:spacing w:after="60"/>
      </w:pPr>
      <w:r>
        <w:rPr>
          <w:b w:val="0"/>
          <w:i w:val="0"/>
        </w:rPr>
        <w:t>Al Ahly Sabbour is active in the city (residential schemes and a mixed-use plot), which supports the landowner's interest in the success of this development (Invest-Gate).</w:t>
      </w:r>
    </w:p>
    <w:p>
      <w:pPr>
        <w:pStyle w:val="Heading2"/>
      </w:pPr>
      <w:r>
        <w:t>4.4 Pricing evidence and the plan</w:t>
      </w:r>
    </w:p>
    <w:p>
      <w:pPr>
        <w:keepNext/>
        <w:spacing w:after="60"/>
      </w:pPr>
      <w:r>
        <w:rPr>
          <w:b/>
          <w:color w:val="17324D"/>
          <w:sz w:val="19"/>
        </w:rPr>
        <w:t>Table 4: Plan prices against market asking prices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701"/>
            <w:shd w:val="clear" w:color="auto" w:fill="17324D"/>
          </w:tcPr>
          <w:p>
            <w:pPr>
              <w:spacing w:after="0" w:line="240" w:lineRule="auto"/>
            </w:pPr>
            <w:r/>
            <w:r>
              <w:rPr>
                <w:b/>
                <w:color w:val="FFFFFF"/>
                <w:sz w:val="18"/>
              </w:rPr>
              <w:t>Measure (EGP per m2)</w:t>
            </w:r>
          </w:p>
        </w:tc>
        <w:tc>
          <w:tcPr>
            <w:tcW w:type="dxa" w:w="3288"/>
            <w:shd w:val="clear" w:color="auto" w:fill="17324D"/>
          </w:tcPr>
          <w:p>
            <w:pPr>
              <w:spacing w:after="0" w:line="240" w:lineRule="auto"/>
            </w:pPr>
            <w:r/>
            <w:r>
              <w:rPr>
                <w:b/>
                <w:color w:val="FFFFFF"/>
                <w:sz w:val="18"/>
              </w:rPr>
              <w:t>Evidence (asking prices)</w:t>
            </w:r>
          </w:p>
        </w:tc>
        <w:tc>
          <w:tcPr>
            <w:tcW w:type="dxa" w:w="1417"/>
            <w:shd w:val="clear" w:color="auto" w:fill="17324D"/>
          </w:tcPr>
          <w:p>
            <w:pPr>
              <w:spacing w:after="0" w:line="240" w:lineRule="auto"/>
              <w:jc w:val="right"/>
            </w:pPr>
            <w:r/>
            <w:r>
              <w:rPr>
                <w:b/>
                <w:color w:val="FFFFFF"/>
                <w:sz w:val="18"/>
              </w:rPr>
              <w:t>Plan: launch</w:t>
            </w:r>
          </w:p>
        </w:tc>
        <w:tc>
          <w:tcPr>
            <w:tcW w:type="dxa" w:w="1417"/>
            <w:shd w:val="clear" w:color="auto" w:fill="17324D"/>
          </w:tcPr>
          <w:p>
            <w:pPr>
              <w:spacing w:after="0" w:line="240" w:lineRule="auto"/>
              <w:jc w:val="right"/>
            </w:pPr>
            <w:r/>
            <w:r>
              <w:rPr>
                <w:b/>
                <w:color w:val="FFFFFF"/>
                <w:sz w:val="18"/>
              </w:rPr>
              <w:t>Plan: delivery list</w:t>
            </w:r>
          </w:p>
        </w:tc>
        <w:tc>
          <w:tcPr>
            <w:tcW w:type="dxa" w:w="1417"/>
            <w:shd w:val="clear" w:color="auto" w:fill="17324D"/>
          </w:tcPr>
          <w:p>
            <w:pPr>
              <w:spacing w:after="0" w:line="240" w:lineRule="auto"/>
              <w:jc w:val="right"/>
            </w:pPr>
            <w:r/>
            <w:r>
              <w:rPr>
                <w:b/>
                <w:color w:val="FFFFFF"/>
                <w:sz w:val="18"/>
              </w:rPr>
              <w:t>Plan: average</w:t>
            </w:r>
          </w:p>
        </w:tc>
      </w:tr>
      <w:tr>
        <w:trPr>
          <w:cantSplit/>
        </w:trPr>
        <w:tc>
          <w:tcPr>
            <w:tcW w:type="dxa" w:w="1701"/>
          </w:tcPr>
          <w:p>
            <w:pPr>
              <w:spacing w:after="0" w:line="240" w:lineRule="auto"/>
            </w:pPr>
            <w:r/>
            <w:r>
              <w:rPr>
                <w:sz w:val="18"/>
              </w:rPr>
              <w:t>Offices</w:t>
            </w:r>
          </w:p>
        </w:tc>
        <w:tc>
          <w:tcPr>
            <w:tcW w:type="dxa" w:w="3288"/>
          </w:tcPr>
          <w:p>
            <w:pPr>
              <w:spacing w:after="0" w:line="240" w:lineRule="auto"/>
            </w:pPr>
            <w:r/>
            <w:r>
              <w:rPr>
                <w:sz w:val="18"/>
              </w:rPr>
              <w:t>106,000 to 120,000 (Mostakbal City listings)</w:t>
            </w:r>
          </w:p>
        </w:tc>
        <w:tc>
          <w:tcPr>
            <w:tcW w:type="dxa" w:w="1417"/>
          </w:tcPr>
          <w:p>
            <w:pPr>
              <w:spacing w:after="0" w:line="240" w:lineRule="auto"/>
              <w:jc w:val="right"/>
            </w:pPr>
            <w:r/>
            <w:r>
              <w:rPr>
                <w:sz w:val="18"/>
              </w:rPr>
              <w:t>135,000</w:t>
            </w:r>
          </w:p>
        </w:tc>
        <w:tc>
          <w:tcPr>
            <w:tcW w:type="dxa" w:w="1417"/>
          </w:tcPr>
          <w:p>
            <w:pPr>
              <w:spacing w:after="0" w:line="240" w:lineRule="auto"/>
              <w:jc w:val="right"/>
            </w:pPr>
            <w:r/>
            <w:r>
              <w:rPr>
                <w:sz w:val="18"/>
              </w:rPr>
              <w:t>200,000</w:t>
            </w:r>
          </w:p>
        </w:tc>
        <w:tc>
          <w:tcPr>
            <w:tcW w:type="dxa" w:w="1417"/>
          </w:tcPr>
          <w:p>
            <w:pPr>
              <w:spacing w:after="0" w:line="240" w:lineRule="auto"/>
              <w:jc w:val="right"/>
            </w:pPr>
            <w:r/>
            <w:r>
              <w:rPr>
                <w:sz w:val="18"/>
              </w:rPr>
              <w:t>163,125</w:t>
            </w:r>
          </w:p>
        </w:tc>
      </w:tr>
      <w:tr>
        <w:trPr>
          <w:cantSplit/>
        </w:trPr>
        <w:tc>
          <w:tcPr>
            <w:tcW w:type="dxa" w:w="1701"/>
            <w:shd w:val="clear" w:color="auto" w:fill="F2F4F7"/>
          </w:tcPr>
          <w:p>
            <w:pPr>
              <w:spacing w:after="0" w:line="240" w:lineRule="auto"/>
            </w:pPr>
            <w:r/>
            <w:r>
              <w:rPr>
                <w:sz w:val="18"/>
              </w:rPr>
              <w:t>Retail</w:t>
            </w:r>
          </w:p>
        </w:tc>
        <w:tc>
          <w:tcPr>
            <w:tcW w:type="dxa" w:w="3288"/>
            <w:shd w:val="clear" w:color="auto" w:fill="F2F4F7"/>
          </w:tcPr>
          <w:p>
            <w:pPr>
              <w:spacing w:after="0" w:line="240" w:lineRule="auto"/>
            </w:pPr>
            <w:r/>
            <w:r>
              <w:rPr>
                <w:sz w:val="18"/>
              </w:rPr>
              <w:t>139,000 to 325,000 (New Cairo listings, individual)</w:t>
            </w:r>
          </w:p>
        </w:tc>
        <w:tc>
          <w:tcPr>
            <w:tcW w:type="dxa" w:w="1417"/>
            <w:shd w:val="clear" w:color="auto" w:fill="F2F4F7"/>
          </w:tcPr>
          <w:p>
            <w:pPr>
              <w:spacing w:after="0" w:line="240" w:lineRule="auto"/>
              <w:jc w:val="right"/>
            </w:pPr>
            <w:r/>
            <w:r>
              <w:rPr>
                <w:sz w:val="18"/>
              </w:rPr>
              <w:t>225,000</w:t>
            </w:r>
          </w:p>
        </w:tc>
        <w:tc>
          <w:tcPr>
            <w:tcW w:type="dxa" w:w="1417"/>
            <w:shd w:val="clear" w:color="auto" w:fill="F2F4F7"/>
          </w:tcPr>
          <w:p>
            <w:pPr>
              <w:spacing w:after="0" w:line="240" w:lineRule="auto"/>
              <w:jc w:val="right"/>
            </w:pPr>
            <w:r/>
            <w:r>
              <w:rPr>
                <w:sz w:val="18"/>
              </w:rPr>
              <w:t>300,000</w:t>
            </w:r>
          </w:p>
        </w:tc>
        <w:tc>
          <w:tcPr>
            <w:tcW w:type="dxa" w:w="1417"/>
            <w:shd w:val="clear" w:color="auto" w:fill="F2F4F7"/>
          </w:tcPr>
          <w:p>
            <w:pPr>
              <w:spacing w:after="0" w:line="240" w:lineRule="auto"/>
              <w:jc w:val="right"/>
            </w:pPr>
            <w:r/>
            <w:r>
              <w:rPr>
                <w:sz w:val="18"/>
              </w:rPr>
              <w:t>268,125</w:t>
            </w:r>
          </w:p>
        </w:tc>
      </w:tr>
    </w:tbl>
    <w:p>
      <w:pPr>
        <w:spacing w:after="80"/>
      </w:pPr>
    </w:p>
    <w:p>
      <w:pPr>
        <w:keepNext/>
        <w:spacing w:after="60"/>
      </w:pPr>
      <w:r>
        <w:rPr>
          <w:b/>
          <w:color w:val="17324D"/>
          <w:sz w:val="19"/>
        </w:rPr>
        <w:t>Table 5: Launch, average realised and delivery list prices against today's asking prices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964"/>
            <w:shd w:val="clear" w:color="auto" w:fill="17324D"/>
          </w:tcPr>
          <w:p>
            <w:pPr>
              <w:spacing w:after="0" w:line="240" w:lineRule="auto"/>
            </w:pPr>
            <w:r/>
            <w:r>
              <w:rPr>
                <w:b/>
                <w:color w:val="FFFFFF"/>
                <w:sz w:val="16"/>
              </w:rPr>
              <w:t>EGP per m2</w:t>
            </w:r>
          </w:p>
        </w:tc>
        <w:tc>
          <w:tcPr>
            <w:tcW w:type="dxa" w:w="907"/>
            <w:shd w:val="clear" w:color="auto" w:fill="17324D"/>
          </w:tcPr>
          <w:p>
            <w:pPr>
              <w:spacing w:after="0" w:line="240" w:lineRule="auto"/>
              <w:jc w:val="right"/>
            </w:pPr>
            <w:r/>
            <w:r>
              <w:rPr>
                <w:b/>
                <w:color w:val="FFFFFF"/>
                <w:sz w:val="16"/>
              </w:rPr>
              <w:t>Launch list</w:t>
            </w:r>
          </w:p>
        </w:tc>
        <w:tc>
          <w:tcPr>
            <w:tcW w:type="dxa" w:w="964"/>
            <w:shd w:val="clear" w:color="auto" w:fill="17324D"/>
          </w:tcPr>
          <w:p>
            <w:pPr>
              <w:spacing w:after="0" w:line="240" w:lineRule="auto"/>
              <w:jc w:val="right"/>
            </w:pPr>
            <w:r/>
            <w:r>
              <w:rPr>
                <w:b/>
                <w:color w:val="FFFFFF"/>
                <w:sz w:val="16"/>
              </w:rPr>
              <w:t>Average realised</w:t>
            </w:r>
          </w:p>
        </w:tc>
        <w:tc>
          <w:tcPr>
            <w:tcW w:type="dxa" w:w="907"/>
            <w:shd w:val="clear" w:color="auto" w:fill="17324D"/>
          </w:tcPr>
          <w:p>
            <w:pPr>
              <w:spacing w:after="0" w:line="240" w:lineRule="auto"/>
              <w:jc w:val="right"/>
            </w:pPr>
            <w:r/>
            <w:r>
              <w:rPr>
                <w:b/>
                <w:color w:val="FFFFFF"/>
                <w:sz w:val="16"/>
              </w:rPr>
              <w:t>Delivery list</w:t>
            </w:r>
          </w:p>
        </w:tc>
        <w:tc>
          <w:tcPr>
            <w:tcW w:type="dxa" w:w="964"/>
            <w:shd w:val="clear" w:color="auto" w:fill="17324D"/>
          </w:tcPr>
          <w:p>
            <w:pPr>
              <w:spacing w:after="0" w:line="240" w:lineRule="auto"/>
              <w:jc w:val="right"/>
            </w:pPr>
            <w:r/>
            <w:r>
              <w:rPr>
                <w:b/>
                <w:color w:val="FFFFFF"/>
                <w:sz w:val="16"/>
              </w:rPr>
              <w:t>Delivery vs launch</w:t>
            </w:r>
          </w:p>
        </w:tc>
        <w:tc>
          <w:tcPr>
            <w:tcW w:type="dxa" w:w="964"/>
            <w:shd w:val="clear" w:color="auto" w:fill="17324D"/>
          </w:tcPr>
          <w:p>
            <w:pPr>
              <w:spacing w:after="0" w:line="240" w:lineRule="auto"/>
              <w:jc w:val="right"/>
            </w:pPr>
            <w:r/>
            <w:r>
              <w:rPr>
                <w:b/>
                <w:color w:val="FFFFFF"/>
                <w:sz w:val="16"/>
              </w:rPr>
              <w:t>Average vs launch</w:t>
            </w:r>
          </w:p>
        </w:tc>
        <w:tc>
          <w:tcPr>
            <w:tcW w:type="dxa" w:w="1361"/>
            <w:shd w:val="clear" w:color="auto" w:fill="17324D"/>
          </w:tcPr>
          <w:p>
            <w:pPr>
              <w:spacing w:after="0" w:line="240" w:lineRule="auto"/>
              <w:jc w:val="right"/>
            </w:pPr>
            <w:r/>
            <w:r>
              <w:rPr>
                <w:b/>
                <w:color w:val="FFFFFF"/>
                <w:sz w:val="16"/>
              </w:rPr>
              <w:t>Today's asking</w:t>
            </w:r>
          </w:p>
        </w:tc>
        <w:tc>
          <w:tcPr>
            <w:tcW w:type="dxa" w:w="1474"/>
            <w:shd w:val="clear" w:color="auto" w:fill="17324D"/>
          </w:tcPr>
          <w:p>
            <w:pPr>
              <w:spacing w:after="0" w:line="240" w:lineRule="auto"/>
              <w:jc w:val="right"/>
            </w:pPr>
            <w:r/>
            <w:r>
              <w:rPr>
                <w:b/>
                <w:color w:val="FFFFFF"/>
                <w:sz w:val="16"/>
              </w:rPr>
              <w:t>Delivery list vs today's asking</w:t>
            </w:r>
          </w:p>
        </w:tc>
        <w:tc>
          <w:tcPr>
            <w:tcW w:type="dxa" w:w="907"/>
            <w:shd w:val="clear" w:color="auto" w:fill="17324D"/>
          </w:tcPr>
          <w:p>
            <w:pPr>
              <w:spacing w:after="0" w:line="240" w:lineRule="auto"/>
              <w:jc w:val="right"/>
            </w:pPr>
            <w:r/>
            <w:r>
              <w:rPr>
                <w:b/>
                <w:color w:val="FFFFFF"/>
                <w:sz w:val="16"/>
              </w:rPr>
              <w:t>Growth a year to handover</w:t>
            </w:r>
          </w:p>
        </w:tc>
      </w:tr>
      <w:tr>
        <w:trPr>
          <w:cantSplit/>
        </w:trPr>
        <w:tc>
          <w:tcPr>
            <w:tcW w:type="dxa" w:w="964"/>
          </w:tcPr>
          <w:p>
            <w:pPr>
              <w:spacing w:after="0" w:line="240" w:lineRule="auto"/>
            </w:pPr>
            <w:r/>
            <w:r>
              <w:rPr>
                <w:sz w:val="16"/>
              </w:rPr>
              <w:t>Offices</w:t>
            </w:r>
          </w:p>
        </w:tc>
        <w:tc>
          <w:tcPr>
            <w:tcW w:type="dxa" w:w="907"/>
          </w:tcPr>
          <w:p>
            <w:pPr>
              <w:spacing w:after="0" w:line="240" w:lineRule="auto"/>
              <w:jc w:val="right"/>
            </w:pPr>
            <w:r/>
            <w:r>
              <w:rPr>
                <w:sz w:val="16"/>
              </w:rPr>
              <w:t>135,000</w:t>
            </w:r>
          </w:p>
        </w:tc>
        <w:tc>
          <w:tcPr>
            <w:tcW w:type="dxa" w:w="964"/>
          </w:tcPr>
          <w:p>
            <w:pPr>
              <w:spacing w:after="0" w:line="240" w:lineRule="auto"/>
              <w:jc w:val="right"/>
            </w:pPr>
            <w:r/>
            <w:r>
              <w:rPr>
                <w:sz w:val="16"/>
              </w:rPr>
              <w:t>163,125</w:t>
            </w:r>
          </w:p>
        </w:tc>
        <w:tc>
          <w:tcPr>
            <w:tcW w:type="dxa" w:w="907"/>
          </w:tcPr>
          <w:p>
            <w:pPr>
              <w:spacing w:after="0" w:line="240" w:lineRule="auto"/>
              <w:jc w:val="right"/>
            </w:pPr>
            <w:r/>
            <w:r>
              <w:rPr>
                <w:sz w:val="16"/>
              </w:rPr>
              <w:t>200,000</w:t>
            </w:r>
          </w:p>
        </w:tc>
        <w:tc>
          <w:tcPr>
            <w:tcW w:type="dxa" w:w="964"/>
          </w:tcPr>
          <w:p>
            <w:pPr>
              <w:spacing w:after="0" w:line="240" w:lineRule="auto"/>
              <w:jc w:val="right"/>
            </w:pPr>
            <w:r/>
            <w:r>
              <w:rPr>
                <w:sz w:val="16"/>
              </w:rPr>
              <w:t>+48%</w:t>
            </w:r>
          </w:p>
        </w:tc>
        <w:tc>
          <w:tcPr>
            <w:tcW w:type="dxa" w:w="964"/>
          </w:tcPr>
          <w:p>
            <w:pPr>
              <w:spacing w:after="0" w:line="240" w:lineRule="auto"/>
              <w:jc w:val="right"/>
            </w:pPr>
            <w:r/>
            <w:r>
              <w:rPr>
                <w:sz w:val="16"/>
              </w:rPr>
              <w:t>+21%</w:t>
            </w:r>
          </w:p>
        </w:tc>
        <w:tc>
          <w:tcPr>
            <w:tcW w:type="dxa" w:w="1361"/>
          </w:tcPr>
          <w:p>
            <w:pPr>
              <w:spacing w:after="0" w:line="240" w:lineRule="auto"/>
              <w:jc w:val="right"/>
            </w:pPr>
            <w:r/>
            <w:r>
              <w:rPr>
                <w:sz w:val="16"/>
              </w:rPr>
              <w:t>106,000 to 120,000</w:t>
            </w:r>
          </w:p>
        </w:tc>
        <w:tc>
          <w:tcPr>
            <w:tcW w:type="dxa" w:w="1474"/>
          </w:tcPr>
          <w:p>
            <w:pPr>
              <w:spacing w:after="0" w:line="240" w:lineRule="auto"/>
              <w:jc w:val="right"/>
            </w:pPr>
            <w:r/>
            <w:r>
              <w:rPr>
                <w:sz w:val="16"/>
              </w:rPr>
              <w:t>+77% (mid-point 113,000)</w:t>
            </w:r>
          </w:p>
        </w:tc>
        <w:tc>
          <w:tcPr>
            <w:tcW w:type="dxa" w:w="907"/>
          </w:tcPr>
          <w:p>
            <w:pPr>
              <w:spacing w:after="0" w:line="240" w:lineRule="auto"/>
              <w:jc w:val="right"/>
            </w:pPr>
            <w:r/>
            <w:r>
              <w:rPr>
                <w:sz w:val="16"/>
              </w:rPr>
              <w:t>14.7%</w:t>
            </w:r>
          </w:p>
        </w:tc>
      </w:tr>
      <w:tr>
        <w:trPr>
          <w:cantSplit/>
        </w:trPr>
        <w:tc>
          <w:tcPr>
            <w:tcW w:type="dxa" w:w="964"/>
            <w:shd w:val="clear" w:color="auto" w:fill="F2F4F7"/>
          </w:tcPr>
          <w:p>
            <w:pPr>
              <w:spacing w:after="0" w:line="240" w:lineRule="auto"/>
            </w:pPr>
            <w:r/>
            <w:r>
              <w:rPr>
                <w:sz w:val="16"/>
              </w:rPr>
              <w:t>Retail</w:t>
            </w:r>
          </w:p>
        </w:tc>
        <w:tc>
          <w:tcPr>
            <w:tcW w:type="dxa" w:w="907"/>
            <w:shd w:val="clear" w:color="auto" w:fill="F2F4F7"/>
          </w:tcPr>
          <w:p>
            <w:pPr>
              <w:spacing w:after="0" w:line="240" w:lineRule="auto"/>
              <w:jc w:val="right"/>
            </w:pPr>
            <w:r/>
            <w:r>
              <w:rPr>
                <w:sz w:val="16"/>
              </w:rPr>
              <w:t>225,000</w:t>
            </w:r>
          </w:p>
        </w:tc>
        <w:tc>
          <w:tcPr>
            <w:tcW w:type="dxa" w:w="964"/>
            <w:shd w:val="clear" w:color="auto" w:fill="F2F4F7"/>
          </w:tcPr>
          <w:p>
            <w:pPr>
              <w:spacing w:after="0" w:line="240" w:lineRule="auto"/>
              <w:jc w:val="right"/>
            </w:pPr>
            <w:r/>
            <w:r>
              <w:rPr>
                <w:sz w:val="16"/>
              </w:rPr>
              <w:t>268,125</w:t>
            </w:r>
          </w:p>
        </w:tc>
        <w:tc>
          <w:tcPr>
            <w:tcW w:type="dxa" w:w="907"/>
            <w:shd w:val="clear" w:color="auto" w:fill="F2F4F7"/>
          </w:tcPr>
          <w:p>
            <w:pPr>
              <w:spacing w:after="0" w:line="240" w:lineRule="auto"/>
              <w:jc w:val="right"/>
            </w:pPr>
            <w:r/>
            <w:r>
              <w:rPr>
                <w:sz w:val="16"/>
              </w:rPr>
              <w:t>300,000</w:t>
            </w:r>
          </w:p>
        </w:tc>
        <w:tc>
          <w:tcPr>
            <w:tcW w:type="dxa" w:w="964"/>
            <w:shd w:val="clear" w:color="auto" w:fill="F2F4F7"/>
          </w:tcPr>
          <w:p>
            <w:pPr>
              <w:spacing w:after="0" w:line="240" w:lineRule="auto"/>
              <w:jc w:val="right"/>
            </w:pPr>
            <w:r/>
            <w:r>
              <w:rPr>
                <w:sz w:val="16"/>
              </w:rPr>
              <w:t>+33%</w:t>
            </w:r>
          </w:p>
        </w:tc>
        <w:tc>
          <w:tcPr>
            <w:tcW w:type="dxa" w:w="964"/>
            <w:shd w:val="clear" w:color="auto" w:fill="F2F4F7"/>
          </w:tcPr>
          <w:p>
            <w:pPr>
              <w:spacing w:after="0" w:line="240" w:lineRule="auto"/>
              <w:jc w:val="right"/>
            </w:pPr>
            <w:r/>
            <w:r>
              <w:rPr>
                <w:sz w:val="16"/>
              </w:rPr>
              <w:t>+19%</w:t>
            </w:r>
          </w:p>
        </w:tc>
        <w:tc>
          <w:tcPr>
            <w:tcW w:type="dxa" w:w="1361"/>
            <w:shd w:val="clear" w:color="auto" w:fill="F2F4F7"/>
          </w:tcPr>
          <w:p>
            <w:pPr>
              <w:spacing w:after="0" w:line="240" w:lineRule="auto"/>
              <w:jc w:val="right"/>
            </w:pPr>
            <w:r/>
            <w:r>
              <w:rPr>
                <w:sz w:val="16"/>
              </w:rPr>
              <w:t>139,000 to 325,000 (listings)</w:t>
            </w:r>
          </w:p>
        </w:tc>
        <w:tc>
          <w:tcPr>
            <w:tcW w:type="dxa" w:w="1474"/>
            <w:shd w:val="clear" w:color="auto" w:fill="F2F4F7"/>
          </w:tcPr>
          <w:p>
            <w:pPr>
              <w:spacing w:after="0" w:line="240" w:lineRule="auto"/>
              <w:jc w:val="right"/>
            </w:pPr>
            <w:r/>
            <w:r>
              <w:rPr>
                <w:sz w:val="16"/>
              </w:rPr>
              <w:t>Within the listed range</w:t>
            </w:r>
          </w:p>
        </w:tc>
        <w:tc>
          <w:tcPr>
            <w:tcW w:type="dxa" w:w="907"/>
            <w:shd w:val="clear" w:color="auto" w:fill="F2F4F7"/>
          </w:tcPr>
          <w:p>
            <w:pPr>
              <w:spacing w:after="0" w:line="240" w:lineRule="auto"/>
              <w:jc w:val="right"/>
            </w:pPr>
            <w:r/>
            <w:r>
              <w:rPr>
                <w:sz w:val="16"/>
              </w:rPr>
              <w:t>n/a</w:t>
            </w:r>
          </w:p>
        </w:tc>
      </w:tr>
    </w:tbl>
    <w:p>
      <w:pPr>
        <w:spacing w:after="80"/>
      </w:pPr>
    </w:p>
    <w:p>
      <w:r>
        <w:rPr>
          <w:b w:val="0"/>
          <w:i w:val="0"/>
        </w:rPr>
        <w:t>The delivery list is the last list price in the plan and is unchanged to handover (month 48). Measured from launch it is +33% for retail and +48% for offices (43% weighted by the launch tranches), against the 40% to 60% range Jalour expects. Measured from today's office asking prices, the delivery list is +77%, or about 15% a year over 4.2 years if the model timeline starts in December 2026.</w:t>
      </w:r>
    </w:p>
    <w:p>
      <w:r>
        <w:rPr>
          <w:b w:val="0"/>
          <w:i w:val="0"/>
        </w:rPr>
        <w:t>The plan's launch price for offices (135,000) is above current Mostakbal City asking prices, and it then rises by 48%. New Cairo secondary-market prices rose 3.1% y/y in Q1 2026 (JLL via Enterprise); broker estimates for 2026 price growth are 10% to 16% a year (a blog estimate, not an index). A 40% to 60% rise over three to four years needs about 12% to 13% a year, which is at the upper end of that range and depends on continued inflation (14.5% in August 2026). Sales prices may therefore be lower or slower than planned; section 13 shows the effect.</w:t>
      </w:r>
    </w:p>
    <w:p>
      <w:pPr>
        <w:pStyle w:val="Heading2"/>
      </w:pPr>
      <w:r>
        <w:t>4.5 Demand drivers and macro</w:t>
      </w:r>
    </w:p>
    <w:p>
      <w:pPr>
        <w:pStyle w:val="ListBullet"/>
        <w:spacing w:after="60"/>
      </w:pPr>
      <w:r>
        <w:rPr>
          <w:b w:val="0"/>
          <w:i w:val="0"/>
        </w:rPr>
        <w:t>CBE overnight deposit rate 19.00%, unchanged at the September 2026 meeting; urban headline inflation 14.5% in August 2026 (CBE via Bnok24; CAPMAS via Ahram Online).</w:t>
      </w:r>
    </w:p>
    <w:p>
      <w:pPr>
        <w:pStyle w:val="ListBullet"/>
        <w:spacing w:after="60"/>
      </w:pPr>
      <w:r>
        <w:rPr>
          <w:b w:val="0"/>
          <w:i w:val="0"/>
        </w:rPr>
        <w:t>Top 10 developers' sales reached EGP 670 bn in H1 2026 against EGP 651 bn in H1 2025 (+2.9%), with units sold down 5% y/y (Daily News Egypt (2026)).</w:t>
      </w:r>
    </w:p>
    <w:p>
      <w:pPr>
        <w:pStyle w:val="ListBullet"/>
        <w:spacing w:after="60"/>
      </w:pPr>
      <w:r>
        <w:rPr>
          <w:b w:val="0"/>
          <w:i w:val="0"/>
        </w:rPr>
        <w:t>Typical off-plan payment plans run 8 to 12 years with 1.5% to 10% down payments (Bayut and Property Finder listings (2026)).</w:t>
      </w:r>
    </w:p>
    <w:p>
      <w:pPr>
        <w:pStyle w:val="ListBullet"/>
        <w:spacing w:after="60"/>
      </w:pPr>
      <w:r>
        <w:rPr>
          <w:b w:val="0"/>
          <w:i w:val="0"/>
        </w:rPr>
        <w:t>Real estate is widely used in Egypt as an inflation hedge, but affordability is stretched and the share of investor buyers fell in 2025 (Enterprise).</w:t>
      </w:r>
    </w:p>
    <w:p>
      <w:pPr>
        <w:pStyle w:val="Heading2"/>
      </w:pPr>
      <w:r>
        <w:t>4.6 Regulation of off-plan sales</w:t>
      </w:r>
    </w:p>
    <w:p>
      <w:r>
        <w:rPr>
          <w:b w:val="0"/>
          <w:i w:val="0"/>
        </w:rPr>
        <w:t>Prime Minister Decree 2184 of 2022 requires developers on state-allocated land to hold a separate project bank account and to follow approved timelines before announcing sales (Invest-Gate; Mondaq). Jalour's position is that this requirement does not apply to these plots; the basis is provided in the data room after the investor signs a non-disclosure agreement. Counsel should confirm which other rules apply to a private placement of this kind. Resale of contracts is common but developer approval and fees are contractual; no specific rule on developer consent to resale was found.</w:t>
      </w:r>
    </w:p>
    <w:p>
      <w:pPr>
        <w:keepNext/>
        <w:jc w:val="center"/>
      </w:pPr>
      <w:r>
        <w:drawing>
          <wp:inline xmlns:a="http://schemas.openxmlformats.org/drawingml/2006/main" xmlns:pic="http://schemas.openxmlformats.org/drawingml/2006/picture">
            <wp:extent cx="5580000" cy="2480000"/>
            <wp:docPr id="1" name="Picture 1"/>
            <wp:cNvGraphicFramePr>
              <a:graphicFrameLocks noChangeAspect="1"/>
            </wp:cNvGraphicFramePr>
            <a:graphic>
              <a:graphicData uri="http://schemas.openxmlformats.org/drawingml/2006/picture">
                <pic:pic>
                  <pic:nvPicPr>
                    <pic:cNvPr id="0" name="fig_sales.png"/>
                    <pic:cNvPicPr/>
                  </pic:nvPicPr>
                  <pic:blipFill>
                    <a:blip r:embed="rId11"/>
                    <a:stretch>
                      <a:fillRect/>
                    </a:stretch>
                  </pic:blipFill>
                  <pic:spPr>
                    <a:xfrm>
                      <a:off x="0" y="0"/>
                      <a:ext cx="5580000" cy="2480000"/>
                    </a:xfrm>
                    <a:prstGeom prst="rect"/>
                  </pic:spPr>
                </pic:pic>
              </a:graphicData>
            </a:graphic>
          </wp:inline>
        </w:drawing>
      </w:r>
    </w:p>
    <w:p>
      <w:pPr>
        <w:jc w:val="center"/>
      </w:pPr>
      <w:r>
        <w:rPr>
          <w:b/>
          <w:color w:val="17324D"/>
          <w:sz w:val="18"/>
        </w:rPr>
        <w:t xml:space="preserve">Figure 1: Sales value by quarter of sale. </w:t>
      </w:r>
      <w:r>
        <w:rPr>
          <w:i/>
          <w:color w:val="6B7280"/>
          <w:sz w:val="18"/>
        </w:rPr>
        <w:t>Source: Jalour financial model; Financial Annex, Source_Data sheet</w:t>
      </w:r>
    </w:p>
    <w:p>
      <w:pPr>
        <w:pStyle w:val="Heading1"/>
        <w:pageBreakBefore/>
      </w:pPr>
      <w:r>
        <w:t>5. Project description</w:t>
      </w:r>
    </w:p>
    <w:p>
      <w:pPr>
        <w:keepNext/>
        <w:spacing w:after="60"/>
      </w:pPr>
      <w:r>
        <w:rPr>
          <w:b/>
          <w:color w:val="17324D"/>
          <w:sz w:val="19"/>
        </w:rPr>
        <w:t>Table 6: Project facts (source: Jalour financial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Item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 area</w:t>
            </w:r>
          </w:p>
        </w:tc>
        <w:tc>
          <w:tcPr>
            <w:tcW w:type="dxa" w:w="5839"/>
          </w:tcPr>
          <w:p>
            <w:pPr>
              <w:spacing w:after="0" w:line="240" w:lineRule="auto"/>
            </w:pPr>
            <w:r/>
            <w:r>
              <w:rPr>
                <w:sz w:val="19"/>
              </w:rPr>
              <w:t>14,470 m2</w:t>
            </w:r>
          </w:p>
        </w:tc>
      </w:tr>
      <w:tr>
        <w:trPr>
          <w:cantSplit/>
        </w:trPr>
        <w:tc>
          <w:tcPr>
            <w:tcW w:type="dxa" w:w="3402"/>
            <w:shd w:val="clear" w:color="auto" w:fill="F2F4F7"/>
          </w:tcPr>
          <w:p>
            <w:pPr>
              <w:spacing w:after="0" w:line="240" w:lineRule="auto"/>
            </w:pPr>
            <w:r/>
            <w:r>
              <w:rPr>
                <w:b/>
                <w:sz w:val="19"/>
              </w:rPr>
              <w:t>Footprint (30% of land)</w:t>
            </w:r>
          </w:p>
        </w:tc>
        <w:tc>
          <w:tcPr>
            <w:tcW w:type="dxa" w:w="5839"/>
            <w:shd w:val="clear" w:color="auto" w:fill="F2F4F7"/>
          </w:tcPr>
          <w:p>
            <w:pPr>
              <w:spacing w:after="0" w:line="240" w:lineRule="auto"/>
            </w:pPr>
            <w:r/>
            <w:r>
              <w:rPr>
                <w:sz w:val="19"/>
              </w:rPr>
              <w:t>4,341 m2</w:t>
            </w:r>
          </w:p>
        </w:tc>
      </w:tr>
      <w:tr>
        <w:trPr>
          <w:cantSplit/>
        </w:trPr>
        <w:tc>
          <w:tcPr>
            <w:tcW w:type="dxa" w:w="3402"/>
          </w:tcPr>
          <w:p>
            <w:pPr>
              <w:spacing w:after="0" w:line="240" w:lineRule="auto"/>
            </w:pPr>
            <w:r/>
            <w:r>
              <w:rPr>
                <w:b/>
                <w:sz w:val="19"/>
              </w:rPr>
              <w:t>Height</w:t>
            </w:r>
          </w:p>
        </w:tc>
        <w:tc>
          <w:tcPr>
            <w:tcW w:type="dxa" w:w="5839"/>
          </w:tcPr>
          <w:p>
            <w:pPr>
              <w:spacing w:after="0" w:line="240" w:lineRule="auto"/>
            </w:pPr>
            <w:r/>
            <w:r>
              <w:rPr>
                <w:sz w:val="19"/>
              </w:rPr>
              <w:t>G+2</w:t>
            </w:r>
          </w:p>
        </w:tc>
      </w:tr>
      <w:tr>
        <w:trPr>
          <w:cantSplit/>
        </w:trPr>
        <w:tc>
          <w:tcPr>
            <w:tcW w:type="dxa" w:w="3402"/>
            <w:shd w:val="clear" w:color="auto" w:fill="F2F4F7"/>
          </w:tcPr>
          <w:p>
            <w:pPr>
              <w:spacing w:after="0" w:line="240" w:lineRule="auto"/>
            </w:pPr>
            <w:r/>
            <w:r>
              <w:rPr>
                <w:b/>
                <w:sz w:val="19"/>
              </w:rPr>
              <w:t>Retail built-up area</w:t>
            </w:r>
          </w:p>
        </w:tc>
        <w:tc>
          <w:tcPr>
            <w:tcW w:type="dxa" w:w="5839"/>
            <w:shd w:val="clear" w:color="auto" w:fill="F2F4F7"/>
          </w:tcPr>
          <w:p>
            <w:pPr>
              <w:spacing w:after="0" w:line="240" w:lineRule="auto"/>
            </w:pPr>
            <w:r/>
            <w:r>
              <w:rPr>
                <w:sz w:val="19"/>
              </w:rPr>
              <w:t>4,341 m2</w:t>
            </w:r>
          </w:p>
        </w:tc>
      </w:tr>
      <w:tr>
        <w:trPr>
          <w:cantSplit/>
        </w:trPr>
        <w:tc>
          <w:tcPr>
            <w:tcW w:type="dxa" w:w="3402"/>
          </w:tcPr>
          <w:p>
            <w:pPr>
              <w:spacing w:after="0" w:line="240" w:lineRule="auto"/>
            </w:pPr>
            <w:r/>
            <w:r>
              <w:rPr>
                <w:b/>
                <w:sz w:val="19"/>
              </w:rPr>
              <w:t>Office built-up area</w:t>
            </w:r>
          </w:p>
        </w:tc>
        <w:tc>
          <w:tcPr>
            <w:tcW w:type="dxa" w:w="5839"/>
          </w:tcPr>
          <w:p>
            <w:pPr>
              <w:spacing w:after="0" w:line="240" w:lineRule="auto"/>
            </w:pPr>
            <w:r/>
            <w:r>
              <w:rPr>
                <w:sz w:val="19"/>
              </w:rPr>
              <w:t>8,682 m2</w:t>
            </w:r>
          </w:p>
        </w:tc>
      </w:tr>
      <w:tr>
        <w:trPr>
          <w:cantSplit/>
        </w:trPr>
        <w:tc>
          <w:tcPr>
            <w:tcW w:type="dxa" w:w="3402"/>
            <w:shd w:val="clear" w:color="auto" w:fill="F2F4F7"/>
          </w:tcPr>
          <w:p>
            <w:pPr>
              <w:spacing w:after="0" w:line="240" w:lineRule="auto"/>
            </w:pPr>
            <w:r/>
            <w:r>
              <w:rPr>
                <w:b/>
                <w:sz w:val="19"/>
              </w:rPr>
              <w:t>Total built-up area</w:t>
            </w:r>
          </w:p>
        </w:tc>
        <w:tc>
          <w:tcPr>
            <w:tcW w:type="dxa" w:w="5839"/>
            <w:shd w:val="clear" w:color="auto" w:fill="F2F4F7"/>
          </w:tcPr>
          <w:p>
            <w:pPr>
              <w:spacing w:after="0" w:line="240" w:lineRule="auto"/>
            </w:pPr>
            <w:r/>
            <w:r>
              <w:rPr>
                <w:sz w:val="19"/>
              </w:rPr>
              <w:t>13,023 m2</w:t>
            </w:r>
          </w:p>
        </w:tc>
      </w:tr>
      <w:tr>
        <w:trPr>
          <w:cantSplit/>
        </w:trPr>
        <w:tc>
          <w:tcPr>
            <w:tcW w:type="dxa" w:w="3402"/>
          </w:tcPr>
          <w:p>
            <w:pPr>
              <w:spacing w:after="0" w:line="240" w:lineRule="auto"/>
            </w:pPr>
            <w:r/>
            <w:r>
              <w:rPr>
                <w:b/>
                <w:sz w:val="19"/>
              </w:rPr>
              <w:t>Finishing standard</w:t>
            </w:r>
          </w:p>
        </w:tc>
        <w:tc>
          <w:tcPr>
            <w:tcW w:type="dxa" w:w="5839"/>
          </w:tcPr>
          <w:p>
            <w:pPr>
              <w:spacing w:after="0" w:line="240" w:lineRule="auto"/>
            </w:pPr>
            <w:r/>
            <w:r>
              <w:rPr>
                <w:sz w:val="19"/>
              </w:rPr>
              <w:t>Core and shell</w:t>
            </w:r>
          </w:p>
        </w:tc>
      </w:tr>
      <w:tr>
        <w:trPr>
          <w:cantSplit/>
        </w:trPr>
        <w:tc>
          <w:tcPr>
            <w:tcW w:type="dxa" w:w="3402"/>
            <w:shd w:val="clear" w:color="auto" w:fill="F2F4F7"/>
          </w:tcPr>
          <w:p>
            <w:pPr>
              <w:spacing w:after="0" w:line="240" w:lineRule="auto"/>
            </w:pPr>
            <w:r/>
            <w:r>
              <w:rPr>
                <w:b/>
                <w:sz w:val="19"/>
              </w:rPr>
              <w:t>Sales start</w:t>
            </w:r>
          </w:p>
        </w:tc>
        <w:tc>
          <w:tcPr>
            <w:tcW w:type="dxa" w:w="5839"/>
            <w:shd w:val="clear" w:color="auto" w:fill="F2F4F7"/>
          </w:tcPr>
          <w:p>
            <w:pPr>
              <w:spacing w:after="0" w:line="240" w:lineRule="auto"/>
            </w:pPr>
            <w:r/>
            <w:r>
              <w:rPr>
                <w:sz w:val="19"/>
              </w:rPr>
              <w:t>Project month 7</w:t>
            </w:r>
          </w:p>
        </w:tc>
      </w:tr>
      <w:tr>
        <w:trPr>
          <w:cantSplit/>
        </w:trPr>
        <w:tc>
          <w:tcPr>
            <w:tcW w:type="dxa" w:w="3402"/>
          </w:tcPr>
          <w:p>
            <w:pPr>
              <w:spacing w:after="0" w:line="240" w:lineRule="auto"/>
            </w:pPr>
            <w:r/>
            <w:r>
              <w:rPr>
                <w:b/>
                <w:sz w:val="19"/>
              </w:rPr>
              <w:t>Construction</w:t>
            </w:r>
          </w:p>
        </w:tc>
        <w:tc>
          <w:tcPr>
            <w:tcW w:type="dxa" w:w="5839"/>
          </w:tcPr>
          <w:p>
            <w:pPr>
              <w:spacing w:after="0" w:line="240" w:lineRule="auto"/>
            </w:pPr>
            <w:r/>
            <w:r>
              <w:rPr>
                <w:sz w:val="19"/>
              </w:rPr>
              <w:t>Months 13 to 48 (36 months)</w:t>
            </w:r>
          </w:p>
        </w:tc>
      </w:tr>
      <w:tr>
        <w:trPr>
          <w:cantSplit/>
        </w:trPr>
        <w:tc>
          <w:tcPr>
            <w:tcW w:type="dxa" w:w="3402"/>
            <w:shd w:val="clear" w:color="auto" w:fill="F2F4F7"/>
          </w:tcPr>
          <w:p>
            <w:pPr>
              <w:spacing w:after="0" w:line="240" w:lineRule="auto"/>
            </w:pPr>
            <w:r/>
            <w:r>
              <w:rPr>
                <w:b/>
                <w:sz w:val="19"/>
              </w:rPr>
              <w:t>Handover</w:t>
            </w:r>
          </w:p>
        </w:tc>
        <w:tc>
          <w:tcPr>
            <w:tcW w:type="dxa" w:w="5839"/>
            <w:shd w:val="clear" w:color="auto" w:fill="F2F4F7"/>
          </w:tcPr>
          <w:p>
            <w:pPr>
              <w:spacing w:after="0" w:line="240" w:lineRule="auto"/>
            </w:pPr>
            <w:r/>
            <w:r>
              <w:rPr>
                <w:sz w:val="19"/>
              </w:rPr>
              <w:t>Project month 48</w:t>
            </w:r>
          </w:p>
        </w:tc>
      </w:tr>
      <w:tr>
        <w:trPr>
          <w:cantSplit/>
        </w:trPr>
        <w:tc>
          <w:tcPr>
            <w:tcW w:type="dxa" w:w="3402"/>
          </w:tcPr>
          <w:p>
            <w:pPr>
              <w:spacing w:after="0" w:line="240" w:lineRule="auto"/>
            </w:pPr>
            <w:r/>
            <w:r>
              <w:rPr>
                <w:b/>
                <w:sz w:val="19"/>
              </w:rPr>
              <w:t>Retained by Jalour</w:t>
            </w:r>
          </w:p>
        </w:tc>
        <w:tc>
          <w:tcPr>
            <w:tcW w:type="dxa" w:w="5839"/>
          </w:tcPr>
          <w:p>
            <w:pPr>
              <w:spacing w:after="0" w:line="240" w:lineRule="auto"/>
            </w:pPr>
            <w:r/>
            <w:r>
              <w:rPr>
                <w:sz w:val="19"/>
              </w:rPr>
              <w:t>20% of units (not offered, not in the cash flows)</w:t>
            </w:r>
          </w:p>
        </w:tc>
      </w:tr>
    </w:tbl>
    <w:p>
      <w:pPr>
        <w:spacing w:after="80"/>
      </w:pPr>
    </w:p>
    <w:p>
      <w:r>
        <w:rPr>
          <w:b w:val="0"/>
          <w:i w:val="0"/>
        </w:rPr>
        <w:t>The development comprises retail on the ground floor and offices above, in G+2 buildings over a 30% footprint. Retail accounts for 33% of built-up area and offices for 67%. Jalour is responsible for design, permits and licences, construction to core and shell, project branding, marketing, sales and collection, and for operation, management and maintenance directly or through a facility management company.</w:t>
      </w:r>
    </w:p>
    <w:p>
      <w:r>
        <w:rPr>
          <w:b w:val="0"/>
          <w:i w:val="0"/>
        </w:rPr>
        <w:t>The model sells offices on a sellable area of 10,129 m2, which is larger than the 8,682 m2 of office built-up area. The area schedule that reconciles the two is provided after the investor signs a non-disclosure agreement; the investor should require it in due diligence.</w:t>
      </w:r>
    </w:p>
    <w:p>
      <w:r>
        <w:rPr>
          <w:b w:val="0"/>
          <w:i w:val="0"/>
        </w:rPr>
        <w:t>Phasing: sales launch in project month 7, construction starts in month 13 and runs 36 months to handover in month 48. Permits, licences and title status are listed in the Due Diligence Memorandum [available after the investor signs a non-disclosure agreement].</w:t>
      </w:r>
    </w:p>
    <w:p>
      <w:pPr>
        <w:pStyle w:val="Heading1"/>
        <w:pageBreakBefore/>
      </w:pPr>
      <w:r>
        <w:t>6. The Al Ahly Sabbour agreement and consents</w:t>
      </w:r>
    </w:p>
    <w:p>
      <w:r>
        <w:rPr>
          <w:b w:val="0"/>
          <w:i w:val="0"/>
        </w:rPr>
        <w:t>The following terms are taken from the Jalour financial model and are to be verified against the signed agreement in the data room.</w:t>
      </w:r>
    </w:p>
    <w:p>
      <w:pPr>
        <w:keepNext/>
        <w:spacing w:after="60"/>
      </w:pPr>
      <w:r>
        <w:rPr>
          <w:b/>
          <w:color w:val="17324D"/>
          <w:sz w:val="19"/>
        </w:rPr>
        <w:t>Table 7: Agreement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Term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Landlord share of collections</w:t>
            </w:r>
          </w:p>
        </w:tc>
        <w:tc>
          <w:tcPr>
            <w:tcW w:type="dxa" w:w="5839"/>
          </w:tcPr>
          <w:p>
            <w:pPr>
              <w:spacing w:after="0" w:line="240" w:lineRule="auto"/>
            </w:pPr>
            <w:r/>
            <w:r>
              <w:rPr>
                <w:sz w:val="19"/>
              </w:rPr>
              <w:t>35%</w:t>
            </w:r>
          </w:p>
        </w:tc>
      </w:tr>
      <w:tr>
        <w:trPr>
          <w:cantSplit/>
        </w:trPr>
        <w:tc>
          <w:tcPr>
            <w:tcW w:type="dxa" w:w="3402"/>
            <w:shd w:val="clear" w:color="auto" w:fill="F2F4F7"/>
          </w:tcPr>
          <w:p>
            <w:pPr>
              <w:spacing w:after="0" w:line="240" w:lineRule="auto"/>
            </w:pPr>
            <w:r/>
            <w:r>
              <w:rPr>
                <w:b/>
                <w:sz w:val="19"/>
              </w:rPr>
              <w:t>Developer (Jalour) share</w:t>
            </w:r>
          </w:p>
        </w:tc>
        <w:tc>
          <w:tcPr>
            <w:tcW w:type="dxa" w:w="5839"/>
            <w:shd w:val="clear" w:color="auto" w:fill="F2F4F7"/>
          </w:tcPr>
          <w:p>
            <w:pPr>
              <w:spacing w:after="0" w:line="240" w:lineRule="auto"/>
            </w:pPr>
            <w:r/>
            <w:r>
              <w:rPr>
                <w:sz w:val="19"/>
              </w:rPr>
              <w:t>65%</w:t>
            </w:r>
          </w:p>
        </w:tc>
      </w:tr>
      <w:tr>
        <w:trPr>
          <w:cantSplit/>
        </w:trPr>
        <w:tc>
          <w:tcPr>
            <w:tcW w:type="dxa" w:w="3402"/>
          </w:tcPr>
          <w:p>
            <w:pPr>
              <w:spacing w:after="0" w:line="240" w:lineRule="auto"/>
            </w:pPr>
            <w:r/>
            <w:r>
              <w:rPr>
                <w:b/>
                <w:sz w:val="19"/>
              </w:rPr>
              <w:t>Minimum guaranteed amount</w:t>
            </w:r>
          </w:p>
        </w:tc>
        <w:tc>
          <w:tcPr>
            <w:tcW w:type="dxa" w:w="5839"/>
          </w:tcPr>
          <w:p>
            <w:pPr>
              <w:spacing w:after="0" w:line="240" w:lineRule="auto"/>
            </w:pPr>
            <w:r/>
            <w:r>
              <w:rPr>
                <w:sz w:val="19"/>
              </w:rPr>
              <w:t>EGP 800 million over six years</w:t>
            </w:r>
          </w:p>
        </w:tc>
      </w:tr>
      <w:tr>
        <w:trPr>
          <w:cantSplit/>
        </w:trPr>
        <w:tc>
          <w:tcPr>
            <w:tcW w:type="dxa" w:w="3402"/>
            <w:shd w:val="clear" w:color="auto" w:fill="F2F4F7"/>
          </w:tcPr>
          <w:p>
            <w:pPr>
              <w:spacing w:after="0" w:line="240" w:lineRule="auto"/>
            </w:pPr>
            <w:r/>
            <w:r>
              <w:rPr>
                <w:b/>
                <w:sz w:val="19"/>
              </w:rPr>
              <w:t>Down payment</w:t>
            </w:r>
          </w:p>
        </w:tc>
        <w:tc>
          <w:tcPr>
            <w:tcW w:type="dxa" w:w="5839"/>
            <w:shd w:val="clear" w:color="auto" w:fill="F2F4F7"/>
          </w:tcPr>
          <w:p>
            <w:pPr>
              <w:spacing w:after="0" w:line="240" w:lineRule="auto"/>
            </w:pPr>
            <w:r/>
            <w:r>
              <w:rPr>
                <w:sz w:val="19"/>
              </w:rPr>
              <w:t>EGP 80 million (10% of the guarantee), paid up front</w:t>
            </w:r>
          </w:p>
        </w:tc>
      </w:tr>
      <w:tr>
        <w:trPr>
          <w:cantSplit/>
        </w:trPr>
        <w:tc>
          <w:tcPr>
            <w:tcW w:type="dxa" w:w="3402"/>
          </w:tcPr>
          <w:p>
            <w:pPr>
              <w:spacing w:after="0" w:line="240" w:lineRule="auto"/>
            </w:pPr>
            <w:r/>
            <w:r>
              <w:rPr>
                <w:b/>
                <w:sz w:val="19"/>
              </w:rPr>
              <w:t>Payment rule</w:t>
            </w:r>
          </w:p>
        </w:tc>
        <w:tc>
          <w:tcPr>
            <w:tcW w:type="dxa" w:w="5839"/>
          </w:tcPr>
          <w:p>
            <w:pPr>
              <w:spacing w:after="0" w:line="240" w:lineRule="auto"/>
            </w:pPr>
            <w:r/>
            <w:r>
              <w:rPr>
                <w:sz w:val="19"/>
              </w:rPr>
              <w:t>35% of collections or the guaranteed instalment, whichever is higher</w:t>
            </w:r>
          </w:p>
        </w:tc>
      </w:tr>
      <w:tr>
        <w:trPr>
          <w:cantSplit/>
        </w:trPr>
        <w:tc>
          <w:tcPr>
            <w:tcW w:type="dxa" w:w="3402"/>
            <w:shd w:val="clear" w:color="auto" w:fill="F2F4F7"/>
          </w:tcPr>
          <w:p>
            <w:pPr>
              <w:spacing w:after="0" w:line="240" w:lineRule="auto"/>
            </w:pPr>
            <w:r/>
            <w:r>
              <w:rPr>
                <w:b/>
                <w:sz w:val="19"/>
              </w:rPr>
              <w:t>Settlement of any excess over the guarantee</w:t>
            </w:r>
          </w:p>
        </w:tc>
        <w:tc>
          <w:tcPr>
            <w:tcW w:type="dxa" w:w="5839"/>
            <w:shd w:val="clear" w:color="auto" w:fill="F2F4F7"/>
          </w:tcPr>
          <w:p>
            <w:pPr>
              <w:spacing w:after="0" w:line="240" w:lineRule="auto"/>
            </w:pPr>
            <w:r/>
            <w:r>
              <w:rPr>
                <w:sz w:val="19"/>
              </w:rPr>
              <w:t>From year 8</w:t>
            </w:r>
          </w:p>
        </w:tc>
      </w:tr>
      <w:tr>
        <w:trPr>
          <w:cantSplit/>
        </w:trPr>
        <w:tc>
          <w:tcPr>
            <w:tcW w:type="dxa" w:w="3402"/>
          </w:tcPr>
          <w:p>
            <w:pPr>
              <w:spacing w:after="0" w:line="240" w:lineRule="auto"/>
            </w:pPr>
            <w:r/>
            <w:r>
              <w:rPr>
                <w:b/>
                <w:sz w:val="19"/>
              </w:rPr>
              <w:t>Jalour scope</w:t>
            </w:r>
          </w:p>
        </w:tc>
        <w:tc>
          <w:tcPr>
            <w:tcW w:type="dxa" w:w="5839"/>
          </w:tcPr>
          <w:p>
            <w:pPr>
              <w:spacing w:after="0" w:line="240" w:lineRule="auto"/>
            </w:pPr>
            <w:r/>
            <w:r>
              <w:rPr>
                <w:sz w:val="19"/>
              </w:rPr>
              <w:t>Design, permits, construction (core and shell), marketing, sales, collection, project name, operation and maintenance</w:t>
            </w:r>
          </w:p>
        </w:tc>
      </w:tr>
      <w:tr>
        <w:trPr>
          <w:cantSplit/>
        </w:trPr>
        <w:tc>
          <w:tcPr>
            <w:tcW w:type="dxa" w:w="3402"/>
            <w:shd w:val="clear" w:color="auto" w:fill="F2F4F7"/>
          </w:tcPr>
          <w:p>
            <w:pPr>
              <w:spacing w:after="0" w:line="240" w:lineRule="auto"/>
            </w:pPr>
            <w:r/>
            <w:r>
              <w:rPr>
                <w:b/>
                <w:sz w:val="19"/>
              </w:rPr>
              <w:t>Delivery</w:t>
            </w:r>
          </w:p>
        </w:tc>
        <w:tc>
          <w:tcPr>
            <w:tcW w:type="dxa" w:w="5839"/>
            <w:shd w:val="clear" w:color="auto" w:fill="F2F4F7"/>
          </w:tcPr>
          <w:p>
            <w:pPr>
              <w:spacing w:after="0" w:line="240" w:lineRule="auto"/>
            </w:pPr>
            <w:r/>
            <w:r>
              <w:rPr>
                <w:sz w:val="19"/>
              </w:rPr>
              <w:t>Month 48</w:t>
            </w:r>
          </w:p>
        </w:tc>
      </w:tr>
    </w:tbl>
    <w:p>
      <w:pPr>
        <w:spacing w:after="80"/>
      </w:pPr>
    </w:p>
    <w:p>
      <w:pPr>
        <w:keepNext/>
        <w:spacing w:after="60"/>
      </w:pPr>
      <w:r>
        <w:rPr>
          <w:b/>
          <w:color w:val="17324D"/>
          <w:sz w:val="19"/>
        </w:rPr>
        <w:t>Table 8: Minimum guarantee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1928"/>
            <w:shd w:val="clear" w:color="auto" w:fill="17324D"/>
          </w:tcPr>
          <w:p>
            <w:pPr>
              <w:spacing w:after="0" w:line="240" w:lineRule="auto"/>
            </w:pPr>
            <w:r/>
            <w:r>
              <w:rPr>
                <w:b/>
                <w:color w:val="FFFFFF"/>
                <w:sz w:val="18"/>
              </w:rPr>
              <w:t>EGP million</w:t>
            </w:r>
          </w:p>
        </w:tc>
        <w:tc>
          <w:tcPr>
            <w:tcW w:type="dxa" w:w="1077"/>
            <w:shd w:val="clear" w:color="auto" w:fill="17324D"/>
          </w:tcPr>
          <w:p>
            <w:pPr>
              <w:spacing w:after="0" w:line="240" w:lineRule="auto"/>
              <w:jc w:val="right"/>
            </w:pPr>
            <w:r/>
            <w:r>
              <w:rPr>
                <w:b/>
                <w:color w:val="FFFFFF"/>
                <w:sz w:val="18"/>
              </w:rPr>
              <w:t>Down payment</w:t>
            </w:r>
          </w:p>
        </w:tc>
        <w:tc>
          <w:tcPr>
            <w:tcW w:type="dxa" w:w="850"/>
            <w:shd w:val="clear" w:color="auto" w:fill="17324D"/>
          </w:tcPr>
          <w:p>
            <w:pPr>
              <w:spacing w:after="0" w:line="240" w:lineRule="auto"/>
              <w:jc w:val="right"/>
            </w:pPr>
            <w:r/>
            <w:r>
              <w:rPr>
                <w:b/>
                <w:color w:val="FFFFFF"/>
                <w:sz w:val="18"/>
              </w:rPr>
              <w:t>Year 1</w:t>
            </w:r>
          </w:p>
        </w:tc>
        <w:tc>
          <w:tcPr>
            <w:tcW w:type="dxa" w:w="850"/>
            <w:shd w:val="clear" w:color="auto" w:fill="17324D"/>
          </w:tcPr>
          <w:p>
            <w:pPr>
              <w:spacing w:after="0" w:line="240" w:lineRule="auto"/>
              <w:jc w:val="right"/>
            </w:pPr>
            <w:r/>
            <w:r>
              <w:rPr>
                <w:b/>
                <w:color w:val="FFFFFF"/>
                <w:sz w:val="18"/>
              </w:rPr>
              <w:t>Year 2</w:t>
            </w:r>
          </w:p>
        </w:tc>
        <w:tc>
          <w:tcPr>
            <w:tcW w:type="dxa" w:w="850"/>
            <w:shd w:val="clear" w:color="auto" w:fill="17324D"/>
          </w:tcPr>
          <w:p>
            <w:pPr>
              <w:spacing w:after="0" w:line="240" w:lineRule="auto"/>
              <w:jc w:val="right"/>
            </w:pPr>
            <w:r/>
            <w:r>
              <w:rPr>
                <w:b/>
                <w:color w:val="FFFFFF"/>
                <w:sz w:val="18"/>
              </w:rPr>
              <w:t>Year 3</w:t>
            </w:r>
          </w:p>
        </w:tc>
        <w:tc>
          <w:tcPr>
            <w:tcW w:type="dxa" w:w="850"/>
            <w:shd w:val="clear" w:color="auto" w:fill="17324D"/>
          </w:tcPr>
          <w:p>
            <w:pPr>
              <w:spacing w:after="0" w:line="240" w:lineRule="auto"/>
              <w:jc w:val="right"/>
            </w:pPr>
            <w:r/>
            <w:r>
              <w:rPr>
                <w:b/>
                <w:color w:val="FFFFFF"/>
                <w:sz w:val="18"/>
              </w:rPr>
              <w:t>Year 4</w:t>
            </w:r>
          </w:p>
        </w:tc>
        <w:tc>
          <w:tcPr>
            <w:tcW w:type="dxa" w:w="850"/>
            <w:shd w:val="clear" w:color="auto" w:fill="17324D"/>
          </w:tcPr>
          <w:p>
            <w:pPr>
              <w:spacing w:after="0" w:line="240" w:lineRule="auto"/>
              <w:jc w:val="right"/>
            </w:pPr>
            <w:r/>
            <w:r>
              <w:rPr>
                <w:b/>
                <w:color w:val="FFFFFF"/>
                <w:sz w:val="18"/>
              </w:rPr>
              <w:t>Year 5</w:t>
            </w:r>
          </w:p>
        </w:tc>
        <w:tc>
          <w:tcPr>
            <w:tcW w:type="dxa" w:w="850"/>
            <w:shd w:val="clear" w:color="auto" w:fill="17324D"/>
          </w:tcPr>
          <w:p>
            <w:pPr>
              <w:spacing w:after="0" w:line="240" w:lineRule="auto"/>
              <w:jc w:val="right"/>
            </w:pPr>
            <w:r/>
            <w:r>
              <w:rPr>
                <w:b/>
                <w:color w:val="FFFFFF"/>
                <w:sz w:val="18"/>
              </w:rPr>
              <w:t>Year 6</w:t>
            </w:r>
          </w:p>
        </w:tc>
        <w:tc>
          <w:tcPr>
            <w:tcW w:type="dxa" w:w="907"/>
            <w:shd w:val="clear" w:color="auto" w:fill="17324D"/>
          </w:tcPr>
          <w:p>
            <w:pPr>
              <w:spacing w:after="0" w:line="240" w:lineRule="auto"/>
              <w:jc w:val="right"/>
            </w:pPr>
            <w:r/>
            <w:r>
              <w:rPr>
                <w:b/>
                <w:color w:val="FFFFFF"/>
                <w:sz w:val="18"/>
              </w:rPr>
              <w:t>Total</w:t>
            </w:r>
          </w:p>
        </w:tc>
      </w:tr>
      <w:tr>
        <w:trPr>
          <w:cantSplit/>
        </w:trPr>
        <w:tc>
          <w:tcPr>
            <w:tcW w:type="dxa" w:w="1928"/>
          </w:tcPr>
          <w:p>
            <w:pPr>
              <w:spacing w:after="0" w:line="240" w:lineRule="auto"/>
            </w:pPr>
            <w:r/>
            <w:r>
              <w:rPr>
                <w:sz w:val="18"/>
              </w:rPr>
              <w:t>Guaranteed payment</w:t>
            </w:r>
          </w:p>
        </w:tc>
        <w:tc>
          <w:tcPr>
            <w:tcW w:type="dxa" w:w="1077"/>
          </w:tcPr>
          <w:p>
            <w:pPr>
              <w:spacing w:after="0" w:line="240" w:lineRule="auto"/>
              <w:jc w:val="right"/>
            </w:pPr>
            <w:r/>
            <w:r>
              <w:rPr>
                <w:sz w:val="18"/>
              </w:rPr>
              <w:t>80</w:t>
            </w:r>
          </w:p>
        </w:tc>
        <w:tc>
          <w:tcPr>
            <w:tcW w:type="dxa" w:w="850"/>
          </w:tcPr>
          <w:p>
            <w:pPr>
              <w:spacing w:after="0" w:line="240" w:lineRule="auto"/>
              <w:jc w:val="right"/>
            </w:pPr>
            <w:r/>
            <w:r>
              <w:rPr>
                <w:sz w:val="18"/>
              </w:rPr>
              <w:t>45</w:t>
            </w:r>
          </w:p>
        </w:tc>
        <w:tc>
          <w:tcPr>
            <w:tcW w:type="dxa" w:w="850"/>
          </w:tcPr>
          <w:p>
            <w:pPr>
              <w:spacing w:after="0" w:line="240" w:lineRule="auto"/>
              <w:jc w:val="right"/>
            </w:pPr>
            <w:r/>
            <w:r>
              <w:rPr>
                <w:sz w:val="18"/>
              </w:rPr>
              <w:t>90</w:t>
            </w:r>
          </w:p>
        </w:tc>
        <w:tc>
          <w:tcPr>
            <w:tcW w:type="dxa" w:w="850"/>
          </w:tcPr>
          <w:p>
            <w:pPr>
              <w:spacing w:after="0" w:line="240" w:lineRule="auto"/>
              <w:jc w:val="right"/>
            </w:pPr>
            <w:r/>
            <w:r>
              <w:rPr>
                <w:sz w:val="18"/>
              </w:rPr>
              <w:t>135</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90</w:t>
            </w:r>
          </w:p>
        </w:tc>
        <w:tc>
          <w:tcPr>
            <w:tcW w:type="dxa" w:w="907"/>
          </w:tcPr>
          <w:p>
            <w:pPr>
              <w:spacing w:after="0" w:line="240" w:lineRule="auto"/>
              <w:jc w:val="right"/>
            </w:pPr>
            <w:r/>
            <w:r>
              <w:rPr>
                <w:sz w:val="18"/>
              </w:rPr>
              <w:t>800</w:t>
            </w:r>
          </w:p>
        </w:tc>
      </w:tr>
    </w:tbl>
    <w:p>
      <w:pPr>
        <w:spacing w:after="80"/>
      </w:pPr>
    </w:p>
    <w:p>
      <w:r>
        <w:rPr>
          <w:b w:val="0"/>
          <w:i w:val="0"/>
        </w:rPr>
        <w:t>In the plan the landlord receives EGP 986 million in total, equal to 35% of the value of all units at modelled prices, including the 20% retained by Jalour. EGP 186 million of that is the excess over the guarantee, settled from year 8. Jalour pays the landlord share on the retained units in cash and keeps those units.</w:t>
      </w:r>
    </w:p>
    <w:p>
      <w:pPr>
        <w:pStyle w:val="Heading2"/>
      </w:pPr>
      <w:r>
        <w:t>6.1 Consents</w:t>
      </w:r>
    </w:p>
    <w:p>
      <w:pPr>
        <w:keepNext/>
      </w:pPr>
      <w:r>
        <w:rPr>
          <w:b w:val="0"/>
          <w:i w:val="0"/>
        </w:rPr>
        <w:t>Al Ahly Sabbour's written consent is required for:</w:t>
      </w:r>
    </w:p>
    <w:p>
      <w:pPr>
        <w:pStyle w:val="ListBullet"/>
        <w:spacing w:after="60"/>
      </w:pPr>
      <w:r>
        <w:rPr>
          <w:b w:val="0"/>
          <w:i w:val="0"/>
        </w:rPr>
        <w:t>allocation of units to the investor (Option A) and the investor's right to assign the contract;</w:t>
      </w:r>
    </w:p>
    <w:p>
      <w:pPr>
        <w:pStyle w:val="ListBullet"/>
        <w:spacing w:after="60"/>
      </w:pPr>
      <w:r>
        <w:rPr>
          <w:b w:val="0"/>
          <w:i w:val="0"/>
        </w:rPr>
        <w:t>any assignment of collections or encumbrance on units that affects the landlord's 35% share;</w:t>
      </w:r>
    </w:p>
    <w:p>
      <w:pPr>
        <w:pStyle w:val="ListBullet"/>
        <w:spacing w:after="60"/>
      </w:pPr>
      <w:r>
        <w:rPr>
          <w:b w:val="0"/>
          <w:i w:val="0"/>
        </w:rPr>
        <w:t>earmarking of unsold units as collateral (Option B);</w:t>
      </w:r>
    </w:p>
    <w:p>
      <w:pPr>
        <w:pStyle w:val="ListBullet"/>
        <w:spacing w:after="60"/>
      </w:pPr>
      <w:r>
        <w:rPr>
          <w:b w:val="0"/>
          <w:i w:val="0"/>
        </w:rPr>
        <w:t>any variation of the unit mix, prices or payment plans that changes the landlord's entitlement.</w:t>
      </w:r>
    </w:p>
    <w:p>
      <w:r>
        <w:rPr>
          <w:b w:val="0"/>
          <w:i w:val="0"/>
        </w:rPr>
        <w:t>Under the structure proposed here Jalour bears the landlord's 35% on the units allocated to the investor: landlord payments are unchanged and the landlord does not waive any share. Consent status: [provided after the investor signs a non-disclosure agreement]. Receipt of consent is a condition precedent to signing.</w:t>
      </w:r>
    </w:p>
    <w:p>
      <w:pPr>
        <w:pStyle w:val="Heading1"/>
      </w:pPr>
      <w:r>
        <w:t>7. Sponsor and management</w:t>
      </w:r>
    </w:p>
    <w:p>
      <w:r>
        <w:rPr>
          <w:b w:val="0"/>
          <w:i w:val="0"/>
        </w:rPr>
        <w:t>Jalour Developments is the real estate arm of Al Jalal Holding, Cairo. In this project it acts as developer and operator and carries all design, permit, construction, marketing, sales, collection and operating costs.</w:t>
      </w:r>
    </w:p>
    <w:p>
      <w:pPr>
        <w:keepNext/>
        <w:spacing w:after="60"/>
      </w:pPr>
      <w:r>
        <w:rPr>
          <w:b/>
          <w:color w:val="17324D"/>
          <w:sz w:val="19"/>
        </w:rPr>
        <w:t>Table 9: Sponsor information pending</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Information</w:t>
            </w:r>
          </w:p>
        </w:tc>
        <w:tc>
          <w:tcPr>
            <w:tcW w:type="dxa" w:w="3572"/>
            <w:shd w:val="clear" w:color="auto" w:fill="17324D"/>
          </w:tcPr>
          <w:p>
            <w:pPr>
              <w:spacing w:after="0" w:line="240" w:lineRule="auto"/>
            </w:pPr>
            <w:r/>
            <w:r>
              <w:rPr>
                <w:b/>
                <w:color w:val="FFFFFF"/>
                <w:sz w:val="19"/>
              </w:rPr>
              <w:t>Status</w:t>
            </w:r>
          </w:p>
        </w:tc>
      </w:tr>
      <w:tr>
        <w:trPr>
          <w:cantSplit/>
        </w:trPr>
        <w:tc>
          <w:tcPr>
            <w:tcW w:type="dxa" w:w="5669"/>
          </w:tcPr>
          <w:p>
            <w:pPr>
              <w:spacing w:after="0" w:line="240" w:lineRule="auto"/>
            </w:pPr>
            <w:r/>
            <w:r>
              <w:rPr>
                <w:sz w:val="19"/>
              </w:rPr>
              <w:t>Completed projects, area delivered, units handed over</w:t>
            </w:r>
          </w:p>
        </w:tc>
        <w:tc>
          <w:tcPr>
            <w:tcW w:type="dxa" w:w="3572"/>
          </w:tcPr>
          <w:p>
            <w:pPr>
              <w:spacing w:after="0" w:line="240" w:lineRule="auto"/>
            </w:pPr>
            <w:r/>
            <w:r>
              <w:rPr>
                <w:sz w:val="19"/>
              </w:rPr>
              <w:t>[Provided after the investor signs a non-disclosure agreement]</w:t>
            </w:r>
          </w:p>
        </w:tc>
      </w:tr>
      <w:tr>
        <w:trPr>
          <w:cantSplit/>
        </w:trPr>
        <w:tc>
          <w:tcPr>
            <w:tcW w:type="dxa" w:w="5669"/>
            <w:shd w:val="clear" w:color="auto" w:fill="F2F4F7"/>
          </w:tcPr>
          <w:p>
            <w:pPr>
              <w:spacing w:after="0" w:line="240" w:lineRule="auto"/>
            </w:pPr>
            <w:r/>
            <w:r>
              <w:rPr>
                <w:sz w:val="19"/>
              </w:rPr>
              <w:t>Management team biographies</w:t>
            </w:r>
          </w:p>
        </w:tc>
        <w:tc>
          <w:tcPr>
            <w:tcW w:type="dxa" w:w="3572"/>
            <w:shd w:val="clear" w:color="auto" w:fill="F2F4F7"/>
          </w:tcPr>
          <w:p>
            <w:pPr>
              <w:spacing w:after="0" w:line="240" w:lineRule="auto"/>
            </w:pPr>
            <w:r/>
            <w:r>
              <w:rPr>
                <w:sz w:val="19"/>
              </w:rPr>
              <w:t>[Provided after the investor signs a non-disclosure agreement]</w:t>
            </w:r>
          </w:p>
        </w:tc>
      </w:tr>
      <w:tr>
        <w:trPr>
          <w:cantSplit/>
        </w:trPr>
        <w:tc>
          <w:tcPr>
            <w:tcW w:type="dxa" w:w="5669"/>
          </w:tcPr>
          <w:p>
            <w:pPr>
              <w:spacing w:after="0" w:line="240" w:lineRule="auto"/>
            </w:pPr>
            <w:r/>
            <w:r>
              <w:rPr>
                <w:sz w:val="19"/>
              </w:rPr>
              <w:t>Audited financial statements, Jalour and Al Jalal Holding</w:t>
            </w:r>
          </w:p>
        </w:tc>
        <w:tc>
          <w:tcPr>
            <w:tcW w:type="dxa" w:w="3572"/>
          </w:tcPr>
          <w:p>
            <w:pPr>
              <w:spacing w:after="0" w:line="240" w:lineRule="auto"/>
            </w:pPr>
            <w:r/>
            <w:r>
              <w:rPr>
                <w:sz w:val="19"/>
              </w:rPr>
              <w:t>[Provided after the investor signs a non-disclosure agreement]</w:t>
            </w:r>
          </w:p>
        </w:tc>
      </w:tr>
      <w:tr>
        <w:trPr>
          <w:cantSplit/>
        </w:trPr>
        <w:tc>
          <w:tcPr>
            <w:tcW w:type="dxa" w:w="5669"/>
            <w:shd w:val="clear" w:color="auto" w:fill="F2F4F7"/>
          </w:tcPr>
          <w:p>
            <w:pPr>
              <w:spacing w:after="0" w:line="240" w:lineRule="auto"/>
            </w:pPr>
            <w:r/>
            <w:r>
              <w:rPr>
                <w:sz w:val="19"/>
              </w:rPr>
              <w:t>References from landlords, contractors and buyers</w:t>
            </w:r>
          </w:p>
        </w:tc>
        <w:tc>
          <w:tcPr>
            <w:tcW w:type="dxa" w:w="3572"/>
            <w:shd w:val="clear" w:color="auto" w:fill="F2F4F7"/>
          </w:tcPr>
          <w:p>
            <w:pPr>
              <w:spacing w:after="0" w:line="240" w:lineRule="auto"/>
            </w:pPr>
            <w:r/>
            <w:r>
              <w:rPr>
                <w:sz w:val="19"/>
              </w:rPr>
              <w:t>[Provided after the investor signs a non-disclosure agreement]</w:t>
            </w:r>
          </w:p>
        </w:tc>
      </w:tr>
      <w:tr>
        <w:trPr>
          <w:cantSplit/>
        </w:trPr>
        <w:tc>
          <w:tcPr>
            <w:tcW w:type="dxa" w:w="5669"/>
          </w:tcPr>
          <w:p>
            <w:pPr>
              <w:spacing w:after="0" w:line="240" w:lineRule="auto"/>
            </w:pPr>
            <w:r/>
            <w:r>
              <w:rPr>
                <w:sz w:val="19"/>
              </w:rPr>
              <w:t>Contractor and consultant appointments for this project</w:t>
            </w:r>
          </w:p>
        </w:tc>
        <w:tc>
          <w:tcPr>
            <w:tcW w:type="dxa" w:w="3572"/>
          </w:tcPr>
          <w:p>
            <w:pPr>
              <w:spacing w:after="0" w:line="240" w:lineRule="auto"/>
            </w:pPr>
            <w:r/>
            <w:r>
              <w:rPr>
                <w:sz w:val="19"/>
              </w:rPr>
              <w:t>[Provided after the investor signs a non-disclosure agreement]</w:t>
            </w:r>
          </w:p>
        </w:tc>
      </w:tr>
    </w:tbl>
    <w:p>
      <w:pPr>
        <w:spacing w:after="80"/>
      </w:pPr>
    </w:p>
    <w:p>
      <w:r>
        <w:rPr>
          <w:b w:val="0"/>
          <w:i w:val="0"/>
        </w:rPr>
        <w:t>Jalour has stated that it will cover project funding gaps, including those caused by timing differences in collections, from its cash reserves and from cash generated by other projects it is constructing. The form, amount and conditions of that undertaking are to be documented. It is a commitment to fund the project, not a guarantee of the investor's return. Jalour's capacity therefore rests on its own cash reserves and on distributions from those other projects, which are subject to those projects' own agreements and progress and are not held for this project. Jalour's audited accounts and track record are provided after the investor signs a non-disclosure agreement.</w:t>
      </w:r>
    </w:p>
    <w:p>
      <w:pPr>
        <w:pStyle w:val="Heading1"/>
        <w:pageBreakBefore/>
      </w:pPr>
      <w:r>
        <w:t>8. Business plan and assumptions</w:t>
      </w:r>
    </w:p>
    <w:p>
      <w:pPr>
        <w:keepNext/>
        <w:spacing w:after="60"/>
      </w:pPr>
      <w:r>
        <w:rPr>
          <w:b/>
          <w:color w:val="17324D"/>
          <w:sz w:val="19"/>
        </w:rPr>
        <w:t>Table 10: Key assumptions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Assumption</w:t>
            </w:r>
          </w:p>
        </w:tc>
        <w:tc>
          <w:tcPr>
            <w:tcW w:type="dxa" w:w="4195"/>
            <w:shd w:val="clear" w:color="auto" w:fill="17324D"/>
          </w:tcPr>
          <w:p>
            <w:pPr>
              <w:spacing w:after="0" w:line="240" w:lineRule="auto"/>
            </w:pPr>
            <w:r/>
            <w:r>
              <w:rPr>
                <w:b/>
                <w:color w:val="FFFFFF"/>
                <w:sz w:val="18"/>
              </w:rPr>
              <w:t>Value</w:t>
            </w:r>
          </w:p>
        </w:tc>
        <w:tc>
          <w:tcPr>
            <w:tcW w:type="dxa" w:w="3005"/>
            <w:shd w:val="clear" w:color="auto" w:fill="17324D"/>
          </w:tcPr>
          <w:p>
            <w:pPr>
              <w:spacing w:after="0" w:line="240" w:lineRule="auto"/>
            </w:pPr>
            <w:r/>
            <w:r>
              <w:rPr>
                <w:b/>
                <w:color w:val="FFFFFF"/>
                <w:sz w:val="18"/>
              </w:rPr>
              <w:t>Basis</w:t>
            </w:r>
          </w:p>
        </w:tc>
      </w:tr>
      <w:tr>
        <w:trPr>
          <w:cantSplit/>
        </w:trPr>
        <w:tc>
          <w:tcPr>
            <w:tcW w:type="dxa" w:w="2041"/>
          </w:tcPr>
          <w:p>
            <w:pPr>
              <w:spacing w:after="0" w:line="240" w:lineRule="auto"/>
            </w:pPr>
            <w:r/>
            <w:r>
              <w:rPr>
                <w:sz w:val="18"/>
              </w:rPr>
              <w:t>Discount rate</w:t>
            </w:r>
          </w:p>
        </w:tc>
        <w:tc>
          <w:tcPr>
            <w:tcW w:type="dxa" w:w="4195"/>
          </w:tcPr>
          <w:p>
            <w:pPr>
              <w:spacing w:after="0" w:line="240" w:lineRule="auto"/>
            </w:pPr>
            <w:r/>
            <w:r>
              <w:rPr>
                <w:sz w:val="18"/>
              </w:rPr>
              <w:t>14% a year</w:t>
            </w:r>
          </w:p>
        </w:tc>
        <w:tc>
          <w:tcPr>
            <w:tcW w:type="dxa" w:w="3005"/>
          </w:tcPr>
          <w:p>
            <w:pPr>
              <w:spacing w:after="0" w:line="240" w:lineRule="auto"/>
            </w:pPr>
            <w:r/>
            <w:r>
              <w:rPr>
                <w:sz w:val="18"/>
              </w:rPr>
              <w:t>Jalour model (labelled cost of capital)</w:t>
            </w:r>
          </w:p>
        </w:tc>
      </w:tr>
      <w:tr>
        <w:trPr>
          <w:cantSplit/>
        </w:trPr>
        <w:tc>
          <w:tcPr>
            <w:tcW w:type="dxa" w:w="2041"/>
            <w:shd w:val="clear" w:color="auto" w:fill="F2F4F7"/>
          </w:tcPr>
          <w:p>
            <w:pPr>
              <w:spacing w:after="0" w:line="240" w:lineRule="auto"/>
            </w:pPr>
            <w:r/>
            <w:r>
              <w:rPr>
                <w:sz w:val="18"/>
              </w:rPr>
              <w:t>Sales plan</w:t>
            </w:r>
          </w:p>
        </w:tc>
        <w:tc>
          <w:tcPr>
            <w:tcW w:type="dxa" w:w="4195"/>
            <w:shd w:val="clear" w:color="auto" w:fill="F2F4F7"/>
          </w:tcPr>
          <w:p>
            <w:pPr>
              <w:spacing w:after="0" w:line="240" w:lineRule="auto"/>
            </w:pPr>
            <w:r/>
            <w:r>
              <w:rPr>
                <w:sz w:val="18"/>
              </w:rPr>
              <w:t>80% of units sold; 20% retained</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Sales window</w:t>
            </w:r>
          </w:p>
        </w:tc>
        <w:tc>
          <w:tcPr>
            <w:tcW w:type="dxa" w:w="4195"/>
          </w:tcPr>
          <w:p>
            <w:pPr>
              <w:spacing w:after="0" w:line="240" w:lineRule="auto"/>
            </w:pPr>
            <w:r/>
            <w:r>
              <w:rPr>
                <w:sz w:val="18"/>
              </w:rPr>
              <w:t>Months 7 to 36</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Launch list prices</w:t>
            </w:r>
          </w:p>
        </w:tc>
        <w:tc>
          <w:tcPr>
            <w:tcW w:type="dxa" w:w="4195"/>
            <w:shd w:val="clear" w:color="auto" w:fill="F2F4F7"/>
          </w:tcPr>
          <w:p>
            <w:pPr>
              <w:spacing w:after="0" w:line="240" w:lineRule="auto"/>
            </w:pPr>
            <w:r/>
            <w:r>
              <w:rPr>
                <w:sz w:val="18"/>
              </w:rPr>
              <w:t>Retail 225,000; offices 135,000 EGP per m2</w:t>
            </w:r>
          </w:p>
        </w:tc>
        <w:tc>
          <w:tcPr>
            <w:tcW w:type="dxa" w:w="3005"/>
            <w:shd w:val="clear" w:color="auto" w:fill="F2F4F7"/>
          </w:tcPr>
          <w:p>
            <w:pPr>
              <w:spacing w:after="0" w:line="240" w:lineRule="auto"/>
            </w:pPr>
            <w:r/>
            <w:r>
              <w:rPr>
                <w:sz w:val="18"/>
              </w:rPr>
              <w:t>Jalour model, first sales column</w:t>
            </w:r>
          </w:p>
        </w:tc>
      </w:tr>
      <w:tr>
        <w:trPr>
          <w:cantSplit/>
        </w:trPr>
        <w:tc>
          <w:tcPr>
            <w:tcW w:type="dxa" w:w="2041"/>
          </w:tcPr>
          <w:p>
            <w:pPr>
              <w:spacing w:after="0" w:line="240" w:lineRule="auto"/>
            </w:pPr>
            <w:r/>
            <w:r>
              <w:rPr>
                <w:sz w:val="18"/>
              </w:rPr>
              <w:t>Delivery list prices</w:t>
            </w:r>
          </w:p>
        </w:tc>
        <w:tc>
          <w:tcPr>
            <w:tcW w:type="dxa" w:w="4195"/>
          </w:tcPr>
          <w:p>
            <w:pPr>
              <w:spacing w:after="0" w:line="240" w:lineRule="auto"/>
            </w:pPr>
            <w:r/>
            <w:r>
              <w:rPr>
                <w:sz w:val="18"/>
              </w:rPr>
              <w:t>Retail 300,000; offices 200,000 EGP per m2</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Payment plans</w:t>
            </w:r>
          </w:p>
        </w:tc>
        <w:tc>
          <w:tcPr>
            <w:tcW w:type="dxa" w:w="4195"/>
            <w:shd w:val="clear" w:color="auto" w:fill="F2F4F7"/>
          </w:tcPr>
          <w:p>
            <w:pPr>
              <w:spacing w:after="0" w:line="240" w:lineRule="auto"/>
            </w:pPr>
            <w:r/>
            <w:r>
              <w:rPr>
                <w:sz w:val="18"/>
              </w:rPr>
              <w:t>Down payment 5% to 20%; equal second payment after 3 months; instalments 2 to 8 years; delivery payment 20% to 25%</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Construction cost</w:t>
            </w:r>
          </w:p>
        </w:tc>
        <w:tc>
          <w:tcPr>
            <w:tcW w:type="dxa" w:w="4195"/>
          </w:tcPr>
          <w:p>
            <w:pPr>
              <w:spacing w:after="0" w:line="240" w:lineRule="auto"/>
            </w:pPr>
            <w:r/>
            <w:r>
              <w:rPr>
                <w:sz w:val="18"/>
              </w:rPr>
              <w:t>EGP 697.2 million, flat in nominal terms</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Sales commission</w:t>
            </w:r>
          </w:p>
        </w:tc>
        <w:tc>
          <w:tcPr>
            <w:tcW w:type="dxa" w:w="4195"/>
            <w:shd w:val="clear" w:color="auto" w:fill="F2F4F7"/>
          </w:tcPr>
          <w:p>
            <w:pPr>
              <w:spacing w:after="0" w:line="240" w:lineRule="auto"/>
            </w:pPr>
            <w:r/>
            <w:r>
              <w:rPr>
                <w:sz w:val="18"/>
              </w:rPr>
              <w:t>4% of sales value, paid 12 months after the sale quarter</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SG&amp;A and others</w:t>
            </w:r>
          </w:p>
        </w:tc>
        <w:tc>
          <w:tcPr>
            <w:tcW w:type="dxa" w:w="4195"/>
          </w:tcPr>
          <w:p>
            <w:pPr>
              <w:spacing w:after="0" w:line="240" w:lineRule="auto"/>
            </w:pPr>
            <w:r/>
            <w:r>
              <w:rPr>
                <w:sz w:val="18"/>
              </w:rPr>
              <w:t>15% of construction cost (5% contingency, 5% professional fees, 5% overhead)</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Landlord</w:t>
            </w:r>
          </w:p>
        </w:tc>
        <w:tc>
          <w:tcPr>
            <w:tcW w:type="dxa" w:w="4195"/>
            <w:shd w:val="clear" w:color="auto" w:fill="F2F4F7"/>
          </w:tcPr>
          <w:p>
            <w:pPr>
              <w:spacing w:after="0" w:line="240" w:lineRule="auto"/>
            </w:pPr>
            <w:r/>
            <w:r>
              <w:rPr>
                <w:sz w:val="18"/>
              </w:rPr>
              <w:t>35% share; guarantee schedule; excess from year 8</w:t>
            </w:r>
          </w:p>
        </w:tc>
        <w:tc>
          <w:tcPr>
            <w:tcW w:type="dxa" w:w="3005"/>
            <w:shd w:val="clear" w:color="auto" w:fill="F2F4F7"/>
          </w:tcPr>
          <w:p>
            <w:pPr>
              <w:spacing w:after="0" w:line="240" w:lineRule="auto"/>
            </w:pPr>
            <w:r/>
            <w:r>
              <w:rPr>
                <w:sz w:val="18"/>
              </w:rPr>
              <w:t>Agreement terms (section 6)</w:t>
            </w:r>
          </w:p>
        </w:tc>
      </w:tr>
      <w:tr>
        <w:trPr>
          <w:cantSplit/>
        </w:trPr>
        <w:tc>
          <w:tcPr>
            <w:tcW w:type="dxa" w:w="2041"/>
          </w:tcPr>
          <w:p>
            <w:pPr>
              <w:spacing w:after="0" w:line="240" w:lineRule="auto"/>
            </w:pPr>
            <w:r/>
            <w:r>
              <w:rPr>
                <w:sz w:val="18"/>
              </w:rPr>
              <w:t>Timeline</w:t>
            </w:r>
          </w:p>
        </w:tc>
        <w:tc>
          <w:tcPr>
            <w:tcW w:type="dxa" w:w="4195"/>
          </w:tcPr>
          <w:p>
            <w:pPr>
              <w:spacing w:after="0" w:line="240" w:lineRule="auto"/>
            </w:pPr>
            <w:r/>
            <w:r>
              <w:rPr>
                <w:sz w:val="18"/>
              </w:rPr>
              <w:t>Month 1 is the start of the model; investor funds in month 3</w:t>
            </w:r>
          </w:p>
        </w:tc>
        <w:tc>
          <w:tcPr>
            <w:tcW w:type="dxa" w:w="3005"/>
          </w:tcPr>
          <w:p>
            <w:pPr>
              <w:spacing w:after="0" w:line="240" w:lineRule="auto"/>
            </w:pPr>
            <w:r/>
            <w:r>
              <w:rPr>
                <w:sz w:val="18"/>
              </w:rPr>
              <w:t>Assumption</w:t>
            </w:r>
          </w:p>
        </w:tc>
      </w:tr>
    </w:tbl>
    <w:p>
      <w:pPr>
        <w:spacing w:after="80"/>
      </w:pPr>
    </w:p>
    <w:p>
      <w:r>
        <w:rPr>
          <w:b w:val="0"/>
          <w:i w:val="0"/>
        </w:rPr>
        <w:t>The model is quarterly, in EGP million. Net cash flow equals collections less landlord payments, construction, commission and SG&amp;A. It excludes the retained units, any financing costs and taxes, and any cost escalation.</w:t>
      </w:r>
    </w:p>
    <w:p>
      <w:pPr>
        <w:pStyle w:val="Heading1"/>
        <w:pageBreakBefore/>
      </w:pPr>
      <w:r>
        <w:t>9. Sales and collections model</w:t>
      </w:r>
    </w:p>
    <w:p>
      <w:pPr>
        <w:keepNext/>
        <w:spacing w:after="60"/>
      </w:pPr>
      <w:r>
        <w:rPr>
          <w:b/>
          <w:color w:val="17324D"/>
          <w:sz w:val="19"/>
        </w:rPr>
        <w:t>Table 11: Sales plan by tranche (80% of units)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928"/>
            <w:shd w:val="clear" w:color="auto" w:fill="17324D"/>
          </w:tcPr>
          <w:p>
            <w:pPr>
              <w:spacing w:after="0" w:line="240" w:lineRule="auto"/>
            </w:pPr>
            <w:r/>
            <w:r>
              <w:rPr>
                <w:b/>
                <w:color w:val="FFFFFF"/>
                <w:sz w:val="18"/>
              </w:rPr>
              <w:t>Quarter of sale</w:t>
            </w:r>
          </w:p>
        </w:tc>
        <w:tc>
          <w:tcPr>
            <w:tcW w:type="dxa" w:w="1701"/>
            <w:shd w:val="clear" w:color="auto" w:fill="17324D"/>
          </w:tcPr>
          <w:p>
            <w:pPr>
              <w:spacing w:after="0" w:line="240" w:lineRule="auto"/>
              <w:jc w:val="right"/>
            </w:pPr>
            <w:r/>
            <w:r>
              <w:rPr>
                <w:b/>
                <w:color w:val="FFFFFF"/>
                <w:sz w:val="18"/>
              </w:rPr>
              <w:t>Retail (EGP m)</w:t>
            </w:r>
          </w:p>
        </w:tc>
        <w:tc>
          <w:tcPr>
            <w:tcW w:type="dxa" w:w="1814"/>
            <w:shd w:val="clear" w:color="auto" w:fill="17324D"/>
          </w:tcPr>
          <w:p>
            <w:pPr>
              <w:spacing w:after="0" w:line="240" w:lineRule="auto"/>
              <w:jc w:val="right"/>
            </w:pPr>
            <w:r/>
            <w:r>
              <w:rPr>
                <w:b/>
                <w:color w:val="FFFFFF"/>
                <w:sz w:val="18"/>
              </w:rPr>
              <w:t>Offices (EGP m)</w:t>
            </w:r>
          </w:p>
        </w:tc>
        <w:tc>
          <w:tcPr>
            <w:tcW w:type="dxa" w:w="1928"/>
            <w:shd w:val="clear" w:color="auto" w:fill="17324D"/>
          </w:tcPr>
          <w:p>
            <w:pPr>
              <w:spacing w:after="0" w:line="240" w:lineRule="auto"/>
              <w:jc w:val="right"/>
            </w:pPr>
            <w:r/>
            <w:r>
              <w:rPr>
                <w:b/>
                <w:color w:val="FFFFFF"/>
                <w:sz w:val="18"/>
              </w:rPr>
              <w:t>Retail price (EGP k/m2)</w:t>
            </w:r>
          </w:p>
        </w:tc>
        <w:tc>
          <w:tcPr>
            <w:tcW w:type="dxa" w:w="1871"/>
            <w:shd w:val="clear" w:color="auto" w:fill="17324D"/>
          </w:tcPr>
          <w:p>
            <w:pPr>
              <w:spacing w:after="0" w:line="240" w:lineRule="auto"/>
              <w:jc w:val="right"/>
            </w:pPr>
            <w:r/>
            <w:r>
              <w:rPr>
                <w:b/>
                <w:color w:val="FFFFFF"/>
                <w:sz w:val="18"/>
              </w:rPr>
              <w:t>Office price (EGP k/m2)</w:t>
            </w:r>
          </w:p>
        </w:tc>
      </w:tr>
      <w:tr>
        <w:trPr>
          <w:cantSplit/>
        </w:trPr>
        <w:tc>
          <w:tcPr>
            <w:tcW w:type="dxa" w:w="1928"/>
          </w:tcPr>
          <w:p>
            <w:pPr>
              <w:spacing w:after="0" w:line="240" w:lineRule="auto"/>
            </w:pPr>
            <w:r/>
            <w:r>
              <w:rPr>
                <w:sz w:val="18"/>
              </w:rPr>
              <w:t>Month 9</w:t>
            </w:r>
          </w:p>
        </w:tc>
        <w:tc>
          <w:tcPr>
            <w:tcW w:type="dxa" w:w="1701"/>
          </w:tcPr>
          <w:p>
            <w:pPr>
              <w:spacing w:after="0" w:line="240" w:lineRule="auto"/>
              <w:jc w:val="right"/>
            </w:pPr>
            <w:r/>
            <w:r>
              <w:rPr>
                <w:sz w:val="18"/>
              </w:rPr>
              <w:t>97.7</w:t>
            </w:r>
          </w:p>
        </w:tc>
        <w:tc>
          <w:tcPr>
            <w:tcW w:type="dxa" w:w="1814"/>
          </w:tcPr>
          <w:p>
            <w:pPr>
              <w:spacing w:after="0" w:line="240" w:lineRule="auto"/>
              <w:jc w:val="right"/>
            </w:pPr>
            <w:r/>
            <w:r>
              <w:rPr>
                <w:sz w:val="18"/>
              </w:rPr>
              <w:t>205.1</w:t>
            </w:r>
          </w:p>
        </w:tc>
        <w:tc>
          <w:tcPr>
            <w:tcW w:type="dxa" w:w="1928"/>
          </w:tcPr>
          <w:p>
            <w:pPr>
              <w:spacing w:after="0" w:line="240" w:lineRule="auto"/>
              <w:jc w:val="right"/>
            </w:pPr>
            <w:r/>
            <w:r>
              <w:rPr>
                <w:sz w:val="18"/>
              </w:rPr>
              <w:t>225</w:t>
            </w:r>
          </w:p>
        </w:tc>
        <w:tc>
          <w:tcPr>
            <w:tcW w:type="dxa" w:w="1871"/>
          </w:tcPr>
          <w:p>
            <w:pPr>
              <w:spacing w:after="0" w:line="240" w:lineRule="auto"/>
              <w:jc w:val="right"/>
            </w:pPr>
            <w:r/>
            <w:r>
              <w:rPr>
                <w:sz w:val="18"/>
              </w:rPr>
              <w:t>135</w:t>
            </w:r>
          </w:p>
        </w:tc>
      </w:tr>
      <w:tr>
        <w:trPr>
          <w:cantSplit/>
        </w:trPr>
        <w:tc>
          <w:tcPr>
            <w:tcW w:type="dxa" w:w="1928"/>
            <w:shd w:val="clear" w:color="auto" w:fill="F2F4F7"/>
          </w:tcPr>
          <w:p>
            <w:pPr>
              <w:spacing w:after="0" w:line="240" w:lineRule="auto"/>
            </w:pPr>
            <w:r/>
            <w:r>
              <w:rPr>
                <w:sz w:val="18"/>
              </w:rPr>
              <w:t>Month 12</w:t>
            </w:r>
          </w:p>
        </w:tc>
        <w:tc>
          <w:tcPr>
            <w:tcW w:type="dxa" w:w="1701"/>
            <w:shd w:val="clear" w:color="auto" w:fill="F2F4F7"/>
          </w:tcPr>
          <w:p>
            <w:pPr>
              <w:spacing w:after="0" w:line="240" w:lineRule="auto"/>
              <w:jc w:val="right"/>
            </w:pPr>
            <w:r/>
            <w:r>
              <w:rPr>
                <w:sz w:val="18"/>
              </w:rPr>
              <w:t>97.7</w:t>
            </w:r>
          </w:p>
        </w:tc>
        <w:tc>
          <w:tcPr>
            <w:tcW w:type="dxa" w:w="1814"/>
            <w:shd w:val="clear" w:color="auto" w:fill="F2F4F7"/>
          </w:tcPr>
          <w:p>
            <w:pPr>
              <w:spacing w:after="0" w:line="240" w:lineRule="auto"/>
              <w:jc w:val="right"/>
            </w:pPr>
            <w:r/>
            <w:r>
              <w:rPr>
                <w:sz w:val="18"/>
              </w:rPr>
              <w:t>205.1</w:t>
            </w:r>
          </w:p>
        </w:tc>
        <w:tc>
          <w:tcPr>
            <w:tcW w:type="dxa" w:w="1928"/>
            <w:shd w:val="clear" w:color="auto" w:fill="F2F4F7"/>
          </w:tcPr>
          <w:p>
            <w:pPr>
              <w:spacing w:after="0" w:line="240" w:lineRule="auto"/>
              <w:jc w:val="right"/>
            </w:pPr>
            <w:r/>
            <w:r>
              <w:rPr>
                <w:sz w:val="18"/>
              </w:rPr>
              <w:t>225</w:t>
            </w:r>
          </w:p>
        </w:tc>
        <w:tc>
          <w:tcPr>
            <w:tcW w:type="dxa" w:w="1871"/>
            <w:shd w:val="clear" w:color="auto" w:fill="F2F4F7"/>
          </w:tcPr>
          <w:p>
            <w:pPr>
              <w:spacing w:after="0" w:line="240" w:lineRule="auto"/>
              <w:jc w:val="right"/>
            </w:pPr>
            <w:r/>
            <w:r>
              <w:rPr>
                <w:sz w:val="18"/>
              </w:rPr>
              <w:t>135</w:t>
            </w:r>
          </w:p>
        </w:tc>
      </w:tr>
      <w:tr>
        <w:trPr>
          <w:cantSplit/>
        </w:trPr>
        <w:tc>
          <w:tcPr>
            <w:tcW w:type="dxa" w:w="1928"/>
          </w:tcPr>
          <w:p>
            <w:pPr>
              <w:spacing w:after="0" w:line="240" w:lineRule="auto"/>
            </w:pPr>
            <w:r/>
            <w:r>
              <w:rPr>
                <w:sz w:val="18"/>
              </w:rPr>
              <w:t>Month 15</w:t>
            </w:r>
          </w:p>
        </w:tc>
        <w:tc>
          <w:tcPr>
            <w:tcW w:type="dxa" w:w="1701"/>
          </w:tcPr>
          <w:p>
            <w:pPr>
              <w:spacing w:after="0" w:line="240" w:lineRule="auto"/>
              <w:jc w:val="right"/>
            </w:pPr>
            <w:r/>
            <w:r>
              <w:rPr>
                <w:sz w:val="18"/>
              </w:rPr>
              <w:t>76.0</w:t>
            </w:r>
          </w:p>
        </w:tc>
        <w:tc>
          <w:tcPr>
            <w:tcW w:type="dxa" w:w="1814"/>
          </w:tcPr>
          <w:p>
            <w:pPr>
              <w:spacing w:after="0" w:line="240" w:lineRule="auto"/>
              <w:jc w:val="right"/>
            </w:pPr>
            <w:r/>
            <w:r>
              <w:rPr>
                <w:sz w:val="18"/>
              </w:rPr>
              <w:t>162.1</w:t>
            </w:r>
          </w:p>
        </w:tc>
        <w:tc>
          <w:tcPr>
            <w:tcW w:type="dxa" w:w="1928"/>
          </w:tcPr>
          <w:p>
            <w:pPr>
              <w:spacing w:after="0" w:line="240" w:lineRule="auto"/>
              <w:jc w:val="right"/>
            </w:pPr>
            <w:r/>
            <w:r>
              <w:rPr>
                <w:sz w:val="18"/>
              </w:rPr>
              <w:t>250</w:t>
            </w:r>
          </w:p>
        </w:tc>
        <w:tc>
          <w:tcPr>
            <w:tcW w:type="dxa" w:w="1871"/>
          </w:tcPr>
          <w:p>
            <w:pPr>
              <w:spacing w:after="0" w:line="240" w:lineRule="auto"/>
              <w:jc w:val="right"/>
            </w:pPr>
            <w:r/>
            <w:r>
              <w:rPr>
                <w:sz w:val="18"/>
              </w:rPr>
              <w:t>160</w:t>
            </w:r>
          </w:p>
        </w:tc>
      </w:tr>
      <w:tr>
        <w:trPr>
          <w:cantSplit/>
        </w:trPr>
        <w:tc>
          <w:tcPr>
            <w:tcW w:type="dxa" w:w="1928"/>
            <w:shd w:val="clear" w:color="auto" w:fill="F2F4F7"/>
          </w:tcPr>
          <w:p>
            <w:pPr>
              <w:spacing w:after="0" w:line="240" w:lineRule="auto"/>
            </w:pPr>
            <w:r/>
            <w:r>
              <w:rPr>
                <w:sz w:val="18"/>
              </w:rPr>
              <w:t>Month 18</w:t>
            </w:r>
          </w:p>
        </w:tc>
        <w:tc>
          <w:tcPr>
            <w:tcW w:type="dxa" w:w="1701"/>
            <w:shd w:val="clear" w:color="auto" w:fill="F2F4F7"/>
          </w:tcPr>
          <w:p>
            <w:pPr>
              <w:spacing w:after="0" w:line="240" w:lineRule="auto"/>
              <w:jc w:val="right"/>
            </w:pPr>
            <w:r/>
            <w:r>
              <w:rPr>
                <w:sz w:val="18"/>
              </w:rPr>
              <w:t>76.0</w:t>
            </w:r>
          </w:p>
        </w:tc>
        <w:tc>
          <w:tcPr>
            <w:tcW w:type="dxa" w:w="1814"/>
            <w:shd w:val="clear" w:color="auto" w:fill="F2F4F7"/>
          </w:tcPr>
          <w:p>
            <w:pPr>
              <w:spacing w:after="0" w:line="240" w:lineRule="auto"/>
              <w:jc w:val="right"/>
            </w:pPr>
            <w:r/>
            <w:r>
              <w:rPr>
                <w:sz w:val="18"/>
              </w:rPr>
              <w:t>162.1</w:t>
            </w:r>
          </w:p>
        </w:tc>
        <w:tc>
          <w:tcPr>
            <w:tcW w:type="dxa" w:w="1928"/>
            <w:shd w:val="clear" w:color="auto" w:fill="F2F4F7"/>
          </w:tcPr>
          <w:p>
            <w:pPr>
              <w:spacing w:after="0" w:line="240" w:lineRule="auto"/>
              <w:jc w:val="right"/>
            </w:pPr>
            <w:r/>
            <w:r>
              <w:rPr>
                <w:sz w:val="18"/>
              </w:rPr>
              <w:t>250</w:t>
            </w:r>
          </w:p>
        </w:tc>
        <w:tc>
          <w:tcPr>
            <w:tcW w:type="dxa" w:w="1871"/>
            <w:shd w:val="clear" w:color="auto" w:fill="F2F4F7"/>
          </w:tcPr>
          <w:p>
            <w:pPr>
              <w:spacing w:after="0" w:line="240" w:lineRule="auto"/>
              <w:jc w:val="right"/>
            </w:pPr>
            <w:r/>
            <w:r>
              <w:rPr>
                <w:sz w:val="18"/>
              </w:rPr>
              <w:t>160</w:t>
            </w:r>
          </w:p>
        </w:tc>
      </w:tr>
      <w:tr>
        <w:trPr>
          <w:cantSplit/>
        </w:trPr>
        <w:tc>
          <w:tcPr>
            <w:tcW w:type="dxa" w:w="1928"/>
          </w:tcPr>
          <w:p>
            <w:pPr>
              <w:spacing w:after="0" w:line="240" w:lineRule="auto"/>
            </w:pPr>
            <w:r/>
            <w:r>
              <w:rPr>
                <w:sz w:val="18"/>
              </w:rPr>
              <w:t>Month 21</w:t>
            </w:r>
          </w:p>
        </w:tc>
        <w:tc>
          <w:tcPr>
            <w:tcW w:type="dxa" w:w="1701"/>
          </w:tcPr>
          <w:p>
            <w:pPr>
              <w:spacing w:after="0" w:line="240" w:lineRule="auto"/>
              <w:jc w:val="right"/>
            </w:pPr>
            <w:r/>
            <w:r>
              <w:rPr>
                <w:sz w:val="18"/>
              </w:rPr>
              <w:t>83.6</w:t>
            </w:r>
          </w:p>
        </w:tc>
        <w:tc>
          <w:tcPr>
            <w:tcW w:type="dxa" w:w="1814"/>
          </w:tcPr>
          <w:p>
            <w:pPr>
              <w:spacing w:after="0" w:line="240" w:lineRule="auto"/>
              <w:jc w:val="right"/>
            </w:pPr>
            <w:r/>
            <w:r>
              <w:rPr>
                <w:sz w:val="18"/>
              </w:rPr>
              <w:t>91.2</w:t>
            </w:r>
          </w:p>
        </w:tc>
        <w:tc>
          <w:tcPr>
            <w:tcW w:type="dxa" w:w="1928"/>
          </w:tcPr>
          <w:p>
            <w:pPr>
              <w:spacing w:after="0" w:line="240" w:lineRule="auto"/>
              <w:jc w:val="right"/>
            </w:pPr>
            <w:r/>
            <w:r>
              <w:rPr>
                <w:sz w:val="18"/>
              </w:rPr>
              <w:t>275</w:t>
            </w:r>
          </w:p>
        </w:tc>
        <w:tc>
          <w:tcPr>
            <w:tcW w:type="dxa" w:w="1871"/>
          </w:tcPr>
          <w:p>
            <w:pPr>
              <w:spacing w:after="0" w:line="240" w:lineRule="auto"/>
              <w:jc w:val="right"/>
            </w:pPr>
            <w:r/>
            <w:r>
              <w:rPr>
                <w:sz w:val="18"/>
              </w:rPr>
              <w:t>180</w:t>
            </w:r>
          </w:p>
        </w:tc>
      </w:tr>
      <w:tr>
        <w:trPr>
          <w:cantSplit/>
        </w:trPr>
        <w:tc>
          <w:tcPr>
            <w:tcW w:type="dxa" w:w="1928"/>
            <w:shd w:val="clear" w:color="auto" w:fill="F2F4F7"/>
          </w:tcPr>
          <w:p>
            <w:pPr>
              <w:spacing w:after="0" w:line="240" w:lineRule="auto"/>
            </w:pPr>
            <w:r/>
            <w:r>
              <w:rPr>
                <w:sz w:val="18"/>
              </w:rPr>
              <w:t>Month 24</w:t>
            </w:r>
          </w:p>
        </w:tc>
        <w:tc>
          <w:tcPr>
            <w:tcW w:type="dxa" w:w="1701"/>
            <w:shd w:val="clear" w:color="auto" w:fill="F2F4F7"/>
          </w:tcPr>
          <w:p>
            <w:pPr>
              <w:spacing w:after="0" w:line="240" w:lineRule="auto"/>
              <w:jc w:val="right"/>
            </w:pPr>
            <w:r/>
            <w:r>
              <w:rPr>
                <w:sz w:val="18"/>
              </w:rPr>
              <w:t>83.6</w:t>
            </w:r>
          </w:p>
        </w:tc>
        <w:tc>
          <w:tcPr>
            <w:tcW w:type="dxa" w:w="1814"/>
            <w:shd w:val="clear" w:color="auto" w:fill="F2F4F7"/>
          </w:tcPr>
          <w:p>
            <w:pPr>
              <w:spacing w:after="0" w:line="240" w:lineRule="auto"/>
              <w:jc w:val="right"/>
            </w:pPr>
            <w:r/>
            <w:r>
              <w:rPr>
                <w:sz w:val="18"/>
              </w:rPr>
              <w:t>91.2</w:t>
            </w:r>
          </w:p>
        </w:tc>
        <w:tc>
          <w:tcPr>
            <w:tcW w:type="dxa" w:w="1928"/>
            <w:shd w:val="clear" w:color="auto" w:fill="F2F4F7"/>
          </w:tcPr>
          <w:p>
            <w:pPr>
              <w:spacing w:after="0" w:line="240" w:lineRule="auto"/>
              <w:jc w:val="right"/>
            </w:pPr>
            <w:r/>
            <w:r>
              <w:rPr>
                <w:sz w:val="18"/>
              </w:rPr>
              <w:t>275</w:t>
            </w:r>
          </w:p>
        </w:tc>
        <w:tc>
          <w:tcPr>
            <w:tcW w:type="dxa" w:w="1871"/>
            <w:shd w:val="clear" w:color="auto" w:fill="F2F4F7"/>
          </w:tcPr>
          <w:p>
            <w:pPr>
              <w:spacing w:after="0" w:line="240" w:lineRule="auto"/>
              <w:jc w:val="right"/>
            </w:pPr>
            <w:r/>
            <w:r>
              <w:rPr>
                <w:sz w:val="18"/>
              </w:rPr>
              <w:t>180</w:t>
            </w:r>
          </w:p>
        </w:tc>
      </w:tr>
      <w:tr>
        <w:trPr>
          <w:cantSplit/>
        </w:trPr>
        <w:tc>
          <w:tcPr>
            <w:tcW w:type="dxa" w:w="1928"/>
          </w:tcPr>
          <w:p>
            <w:pPr>
              <w:spacing w:after="0" w:line="240" w:lineRule="auto"/>
            </w:pPr>
            <w:r/>
            <w:r>
              <w:rPr>
                <w:sz w:val="18"/>
              </w:rPr>
              <w:t>Month 27</w:t>
            </w:r>
          </w:p>
        </w:tc>
        <w:tc>
          <w:tcPr>
            <w:tcW w:type="dxa" w:w="1701"/>
          </w:tcPr>
          <w:p>
            <w:pPr>
              <w:spacing w:after="0" w:line="240" w:lineRule="auto"/>
              <w:jc w:val="right"/>
            </w:pPr>
            <w:r/>
            <w:r>
              <w:rPr>
                <w:sz w:val="18"/>
              </w:rPr>
              <w:t>91.2</w:t>
            </w:r>
          </w:p>
        </w:tc>
        <w:tc>
          <w:tcPr>
            <w:tcW w:type="dxa" w:w="1814"/>
          </w:tcPr>
          <w:p>
            <w:pPr>
              <w:spacing w:after="0" w:line="240" w:lineRule="auto"/>
              <w:jc w:val="right"/>
            </w:pPr>
            <w:r/>
            <w:r>
              <w:rPr>
                <w:sz w:val="18"/>
              </w:rPr>
              <w:t>101.3</w:t>
            </w:r>
          </w:p>
        </w:tc>
        <w:tc>
          <w:tcPr>
            <w:tcW w:type="dxa" w:w="1928"/>
          </w:tcPr>
          <w:p>
            <w:pPr>
              <w:spacing w:after="0" w:line="240" w:lineRule="auto"/>
              <w:jc w:val="right"/>
            </w:pPr>
            <w:r/>
            <w:r>
              <w:rPr>
                <w:sz w:val="18"/>
              </w:rPr>
              <w:t>300</w:t>
            </w:r>
          </w:p>
        </w:tc>
        <w:tc>
          <w:tcPr>
            <w:tcW w:type="dxa" w:w="1871"/>
          </w:tcPr>
          <w:p>
            <w:pPr>
              <w:spacing w:after="0" w:line="240" w:lineRule="auto"/>
              <w:jc w:val="right"/>
            </w:pPr>
            <w:r/>
            <w:r>
              <w:rPr>
                <w:sz w:val="18"/>
              </w:rPr>
              <w:t>200</w:t>
            </w:r>
          </w:p>
        </w:tc>
      </w:tr>
      <w:tr>
        <w:trPr>
          <w:cantSplit/>
        </w:trPr>
        <w:tc>
          <w:tcPr>
            <w:tcW w:type="dxa" w:w="1928"/>
            <w:shd w:val="clear" w:color="auto" w:fill="F2F4F7"/>
          </w:tcPr>
          <w:p>
            <w:pPr>
              <w:spacing w:after="0" w:line="240" w:lineRule="auto"/>
            </w:pPr>
            <w:r/>
            <w:r>
              <w:rPr>
                <w:sz w:val="18"/>
              </w:rPr>
              <w:t>Month 30</w:t>
            </w:r>
          </w:p>
        </w:tc>
        <w:tc>
          <w:tcPr>
            <w:tcW w:type="dxa" w:w="1701"/>
            <w:shd w:val="clear" w:color="auto" w:fill="F2F4F7"/>
          </w:tcPr>
          <w:p>
            <w:pPr>
              <w:spacing w:after="0" w:line="240" w:lineRule="auto"/>
              <w:jc w:val="right"/>
            </w:pPr>
            <w:r/>
            <w:r>
              <w:rPr>
                <w:sz w:val="18"/>
              </w:rPr>
              <w:t>130.2</w:t>
            </w:r>
          </w:p>
        </w:tc>
        <w:tc>
          <w:tcPr>
            <w:tcW w:type="dxa" w:w="1814"/>
            <w:shd w:val="clear" w:color="auto" w:fill="F2F4F7"/>
          </w:tcPr>
          <w:p>
            <w:pPr>
              <w:spacing w:after="0" w:line="240" w:lineRule="auto"/>
              <w:jc w:val="right"/>
            </w:pPr>
            <w:r/>
            <w:r>
              <w:rPr>
                <w:sz w:val="18"/>
              </w:rPr>
              <w:t>101.3</w:t>
            </w:r>
          </w:p>
        </w:tc>
        <w:tc>
          <w:tcPr>
            <w:tcW w:type="dxa" w:w="1928"/>
            <w:shd w:val="clear" w:color="auto" w:fill="F2F4F7"/>
          </w:tcPr>
          <w:p>
            <w:pPr>
              <w:spacing w:after="0" w:line="240" w:lineRule="auto"/>
              <w:jc w:val="right"/>
            </w:pPr>
            <w:r/>
            <w:r>
              <w:rPr>
                <w:sz w:val="18"/>
              </w:rPr>
              <w:t>300</w:t>
            </w:r>
          </w:p>
        </w:tc>
        <w:tc>
          <w:tcPr>
            <w:tcW w:type="dxa" w:w="1871"/>
            <w:shd w:val="clear" w:color="auto" w:fill="F2F4F7"/>
          </w:tcPr>
          <w:p>
            <w:pPr>
              <w:spacing w:after="0" w:line="240" w:lineRule="auto"/>
              <w:jc w:val="right"/>
            </w:pPr>
            <w:r/>
            <w:r>
              <w:rPr>
                <w:sz w:val="18"/>
              </w:rPr>
              <w:t>200</w:t>
            </w:r>
          </w:p>
        </w:tc>
      </w:tr>
      <w:tr>
        <w:trPr>
          <w:cantSplit/>
        </w:trPr>
        <w:tc>
          <w:tcPr>
            <w:tcW w:type="dxa" w:w="1928"/>
          </w:tcPr>
          <w:p>
            <w:pPr>
              <w:spacing w:after="0" w:line="240" w:lineRule="auto"/>
            </w:pPr>
            <w:r/>
            <w:r>
              <w:rPr>
                <w:sz w:val="18"/>
              </w:rPr>
              <w:t>Month 33</w:t>
            </w:r>
          </w:p>
        </w:tc>
        <w:tc>
          <w:tcPr>
            <w:tcW w:type="dxa" w:w="1701"/>
          </w:tcPr>
          <w:p>
            <w:pPr>
              <w:spacing w:after="0" w:line="240" w:lineRule="auto"/>
              <w:jc w:val="right"/>
            </w:pPr>
            <w:r/>
            <w:r>
              <w:rPr>
                <w:sz w:val="18"/>
              </w:rPr>
              <w:t>130.2</w:t>
            </w:r>
          </w:p>
        </w:tc>
        <w:tc>
          <w:tcPr>
            <w:tcW w:type="dxa" w:w="1814"/>
          </w:tcPr>
          <w:p>
            <w:pPr>
              <w:spacing w:after="0" w:line="240" w:lineRule="auto"/>
              <w:jc w:val="right"/>
            </w:pPr>
            <w:r/>
            <w:r>
              <w:rPr>
                <w:sz w:val="18"/>
              </w:rPr>
              <w:t>101.3</w:t>
            </w:r>
          </w:p>
        </w:tc>
        <w:tc>
          <w:tcPr>
            <w:tcW w:type="dxa" w:w="1928"/>
          </w:tcPr>
          <w:p>
            <w:pPr>
              <w:spacing w:after="0" w:line="240" w:lineRule="auto"/>
              <w:jc w:val="right"/>
            </w:pPr>
            <w:r/>
            <w:r>
              <w:rPr>
                <w:sz w:val="18"/>
              </w:rPr>
              <w:t>300</w:t>
            </w:r>
          </w:p>
        </w:tc>
        <w:tc>
          <w:tcPr>
            <w:tcW w:type="dxa" w:w="1871"/>
          </w:tcPr>
          <w:p>
            <w:pPr>
              <w:spacing w:after="0" w:line="240" w:lineRule="auto"/>
              <w:jc w:val="right"/>
            </w:pPr>
            <w:r/>
            <w:r>
              <w:rPr>
                <w:sz w:val="18"/>
              </w:rPr>
              <w:t>200</w:t>
            </w:r>
          </w:p>
        </w:tc>
      </w:tr>
      <w:tr>
        <w:trPr>
          <w:cantSplit/>
        </w:trPr>
        <w:tc>
          <w:tcPr>
            <w:tcW w:type="dxa" w:w="1928"/>
            <w:shd w:val="clear" w:color="auto" w:fill="F2F4F7"/>
          </w:tcPr>
          <w:p>
            <w:pPr>
              <w:spacing w:after="0" w:line="240" w:lineRule="auto"/>
            </w:pPr>
            <w:r/>
            <w:r>
              <w:rPr>
                <w:sz w:val="18"/>
              </w:rPr>
              <w:t>Month 36</w:t>
            </w:r>
          </w:p>
        </w:tc>
        <w:tc>
          <w:tcPr>
            <w:tcW w:type="dxa" w:w="1701"/>
            <w:shd w:val="clear" w:color="auto" w:fill="F2F4F7"/>
          </w:tcPr>
          <w:p>
            <w:pPr>
              <w:spacing w:after="0" w:line="240" w:lineRule="auto"/>
              <w:jc w:val="right"/>
            </w:pPr>
            <w:r/>
            <w:r>
              <w:rPr>
                <w:sz w:val="18"/>
              </w:rPr>
              <w:t>65.1</w:t>
            </w:r>
          </w:p>
        </w:tc>
        <w:tc>
          <w:tcPr>
            <w:tcW w:type="dxa" w:w="1814"/>
            <w:shd w:val="clear" w:color="auto" w:fill="F2F4F7"/>
          </w:tcPr>
          <w:p>
            <w:pPr>
              <w:spacing w:after="0" w:line="240" w:lineRule="auto"/>
              <w:jc w:val="right"/>
            </w:pPr>
            <w:r/>
            <w:r>
              <w:rPr>
                <w:sz w:val="18"/>
              </w:rPr>
              <w:t>101.3</w:t>
            </w:r>
          </w:p>
        </w:tc>
        <w:tc>
          <w:tcPr>
            <w:tcW w:type="dxa" w:w="1928"/>
            <w:shd w:val="clear" w:color="auto" w:fill="F2F4F7"/>
          </w:tcPr>
          <w:p>
            <w:pPr>
              <w:spacing w:after="0" w:line="240" w:lineRule="auto"/>
              <w:jc w:val="right"/>
            </w:pPr>
            <w:r/>
            <w:r>
              <w:rPr>
                <w:sz w:val="18"/>
              </w:rPr>
              <w:t>300</w:t>
            </w:r>
          </w:p>
        </w:tc>
        <w:tc>
          <w:tcPr>
            <w:tcW w:type="dxa" w:w="1871"/>
            <w:shd w:val="clear" w:color="auto" w:fill="F2F4F7"/>
          </w:tcPr>
          <w:p>
            <w:pPr>
              <w:spacing w:after="0" w:line="240" w:lineRule="auto"/>
              <w:jc w:val="right"/>
            </w:pPr>
            <w:r/>
            <w:r>
              <w:rPr>
                <w:sz w:val="18"/>
              </w:rPr>
              <w:t>200</w:t>
            </w:r>
          </w:p>
        </w:tc>
      </w:tr>
      <w:tr>
        <w:trPr>
          <w:cantSplit/>
        </w:trPr>
        <w:tc>
          <w:tcPr>
            <w:tcW w:type="dxa" w:w="1928"/>
          </w:tcPr>
          <w:p>
            <w:pPr>
              <w:spacing w:after="0" w:line="240" w:lineRule="auto"/>
            </w:pPr>
            <w:r/>
            <w:r>
              <w:rPr>
                <w:b/>
                <w:sz w:val="18"/>
              </w:rPr>
              <w:t>Total</w:t>
            </w:r>
          </w:p>
        </w:tc>
        <w:tc>
          <w:tcPr>
            <w:tcW w:type="dxa" w:w="1701"/>
          </w:tcPr>
          <w:p>
            <w:pPr>
              <w:spacing w:after="0" w:line="240" w:lineRule="auto"/>
              <w:jc w:val="right"/>
            </w:pPr>
            <w:r/>
            <w:r>
              <w:rPr>
                <w:b/>
                <w:sz w:val="18"/>
              </w:rPr>
              <w:t>931.1</w:t>
            </w:r>
          </w:p>
        </w:tc>
        <w:tc>
          <w:tcPr>
            <w:tcW w:type="dxa" w:w="1814"/>
          </w:tcPr>
          <w:p>
            <w:pPr>
              <w:spacing w:after="0" w:line="240" w:lineRule="auto"/>
              <w:jc w:val="right"/>
            </w:pPr>
            <w:r/>
            <w:r>
              <w:rPr>
                <w:b/>
                <w:sz w:val="18"/>
              </w:rPr>
              <w:t>1,321.8</w:t>
            </w:r>
          </w:p>
        </w:tc>
        <w:tc>
          <w:tcPr>
            <w:tcW w:type="dxa" w:w="1928"/>
          </w:tcPr>
          <w:p>
            <w:pPr>
              <w:spacing w:after="0" w:line="240" w:lineRule="auto"/>
              <w:jc w:val="right"/>
            </w:pPr>
            <w:r/>
            <w:r>
              <w:rPr>
                <w:b/>
                <w:sz w:val="18"/>
              </w:rPr>
            </w:r>
          </w:p>
        </w:tc>
        <w:tc>
          <w:tcPr>
            <w:tcW w:type="dxa" w:w="1871"/>
          </w:tcPr>
          <w:p>
            <w:pPr>
              <w:spacing w:after="0" w:line="240" w:lineRule="auto"/>
              <w:jc w:val="right"/>
            </w:pPr>
            <w:r/>
            <w:r>
              <w:rPr>
                <w:b/>
                <w:sz w:val="18"/>
              </w:rPr>
            </w:r>
          </w:p>
        </w:tc>
      </w:tr>
    </w:tbl>
    <w:p>
      <w:pPr>
        <w:spacing w:after="80"/>
      </w:pPr>
    </w:p>
    <w:p>
      <w:r>
        <w:rPr>
          <w:b w:val="0"/>
          <w:i w:val="0"/>
        </w:rPr>
        <w:t>Total sales at 100% of units are EGP 2,816 million at modelled prices; the plan sells 80%, EGP 2,253 million. The first two tranches (months 9 and 12) carry the launch list and total EGP 606 million; Option A units come from these.</w:t>
      </w:r>
    </w:p>
    <w:p>
      <w:pPr>
        <w:keepNext/>
        <w:spacing w:after="60"/>
      </w:pPr>
      <w:r>
        <w:rPr>
          <w:b/>
          <w:color w:val="17324D"/>
          <w:sz w:val="19"/>
        </w:rPr>
        <w:t>Table 12: Annual cash flow, EGP million (years 1 to 11; year 1 = months 1 to 12)</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361"/>
            <w:shd w:val="clear" w:color="auto" w:fill="17324D"/>
          </w:tcPr>
          <w:p>
            <w:pPr>
              <w:spacing w:after="0" w:line="240" w:lineRule="auto"/>
            </w:pPr>
            <w:r/>
            <w:r>
              <w:rPr>
                <w:b/>
                <w:color w:val="FFFFFF"/>
                <w:sz w:val="18"/>
              </w:rPr>
              <w:t>Project year</w:t>
            </w:r>
          </w:p>
        </w:tc>
        <w:tc>
          <w:tcPr>
            <w:tcW w:type="dxa" w:w="1417"/>
            <w:shd w:val="clear" w:color="auto" w:fill="17324D"/>
          </w:tcPr>
          <w:p>
            <w:pPr>
              <w:spacing w:after="0" w:line="240" w:lineRule="auto"/>
              <w:jc w:val="right"/>
            </w:pPr>
            <w:r/>
            <w:r>
              <w:rPr>
                <w:b/>
                <w:color w:val="FFFFFF"/>
                <w:sz w:val="18"/>
              </w:rPr>
              <w:t>Collections</w:t>
            </w:r>
          </w:p>
        </w:tc>
        <w:tc>
          <w:tcPr>
            <w:tcW w:type="dxa" w:w="1644"/>
            <w:shd w:val="clear" w:color="auto" w:fill="17324D"/>
          </w:tcPr>
          <w:p>
            <w:pPr>
              <w:spacing w:after="0" w:line="240" w:lineRule="auto"/>
              <w:jc w:val="right"/>
            </w:pPr>
            <w:r/>
            <w:r>
              <w:rPr>
                <w:b/>
                <w:color w:val="FFFFFF"/>
                <w:sz w:val="18"/>
              </w:rPr>
              <w:t>Landlord payments</w:t>
            </w:r>
          </w:p>
        </w:tc>
        <w:tc>
          <w:tcPr>
            <w:tcW w:type="dxa" w:w="2041"/>
            <w:shd w:val="clear" w:color="auto" w:fill="17324D"/>
          </w:tcPr>
          <w:p>
            <w:pPr>
              <w:spacing w:after="0" w:line="240" w:lineRule="auto"/>
              <w:jc w:val="right"/>
            </w:pPr>
            <w:r/>
            <w:r>
              <w:rPr>
                <w:b/>
                <w:color w:val="FFFFFF"/>
                <w:sz w:val="18"/>
              </w:rPr>
              <w:t>Construction, commission, SG&amp;A</w:t>
            </w:r>
          </w:p>
        </w:tc>
        <w:tc>
          <w:tcPr>
            <w:tcW w:type="dxa" w:w="1417"/>
            <w:shd w:val="clear" w:color="auto" w:fill="17324D"/>
          </w:tcPr>
          <w:p>
            <w:pPr>
              <w:spacing w:after="0" w:line="240" w:lineRule="auto"/>
              <w:jc w:val="right"/>
            </w:pPr>
            <w:r/>
            <w:r>
              <w:rPr>
                <w:b/>
                <w:color w:val="FFFFFF"/>
                <w:sz w:val="18"/>
              </w:rPr>
              <w:t>Net cash flow</w:t>
            </w:r>
          </w:p>
        </w:tc>
        <w:tc>
          <w:tcPr>
            <w:tcW w:type="dxa" w:w="1361"/>
            <w:shd w:val="clear" w:color="auto" w:fill="17324D"/>
          </w:tcPr>
          <w:p>
            <w:pPr>
              <w:spacing w:after="0" w:line="240" w:lineRule="auto"/>
              <w:jc w:val="right"/>
            </w:pPr>
            <w:r/>
            <w:r>
              <w:rPr>
                <w:b/>
                <w:color w:val="FFFFFF"/>
                <w:sz w:val="18"/>
              </w:rPr>
              <w:t>Cumulative</w:t>
            </w:r>
          </w:p>
        </w:tc>
      </w:tr>
      <w:tr>
        <w:trPr>
          <w:cantSplit/>
        </w:trPr>
        <w:tc>
          <w:tcPr>
            <w:tcW w:type="dxa" w:w="1361"/>
          </w:tcPr>
          <w:p>
            <w:pPr>
              <w:spacing w:after="0" w:line="240" w:lineRule="auto"/>
            </w:pPr>
            <w:r/>
            <w:r>
              <w:rPr>
                <w:sz w:val="18"/>
              </w:rPr>
              <w:t>Year 1</w:t>
            </w:r>
          </w:p>
        </w:tc>
        <w:tc>
          <w:tcPr>
            <w:tcW w:type="dxa" w:w="1417"/>
          </w:tcPr>
          <w:p>
            <w:pPr>
              <w:spacing w:after="0" w:line="240" w:lineRule="auto"/>
              <w:jc w:val="right"/>
            </w:pPr>
            <w:r/>
            <w:r>
              <w:rPr>
                <w:sz w:val="18"/>
              </w:rPr>
              <w:t>45.4</w:t>
            </w:r>
          </w:p>
        </w:tc>
        <w:tc>
          <w:tcPr>
            <w:tcW w:type="dxa" w:w="1644"/>
          </w:tcPr>
          <w:p>
            <w:pPr>
              <w:spacing w:after="0" w:line="240" w:lineRule="auto"/>
              <w:jc w:val="right"/>
            </w:pPr>
            <w:r/>
            <w:r>
              <w:rPr>
                <w:sz w:val="18"/>
              </w:rPr>
              <w:t>-125.0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-79.6</w:t>
            </w:r>
          </w:p>
        </w:tc>
        <w:tc>
          <w:tcPr>
            <w:tcW w:type="dxa" w:w="1361"/>
          </w:tcPr>
          <w:p>
            <w:pPr>
              <w:spacing w:after="0" w:line="240" w:lineRule="auto"/>
              <w:jc w:val="right"/>
            </w:pPr>
            <w:r/>
            <w:r>
              <w:rPr>
                <w:sz w:val="18"/>
              </w:rPr>
              <w:t>-79.6</w:t>
            </w:r>
          </w:p>
        </w:tc>
      </w:tr>
      <w:tr>
        <w:trPr>
          <w:cantSplit/>
        </w:trPr>
        <w:tc>
          <w:tcPr>
            <w:tcW w:type="dxa" w:w="1361"/>
            <w:shd w:val="clear" w:color="auto" w:fill="F2F4F7"/>
          </w:tcPr>
          <w:p>
            <w:pPr>
              <w:spacing w:after="0" w:line="240" w:lineRule="auto"/>
            </w:pPr>
            <w:r/>
            <w:r>
              <w:rPr>
                <w:sz w:val="18"/>
              </w:rPr>
              <w:t>Year 2</w:t>
            </w:r>
          </w:p>
        </w:tc>
        <w:tc>
          <w:tcPr>
            <w:tcW w:type="dxa" w:w="1417"/>
            <w:shd w:val="clear" w:color="auto" w:fill="F2F4F7"/>
          </w:tcPr>
          <w:p>
            <w:pPr>
              <w:spacing w:after="0" w:line="240" w:lineRule="auto"/>
              <w:jc w:val="right"/>
            </w:pPr>
            <w:r/>
            <w:r>
              <w:rPr>
                <w:sz w:val="18"/>
              </w:rPr>
              <w:t>235.1</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-153.9</w:t>
            </w:r>
          </w:p>
        </w:tc>
        <w:tc>
          <w:tcPr>
            <w:tcW w:type="dxa" w:w="1417"/>
            <w:shd w:val="clear" w:color="auto" w:fill="F2F4F7"/>
          </w:tcPr>
          <w:p>
            <w:pPr>
              <w:spacing w:after="0" w:line="240" w:lineRule="auto"/>
              <w:jc w:val="right"/>
            </w:pPr>
            <w:r/>
            <w:r>
              <w:rPr>
                <w:sz w:val="18"/>
              </w:rPr>
              <w:t>-8.8</w:t>
            </w:r>
          </w:p>
        </w:tc>
        <w:tc>
          <w:tcPr>
            <w:tcW w:type="dxa" w:w="1361"/>
            <w:shd w:val="clear" w:color="auto" w:fill="F2F4F7"/>
          </w:tcPr>
          <w:p>
            <w:pPr>
              <w:spacing w:after="0" w:line="240" w:lineRule="auto"/>
              <w:jc w:val="right"/>
            </w:pPr>
            <w:r/>
            <w:r>
              <w:rPr>
                <w:sz w:val="18"/>
              </w:rPr>
              <w:t>-88.4</w:t>
            </w:r>
          </w:p>
        </w:tc>
      </w:tr>
      <w:tr>
        <w:trPr>
          <w:cantSplit/>
        </w:trPr>
        <w:tc>
          <w:tcPr>
            <w:tcW w:type="dxa" w:w="1361"/>
          </w:tcPr>
          <w:p>
            <w:pPr>
              <w:spacing w:after="0" w:line="240" w:lineRule="auto"/>
            </w:pPr>
            <w:r/>
            <w:r>
              <w:rPr>
                <w:sz w:val="18"/>
              </w:rPr>
              <w:t>Year 3</w:t>
            </w:r>
          </w:p>
        </w:tc>
        <w:tc>
          <w:tcPr>
            <w:tcW w:type="dxa" w:w="1417"/>
          </w:tcPr>
          <w:p>
            <w:pPr>
              <w:spacing w:after="0" w:line="240" w:lineRule="auto"/>
              <w:jc w:val="right"/>
            </w:pPr>
            <w:r/>
            <w:r>
              <w:rPr>
                <w:sz w:val="18"/>
              </w:rPr>
              <w:t>937.7</w:t>
            </w:r>
          </w:p>
        </w:tc>
        <w:tc>
          <w:tcPr>
            <w:tcW w:type="dxa" w:w="1644"/>
          </w:tcPr>
          <w:p>
            <w:pPr>
              <w:spacing w:after="0" w:line="240" w:lineRule="auto"/>
              <w:jc w:val="right"/>
            </w:pPr>
            <w:r/>
            <w:r>
              <w:rPr>
                <w:sz w:val="18"/>
              </w:rPr>
              <w:t>-135.0</w:t>
            </w:r>
          </w:p>
        </w:tc>
        <w:tc>
          <w:tcPr>
            <w:tcW w:type="dxa" w:w="2041"/>
          </w:tcPr>
          <w:p>
            <w:pPr>
              <w:spacing w:after="0" w:line="240" w:lineRule="auto"/>
              <w:jc w:val="right"/>
            </w:pPr>
            <w:r/>
            <w:r>
              <w:rPr>
                <w:sz w:val="18"/>
              </w:rPr>
              <w:t>-105.9</w:t>
            </w:r>
          </w:p>
        </w:tc>
        <w:tc>
          <w:tcPr>
            <w:tcW w:type="dxa" w:w="1417"/>
          </w:tcPr>
          <w:p>
            <w:pPr>
              <w:spacing w:after="0" w:line="240" w:lineRule="auto"/>
              <w:jc w:val="right"/>
            </w:pPr>
            <w:r/>
            <w:r>
              <w:rPr>
                <w:sz w:val="18"/>
              </w:rPr>
              <w:t>696.8</w:t>
            </w:r>
          </w:p>
        </w:tc>
        <w:tc>
          <w:tcPr>
            <w:tcW w:type="dxa" w:w="1361"/>
          </w:tcPr>
          <w:p>
            <w:pPr>
              <w:spacing w:after="0" w:line="240" w:lineRule="auto"/>
              <w:jc w:val="right"/>
            </w:pPr>
            <w:r/>
            <w:r>
              <w:rPr>
                <w:sz w:val="18"/>
              </w:rPr>
              <w:t>608.4</w:t>
            </w:r>
          </w:p>
        </w:tc>
      </w:tr>
      <w:tr>
        <w:trPr>
          <w:cantSplit/>
        </w:trPr>
        <w:tc>
          <w:tcPr>
            <w:tcW w:type="dxa" w:w="1361"/>
            <w:shd w:val="clear" w:color="auto" w:fill="F2F4F7"/>
          </w:tcPr>
          <w:p>
            <w:pPr>
              <w:spacing w:after="0" w:line="240" w:lineRule="auto"/>
            </w:pPr>
            <w:r/>
            <w:r>
              <w:rPr>
                <w:sz w:val="18"/>
              </w:rPr>
              <w:t>Year 4</w:t>
            </w:r>
          </w:p>
        </w:tc>
        <w:tc>
          <w:tcPr>
            <w:tcW w:type="dxa" w:w="1417"/>
            <w:shd w:val="clear" w:color="auto" w:fill="F2F4F7"/>
          </w:tcPr>
          <w:p>
            <w:pPr>
              <w:spacing w:after="0" w:line="240" w:lineRule="auto"/>
              <w:jc w:val="right"/>
            </w:pPr>
            <w:r/>
            <w:r>
              <w:rPr>
                <w:sz w:val="18"/>
              </w:rPr>
              <w:t>308.0</w:t>
            </w:r>
          </w:p>
        </w:tc>
        <w:tc>
          <w:tcPr>
            <w:tcW w:type="dxa" w:w="1644"/>
            <w:shd w:val="clear" w:color="auto" w:fill="F2F4F7"/>
          </w:tcPr>
          <w:p>
            <w:pPr>
              <w:spacing w:after="0" w:line="240" w:lineRule="auto"/>
              <w:jc w:val="right"/>
            </w:pPr>
            <w:r/>
            <w:r>
              <w:rPr>
                <w:sz w:val="18"/>
              </w:rPr>
              <w:t>-180.0</w:t>
            </w:r>
          </w:p>
        </w:tc>
        <w:tc>
          <w:tcPr>
            <w:tcW w:type="dxa" w:w="2041"/>
            <w:shd w:val="clear" w:color="auto" w:fill="F2F4F7"/>
          </w:tcPr>
          <w:p>
            <w:pPr>
              <w:spacing w:after="0" w:line="240" w:lineRule="auto"/>
              <w:jc w:val="right"/>
            </w:pPr>
            <w:r/>
            <w:r>
              <w:rPr>
                <w:sz w:val="18"/>
              </w:rPr>
              <w:t>-632.0</w:t>
            </w:r>
          </w:p>
        </w:tc>
        <w:tc>
          <w:tcPr>
            <w:tcW w:type="dxa" w:w="1417"/>
            <w:shd w:val="clear" w:color="auto" w:fill="F2F4F7"/>
          </w:tcPr>
          <w:p>
            <w:pPr>
              <w:spacing w:after="0" w:line="240" w:lineRule="auto"/>
              <w:jc w:val="right"/>
            </w:pPr>
            <w:r/>
            <w:r>
              <w:rPr>
                <w:sz w:val="18"/>
              </w:rPr>
              <w:t>-504.1</w:t>
            </w:r>
          </w:p>
        </w:tc>
        <w:tc>
          <w:tcPr>
            <w:tcW w:type="dxa" w:w="1361"/>
            <w:shd w:val="clear" w:color="auto" w:fill="F2F4F7"/>
          </w:tcPr>
          <w:p>
            <w:pPr>
              <w:spacing w:after="0" w:line="240" w:lineRule="auto"/>
              <w:jc w:val="right"/>
            </w:pPr>
            <w:r/>
            <w:r>
              <w:rPr>
                <w:sz w:val="18"/>
              </w:rPr>
              <w:t>104.3</w:t>
            </w:r>
          </w:p>
        </w:tc>
      </w:tr>
      <w:tr>
        <w:trPr>
          <w:cantSplit/>
        </w:trPr>
        <w:tc>
          <w:tcPr>
            <w:tcW w:type="dxa" w:w="1361"/>
          </w:tcPr>
          <w:p>
            <w:pPr>
              <w:spacing w:after="0" w:line="240" w:lineRule="auto"/>
            </w:pPr>
            <w:r/>
            <w:r>
              <w:rPr>
                <w:sz w:val="18"/>
              </w:rPr>
              <w:t>Year 5</w:t>
            </w:r>
          </w:p>
        </w:tc>
        <w:tc>
          <w:tcPr>
            <w:tcW w:type="dxa" w:w="1417"/>
          </w:tcPr>
          <w:p>
            <w:pPr>
              <w:spacing w:after="0" w:line="240" w:lineRule="auto"/>
              <w:jc w:val="right"/>
            </w:pPr>
            <w:r/>
            <w:r>
              <w:rPr>
                <w:sz w:val="18"/>
              </w:rPr>
              <w:t>224.0</w:t>
            </w:r>
          </w:p>
        </w:tc>
        <w:tc>
          <w:tcPr>
            <w:tcW w:type="dxa" w:w="1644"/>
          </w:tcPr>
          <w:p>
            <w:pPr>
              <w:spacing w:after="0" w:line="240" w:lineRule="auto"/>
              <w:jc w:val="right"/>
            </w:pPr>
            <w:r/>
            <w:r>
              <w:rPr>
                <w:sz w:val="18"/>
              </w:rPr>
              <w:t>-180.0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44.0</w:t>
            </w:r>
          </w:p>
        </w:tc>
        <w:tc>
          <w:tcPr>
            <w:tcW w:type="dxa" w:w="1361"/>
          </w:tcPr>
          <w:p>
            <w:pPr>
              <w:spacing w:after="0" w:line="240" w:lineRule="auto"/>
              <w:jc w:val="right"/>
            </w:pPr>
            <w:r/>
            <w:r>
              <w:rPr>
                <w:sz w:val="18"/>
              </w:rPr>
              <w:t>148.4</w:t>
            </w:r>
          </w:p>
        </w:tc>
      </w:tr>
      <w:tr>
        <w:trPr>
          <w:cantSplit/>
        </w:trPr>
        <w:tc>
          <w:tcPr>
            <w:tcW w:type="dxa" w:w="1361"/>
            <w:shd w:val="clear" w:color="auto" w:fill="F2F4F7"/>
          </w:tcPr>
          <w:p>
            <w:pPr>
              <w:spacing w:after="0" w:line="240" w:lineRule="auto"/>
            </w:pPr>
            <w:r/>
            <w:r>
              <w:rPr>
                <w:sz w:val="18"/>
              </w:rPr>
              <w:t>Year 6</w:t>
            </w:r>
          </w:p>
        </w:tc>
        <w:tc>
          <w:tcPr>
            <w:tcW w:type="dxa" w:w="1417"/>
            <w:shd w:val="clear" w:color="auto" w:fill="F2F4F7"/>
          </w:tcPr>
          <w:p>
            <w:pPr>
              <w:spacing w:after="0" w:line="240" w:lineRule="auto"/>
              <w:jc w:val="right"/>
            </w:pPr>
            <w:r/>
            <w:r>
              <w:rPr>
                <w:sz w:val="18"/>
              </w:rPr>
              <w:t>175.7</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85.7</w:t>
            </w:r>
          </w:p>
        </w:tc>
        <w:tc>
          <w:tcPr>
            <w:tcW w:type="dxa" w:w="1361"/>
            <w:shd w:val="clear" w:color="auto" w:fill="F2F4F7"/>
          </w:tcPr>
          <w:p>
            <w:pPr>
              <w:spacing w:after="0" w:line="240" w:lineRule="auto"/>
              <w:jc w:val="right"/>
            </w:pPr>
            <w:r/>
            <w:r>
              <w:rPr>
                <w:sz w:val="18"/>
              </w:rPr>
              <w:t>234.1</w:t>
            </w:r>
          </w:p>
        </w:tc>
      </w:tr>
      <w:tr>
        <w:trPr>
          <w:cantSplit/>
        </w:trPr>
        <w:tc>
          <w:tcPr>
            <w:tcW w:type="dxa" w:w="1361"/>
          </w:tcPr>
          <w:p>
            <w:pPr>
              <w:spacing w:after="0" w:line="240" w:lineRule="auto"/>
            </w:pPr>
            <w:r/>
            <w:r>
              <w:rPr>
                <w:sz w:val="18"/>
              </w:rPr>
              <w:t>Year 7</w:t>
            </w:r>
          </w:p>
        </w:tc>
        <w:tc>
          <w:tcPr>
            <w:tcW w:type="dxa" w:w="1417"/>
          </w:tcPr>
          <w:p>
            <w:pPr>
              <w:spacing w:after="0" w:line="240" w:lineRule="auto"/>
              <w:jc w:val="right"/>
            </w:pPr>
            <w:r/>
            <w:r>
              <w:rPr>
                <w:sz w:val="18"/>
              </w:rPr>
              <w:t>123.9</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123.9</w:t>
            </w:r>
          </w:p>
        </w:tc>
        <w:tc>
          <w:tcPr>
            <w:tcW w:type="dxa" w:w="1361"/>
          </w:tcPr>
          <w:p>
            <w:pPr>
              <w:spacing w:after="0" w:line="240" w:lineRule="auto"/>
              <w:jc w:val="right"/>
            </w:pPr>
            <w:r/>
            <w:r>
              <w:rPr>
                <w:sz w:val="18"/>
              </w:rPr>
              <w:t>357.9</w:t>
            </w:r>
          </w:p>
        </w:tc>
      </w:tr>
      <w:tr>
        <w:trPr>
          <w:cantSplit/>
        </w:trPr>
        <w:tc>
          <w:tcPr>
            <w:tcW w:type="dxa" w:w="1361"/>
            <w:shd w:val="clear" w:color="auto" w:fill="F2F4F7"/>
          </w:tcPr>
          <w:p>
            <w:pPr>
              <w:spacing w:after="0" w:line="240" w:lineRule="auto"/>
            </w:pPr>
            <w:r/>
            <w:r>
              <w:rPr>
                <w:sz w:val="18"/>
              </w:rPr>
              <w:t>Year 8</w:t>
            </w:r>
          </w:p>
        </w:tc>
        <w:tc>
          <w:tcPr>
            <w:tcW w:type="dxa" w:w="1417"/>
            <w:shd w:val="clear" w:color="auto" w:fill="F2F4F7"/>
          </w:tcPr>
          <w:p>
            <w:pPr>
              <w:spacing w:after="0" w:line="240" w:lineRule="auto"/>
              <w:jc w:val="right"/>
            </w:pPr>
            <w:r/>
            <w:r>
              <w:rPr>
                <w:sz w:val="18"/>
              </w:rPr>
              <w:t>100.4</w:t>
            </w:r>
          </w:p>
        </w:tc>
        <w:tc>
          <w:tcPr>
            <w:tcW w:type="dxa" w:w="1644"/>
            <w:shd w:val="clear" w:color="auto" w:fill="F2F4F7"/>
          </w:tcPr>
          <w:p>
            <w:pPr>
              <w:spacing w:after="0" w:line="240" w:lineRule="auto"/>
              <w:jc w:val="right"/>
            </w:pPr>
            <w:r/>
            <w:r>
              <w:rPr>
                <w:sz w:val="18"/>
              </w:rPr>
              <w:t>-140.7</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-40.3</w:t>
            </w:r>
          </w:p>
        </w:tc>
        <w:tc>
          <w:tcPr>
            <w:tcW w:type="dxa" w:w="1361"/>
            <w:shd w:val="clear" w:color="auto" w:fill="F2F4F7"/>
          </w:tcPr>
          <w:p>
            <w:pPr>
              <w:spacing w:after="0" w:line="240" w:lineRule="auto"/>
              <w:jc w:val="right"/>
            </w:pPr>
            <w:r/>
            <w:r>
              <w:rPr>
                <w:sz w:val="18"/>
              </w:rPr>
              <w:t>317.6</w:t>
            </w:r>
          </w:p>
        </w:tc>
      </w:tr>
      <w:tr>
        <w:trPr>
          <w:cantSplit/>
        </w:trPr>
        <w:tc>
          <w:tcPr>
            <w:tcW w:type="dxa" w:w="1361"/>
          </w:tcPr>
          <w:p>
            <w:pPr>
              <w:spacing w:after="0" w:line="240" w:lineRule="auto"/>
            </w:pPr>
            <w:r/>
            <w:r>
              <w:rPr>
                <w:sz w:val="18"/>
              </w:rPr>
              <w:t>Year 9</w:t>
            </w:r>
          </w:p>
        </w:tc>
        <w:tc>
          <w:tcPr>
            <w:tcW w:type="dxa" w:w="1417"/>
          </w:tcPr>
          <w:p>
            <w:pPr>
              <w:spacing w:after="0" w:line="240" w:lineRule="auto"/>
              <w:jc w:val="right"/>
            </w:pPr>
            <w:r/>
            <w:r>
              <w:rPr>
                <w:sz w:val="18"/>
              </w:rPr>
              <w:t>89.6</w:t>
            </w:r>
          </w:p>
        </w:tc>
        <w:tc>
          <w:tcPr>
            <w:tcW w:type="dxa" w:w="1644"/>
          </w:tcPr>
          <w:p>
            <w:pPr>
              <w:spacing w:after="0" w:line="240" w:lineRule="auto"/>
              <w:jc w:val="right"/>
            </w:pPr>
            <w:r/>
            <w:r>
              <w:rPr>
                <w:sz w:val="18"/>
              </w:rPr>
              <w:t>-39.2</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50.4</w:t>
            </w:r>
          </w:p>
        </w:tc>
        <w:tc>
          <w:tcPr>
            <w:tcW w:type="dxa" w:w="1361"/>
          </w:tcPr>
          <w:p>
            <w:pPr>
              <w:spacing w:after="0" w:line="240" w:lineRule="auto"/>
              <w:jc w:val="right"/>
            </w:pPr>
            <w:r/>
            <w:r>
              <w:rPr>
                <w:sz w:val="18"/>
              </w:rPr>
              <w:t>368.0</w:t>
            </w:r>
          </w:p>
        </w:tc>
      </w:tr>
      <w:tr>
        <w:trPr>
          <w:cantSplit/>
        </w:trPr>
        <w:tc>
          <w:tcPr>
            <w:tcW w:type="dxa" w:w="1361"/>
            <w:shd w:val="clear" w:color="auto" w:fill="F2F4F7"/>
          </w:tcPr>
          <w:p>
            <w:pPr>
              <w:spacing w:after="0" w:line="240" w:lineRule="auto"/>
            </w:pPr>
            <w:r/>
            <w:r>
              <w:rPr>
                <w:sz w:val="18"/>
              </w:rPr>
              <w:t>Year 10</w:t>
            </w:r>
          </w:p>
        </w:tc>
        <w:tc>
          <w:tcPr>
            <w:tcW w:type="dxa" w:w="1417"/>
            <w:shd w:val="clear" w:color="auto" w:fill="F2F4F7"/>
          </w:tcPr>
          <w:p>
            <w:pPr>
              <w:spacing w:after="0" w:line="240" w:lineRule="auto"/>
              <w:jc w:val="right"/>
            </w:pPr>
            <w:r/>
            <w:r>
              <w:rPr>
                <w:sz w:val="18"/>
              </w:rPr>
              <w:t>13.2</w:t>
            </w:r>
          </w:p>
        </w:tc>
        <w:tc>
          <w:tcPr>
            <w:tcW w:type="dxa" w:w="1644"/>
            <w:shd w:val="clear" w:color="auto" w:fill="F2F4F7"/>
          </w:tcPr>
          <w:p>
            <w:pPr>
              <w:spacing w:after="0" w:line="240" w:lineRule="auto"/>
              <w:jc w:val="right"/>
            </w:pPr>
            <w:r/>
            <w:r>
              <w:rPr>
                <w:sz w:val="18"/>
              </w:rPr>
              <w:t>-5.8</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7.4</w:t>
            </w:r>
          </w:p>
        </w:tc>
        <w:tc>
          <w:tcPr>
            <w:tcW w:type="dxa" w:w="1361"/>
            <w:shd w:val="clear" w:color="auto" w:fill="F2F4F7"/>
          </w:tcPr>
          <w:p>
            <w:pPr>
              <w:spacing w:after="0" w:line="240" w:lineRule="auto"/>
              <w:jc w:val="right"/>
            </w:pPr>
            <w:r/>
            <w:r>
              <w:rPr>
                <w:sz w:val="18"/>
              </w:rPr>
              <w:t>375.4</w:t>
            </w:r>
          </w:p>
        </w:tc>
      </w:tr>
      <w:tr>
        <w:trPr>
          <w:cantSplit/>
        </w:trPr>
        <w:tc>
          <w:tcPr>
            <w:tcW w:type="dxa" w:w="1361"/>
          </w:tcPr>
          <w:p>
            <w:pPr>
              <w:spacing w:after="0" w:line="240" w:lineRule="auto"/>
            </w:pPr>
            <w:r/>
            <w:r>
              <w:rPr>
                <w:sz w:val="18"/>
              </w:rPr>
              <w:t>Year 11</w:t>
            </w:r>
          </w:p>
        </w:tc>
        <w:tc>
          <w:tcPr>
            <w:tcW w:type="dxa" w:w="1417"/>
          </w:tcPr>
          <w:p>
            <w:pPr>
              <w:spacing w:after="0" w:line="240" w:lineRule="auto"/>
              <w:jc w:val="right"/>
            </w:pPr>
            <w:r/>
            <w:r>
              <w:rPr>
                <w:sz w:val="18"/>
              </w:rPr>
              <w:t>0.0</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0.0</w:t>
            </w:r>
          </w:p>
        </w:tc>
        <w:tc>
          <w:tcPr>
            <w:tcW w:type="dxa" w:w="1361"/>
          </w:tcPr>
          <w:p>
            <w:pPr>
              <w:spacing w:after="0" w:line="240" w:lineRule="auto"/>
              <w:jc w:val="right"/>
            </w:pPr>
            <w:r/>
            <w:r>
              <w:rPr>
                <w:sz w:val="18"/>
              </w:rPr>
              <w:t>375.4</w:t>
            </w:r>
          </w:p>
        </w:tc>
      </w:tr>
      <w:tr>
        <w:trPr>
          <w:cantSplit/>
        </w:trPr>
        <w:tc>
          <w:tcPr>
            <w:tcW w:type="dxa" w:w="1361"/>
            <w:shd w:val="clear" w:color="auto" w:fill="F2F4F7"/>
          </w:tcPr>
          <w:p>
            <w:pPr>
              <w:spacing w:after="0" w:line="240" w:lineRule="auto"/>
            </w:pPr>
            <w:r/>
            <w:r>
              <w:rPr>
                <w:b/>
                <w:sz w:val="18"/>
              </w:rPr>
              <w:t>Total</w:t>
            </w:r>
          </w:p>
        </w:tc>
        <w:tc>
          <w:tcPr>
            <w:tcW w:type="dxa" w:w="1417"/>
            <w:shd w:val="clear" w:color="auto" w:fill="F2F4F7"/>
          </w:tcPr>
          <w:p>
            <w:pPr>
              <w:spacing w:after="0" w:line="240" w:lineRule="auto"/>
              <w:jc w:val="right"/>
            </w:pPr>
            <w:r/>
            <w:r>
              <w:rPr>
                <w:b/>
                <w:sz w:val="18"/>
              </w:rPr>
              <w:t>2,253.0</w:t>
            </w:r>
          </w:p>
        </w:tc>
        <w:tc>
          <w:tcPr>
            <w:tcW w:type="dxa" w:w="1644"/>
            <w:shd w:val="clear" w:color="auto" w:fill="F2F4F7"/>
          </w:tcPr>
          <w:p>
            <w:pPr>
              <w:spacing w:after="0" w:line="240" w:lineRule="auto"/>
              <w:jc w:val="right"/>
            </w:pPr>
            <w:r/>
            <w:r>
              <w:rPr>
                <w:b/>
                <w:sz w:val="18"/>
              </w:rPr>
              <w:t>-985.7</w:t>
            </w:r>
          </w:p>
        </w:tc>
        <w:tc>
          <w:tcPr>
            <w:tcW w:type="dxa" w:w="2041"/>
            <w:shd w:val="clear" w:color="auto" w:fill="F2F4F7"/>
          </w:tcPr>
          <w:p>
            <w:pPr>
              <w:spacing w:after="0" w:line="240" w:lineRule="auto"/>
              <w:jc w:val="right"/>
            </w:pPr>
            <w:r/>
            <w:r>
              <w:rPr>
                <w:b/>
                <w:sz w:val="18"/>
              </w:rPr>
              <w:t>-891.9</w:t>
            </w:r>
          </w:p>
        </w:tc>
        <w:tc>
          <w:tcPr>
            <w:tcW w:type="dxa" w:w="1417"/>
            <w:shd w:val="clear" w:color="auto" w:fill="F2F4F7"/>
          </w:tcPr>
          <w:p>
            <w:pPr>
              <w:spacing w:after="0" w:line="240" w:lineRule="auto"/>
              <w:jc w:val="right"/>
            </w:pPr>
            <w:r/>
            <w:r>
              <w:rPr>
                <w:b/>
                <w:sz w:val="18"/>
              </w:rPr>
              <w:t>375.4</w:t>
            </w:r>
          </w:p>
        </w:tc>
        <w:tc>
          <w:tcPr>
            <w:tcW w:type="dxa" w:w="1361"/>
            <w:shd w:val="clear" w:color="auto" w:fill="F2F4F7"/>
          </w:tcPr>
          <w:p>
            <w:pPr>
              <w:spacing w:after="0" w:line="240" w:lineRule="auto"/>
              <w:jc w:val="right"/>
            </w:pPr>
            <w:r/>
            <w:r>
              <w:rPr>
                <w:b/>
                <w:sz w:val="18"/>
              </w:rPr>
            </w:r>
          </w:p>
        </w:tc>
      </w:tr>
    </w:tbl>
    <w:p>
      <w:pPr>
        <w:spacing w:after="80"/>
      </w:pPr>
    </w:p>
    <w:p>
      <w:pPr>
        <w:keepNext/>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fig_cash.png"/>
                    <pic:cNvPicPr/>
                  </pic:nvPicPr>
                  <pic:blipFill>
                    <a:blip r:embed="rId12"/>
                    <a:stretch>
                      <a:fillRect/>
                    </a:stretch>
                  </pic:blipFill>
                  <pic:spPr>
                    <a:xfrm>
                      <a:off x="0" y="0"/>
                      <a:ext cx="5580000" cy="2790000"/>
                    </a:xfrm>
                    <a:prstGeom prst="rect"/>
                  </pic:spPr>
                </pic:pic>
              </a:graphicData>
            </a:graphic>
          </wp:inline>
        </w:drawing>
      </w:r>
    </w:p>
    <w:p>
      <w:pPr>
        <w:jc w:val="center"/>
      </w:pPr>
      <w:r>
        <w:rPr>
          <w:b/>
          <w:color w:val="17324D"/>
          <w:sz w:val="18"/>
        </w:rPr>
        <w:t xml:space="preserve">Figure 2: Project cash flow by year. </w:t>
      </w:r>
      <w:r>
        <w:rPr>
          <w:i/>
          <w:color w:val="6B7280"/>
          <w:sz w:val="18"/>
        </w:rPr>
        <w:t>Source: Jalour financial model; Financial Annex, Project_CF sheet</w:t>
      </w:r>
    </w:p>
    <w:p>
      <w:r>
        <w:rPr>
          <w:b w:val="0"/>
          <w:i w:val="0"/>
        </w:rPr>
        <w:t>The model collects the delivery payment on a contractual milestone ahead of handover, which produces a large collection in project month 30. This timing is a key sensitivity (sections 11 and 13). Evidence of the contractual milestone is to be provided in the data room.</w:t>
      </w:r>
    </w:p>
    <w:p>
      <w:pPr>
        <w:pStyle w:val="Heading1"/>
      </w:pPr>
      <w:r>
        <w:t>10. Cost model</w:t>
      </w:r>
    </w:p>
    <w:p>
      <w:pPr>
        <w:keepNext/>
        <w:spacing w:after="60"/>
      </w:pPr>
      <w:r>
        <w:rPr>
          <w:b/>
          <w:color w:val="17324D"/>
          <w:sz w:val="19"/>
        </w:rPr>
        <w:t>Table 13: Cost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835"/>
            <w:shd w:val="clear" w:color="auto" w:fill="17324D"/>
          </w:tcPr>
          <w:p>
            <w:pPr>
              <w:spacing w:after="0" w:line="240" w:lineRule="auto"/>
            </w:pPr>
            <w:r/>
            <w:r>
              <w:rPr>
                <w:b/>
                <w:color w:val="FFFFFF"/>
                <w:sz w:val="18"/>
              </w:rPr>
              <w:t>Cost line</w:t>
            </w:r>
          </w:p>
        </w:tc>
        <w:tc>
          <w:tcPr>
            <w:tcW w:type="dxa" w:w="1474"/>
            <w:shd w:val="clear" w:color="auto" w:fill="17324D"/>
          </w:tcPr>
          <w:p>
            <w:pPr>
              <w:spacing w:after="0" w:line="240" w:lineRule="auto"/>
              <w:jc w:val="right"/>
            </w:pPr>
            <w:r/>
            <w:r>
              <w:rPr>
                <w:b/>
                <w:color w:val="FFFFFF"/>
                <w:sz w:val="18"/>
              </w:rPr>
              <w:t>EGP million</w:t>
            </w:r>
          </w:p>
        </w:tc>
        <w:tc>
          <w:tcPr>
            <w:tcW w:type="dxa" w:w="4932"/>
            <w:shd w:val="clear" w:color="auto" w:fill="17324D"/>
          </w:tcPr>
          <w:p>
            <w:pPr>
              <w:spacing w:after="0" w:line="240" w:lineRule="auto"/>
              <w:jc w:val="right"/>
            </w:pPr>
            <w:r/>
            <w:r>
              <w:rPr>
                <w:b/>
                <w:color w:val="FFFFFF"/>
                <w:sz w:val="18"/>
              </w:rPr>
              <w:t>Basis</w:t>
            </w:r>
          </w:p>
        </w:tc>
      </w:tr>
      <w:tr>
        <w:trPr>
          <w:cantSplit/>
        </w:trPr>
        <w:tc>
          <w:tcPr>
            <w:tcW w:type="dxa" w:w="2835"/>
          </w:tcPr>
          <w:p>
            <w:pPr>
              <w:spacing w:after="0" w:line="240" w:lineRule="auto"/>
            </w:pPr>
            <w:r/>
            <w:r>
              <w:rPr>
                <w:sz w:val="18"/>
              </w:rPr>
              <w:t>Construction (core and shell)</w:t>
            </w:r>
          </w:p>
        </w:tc>
        <w:tc>
          <w:tcPr>
            <w:tcW w:type="dxa" w:w="1474"/>
          </w:tcPr>
          <w:p>
            <w:pPr>
              <w:spacing w:after="0" w:line="240" w:lineRule="auto"/>
              <w:jc w:val="right"/>
            </w:pPr>
            <w:r/>
            <w:r>
              <w:rPr>
                <w:sz w:val="18"/>
              </w:rPr>
              <w:t>697.2</w:t>
            </w:r>
          </w:p>
        </w:tc>
        <w:tc>
          <w:tcPr>
            <w:tcW w:type="dxa" w:w="4932"/>
          </w:tcPr>
          <w:p>
            <w:pPr>
              <w:spacing w:after="0" w:line="240" w:lineRule="auto"/>
              <w:jc w:val="right"/>
            </w:pPr>
            <w:r/>
            <w:r>
              <w:rPr>
                <w:sz w:val="18"/>
              </w:rPr>
              <w:t>About EGP 53.5 thousand per m2 of built-up area; stage schedule over 36 months</w:t>
            </w:r>
          </w:p>
        </w:tc>
      </w:tr>
      <w:tr>
        <w:trPr>
          <w:cantSplit/>
        </w:trPr>
        <w:tc>
          <w:tcPr>
            <w:tcW w:type="dxa" w:w="2835"/>
            <w:shd w:val="clear" w:color="auto" w:fill="F2F4F7"/>
          </w:tcPr>
          <w:p>
            <w:pPr>
              <w:spacing w:after="0" w:line="240" w:lineRule="auto"/>
            </w:pPr>
            <w:r/>
            <w:r>
              <w:rPr>
                <w:sz w:val="18"/>
              </w:rPr>
              <w:t>Sales commission</w:t>
            </w:r>
          </w:p>
        </w:tc>
        <w:tc>
          <w:tcPr>
            <w:tcW w:type="dxa" w:w="1474"/>
            <w:shd w:val="clear" w:color="auto" w:fill="F2F4F7"/>
          </w:tcPr>
          <w:p>
            <w:pPr>
              <w:spacing w:after="0" w:line="240" w:lineRule="auto"/>
              <w:jc w:val="right"/>
            </w:pPr>
            <w:r/>
            <w:r>
              <w:rPr>
                <w:sz w:val="18"/>
              </w:rPr>
              <w:t>90.1</w:t>
            </w:r>
          </w:p>
        </w:tc>
        <w:tc>
          <w:tcPr>
            <w:tcW w:type="dxa" w:w="4932"/>
            <w:shd w:val="clear" w:color="auto" w:fill="F2F4F7"/>
          </w:tcPr>
          <w:p>
            <w:pPr>
              <w:spacing w:after="0" w:line="240" w:lineRule="auto"/>
              <w:jc w:val="right"/>
            </w:pPr>
            <w:r/>
            <w:r>
              <w:rPr>
                <w:sz w:val="18"/>
              </w:rPr>
              <w:t>4% of sales value, paid 12 months after each sale quarter</w:t>
            </w:r>
          </w:p>
        </w:tc>
      </w:tr>
      <w:tr>
        <w:trPr>
          <w:cantSplit/>
        </w:trPr>
        <w:tc>
          <w:tcPr>
            <w:tcW w:type="dxa" w:w="2835"/>
          </w:tcPr>
          <w:p>
            <w:pPr>
              <w:spacing w:after="0" w:line="240" w:lineRule="auto"/>
            </w:pPr>
            <w:r/>
            <w:r>
              <w:rPr>
                <w:sz w:val="18"/>
              </w:rPr>
              <w:t>SG&amp;A and others</w:t>
            </w:r>
          </w:p>
        </w:tc>
        <w:tc>
          <w:tcPr>
            <w:tcW w:type="dxa" w:w="1474"/>
          </w:tcPr>
          <w:p>
            <w:pPr>
              <w:spacing w:after="0" w:line="240" w:lineRule="auto"/>
              <w:jc w:val="right"/>
            </w:pPr>
            <w:r/>
            <w:r>
              <w:rPr>
                <w:sz w:val="18"/>
              </w:rPr>
              <w:t>104.6</w:t>
            </w:r>
          </w:p>
        </w:tc>
        <w:tc>
          <w:tcPr>
            <w:tcW w:type="dxa" w:w="4932"/>
          </w:tcPr>
          <w:p>
            <w:pPr>
              <w:spacing w:after="0" w:line="240" w:lineRule="auto"/>
              <w:jc w:val="right"/>
            </w:pPr>
            <w:r/>
            <w:r>
              <w:rPr>
                <w:sz w:val="18"/>
              </w:rPr>
              <w:t>15% of construction: contingency 5%, professional fees 5%, overhead 5%</w:t>
            </w:r>
          </w:p>
        </w:tc>
      </w:tr>
      <w:tr>
        <w:trPr>
          <w:cantSplit/>
        </w:trPr>
        <w:tc>
          <w:tcPr>
            <w:tcW w:type="dxa" w:w="2835"/>
            <w:shd w:val="clear" w:color="auto" w:fill="F2F4F7"/>
          </w:tcPr>
          <w:p>
            <w:pPr>
              <w:spacing w:after="0" w:line="240" w:lineRule="auto"/>
            </w:pPr>
            <w:r/>
            <w:r>
              <w:rPr>
                <w:b/>
                <w:sz w:val="18"/>
              </w:rPr>
              <w:t>Total</w:t>
            </w:r>
          </w:p>
        </w:tc>
        <w:tc>
          <w:tcPr>
            <w:tcW w:type="dxa" w:w="1474"/>
            <w:shd w:val="clear" w:color="auto" w:fill="F2F4F7"/>
          </w:tcPr>
          <w:p>
            <w:pPr>
              <w:spacing w:after="0" w:line="240" w:lineRule="auto"/>
              <w:jc w:val="right"/>
            </w:pPr>
            <w:r/>
            <w:r>
              <w:rPr>
                <w:b/>
                <w:sz w:val="18"/>
              </w:rPr>
              <w:t>891.9</w:t>
            </w:r>
          </w:p>
        </w:tc>
        <w:tc>
          <w:tcPr>
            <w:tcW w:type="dxa" w:w="4932"/>
            <w:shd w:val="clear" w:color="auto" w:fill="F2F4F7"/>
          </w:tcPr>
          <w:p>
            <w:pPr>
              <w:spacing w:after="0" w:line="240" w:lineRule="auto"/>
              <w:jc w:val="right"/>
            </w:pPr>
            <w:r/>
            <w:r>
              <w:rPr>
                <w:b/>
                <w:sz w:val="18"/>
              </w:rPr>
            </w:r>
          </w:p>
        </w:tc>
      </w:tr>
    </w:tbl>
    <w:p>
      <w:pPr>
        <w:spacing w:after="80"/>
      </w:pPr>
    </w:p>
    <w:p>
      <w:pPr>
        <w:pStyle w:val="ListBullet"/>
        <w:spacing w:after="60"/>
      </w:pPr>
      <w:r>
        <w:rPr>
          <w:b w:val="0"/>
          <w:i w:val="0"/>
        </w:rPr>
        <w:t>Cost basis (contractor pricing, bill of quantities) is to be provided in the data room; the model uses a flat nominal cost with no inflation over the build period.</w:t>
      </w:r>
    </w:p>
    <w:p>
      <w:pPr>
        <w:pStyle w:val="ListBullet"/>
        <w:spacing w:after="60"/>
      </w:pPr>
      <w:r>
        <w:rPr>
          <w:b w:val="0"/>
          <w:i w:val="0"/>
        </w:rPr>
        <w:t>A 10% overrun lowers project NPV from EGP 215 million to EGP 162 million; a 20% overrun to EGP 109 million.</w:t>
      </w:r>
    </w:p>
    <w:p>
      <w:pPr>
        <w:pStyle w:val="ListBullet"/>
        <w:spacing w:after="60"/>
      </w:pPr>
      <w:r>
        <w:rPr>
          <w:b w:val="0"/>
          <w:i w:val="0"/>
        </w:rPr>
        <w:t>Pre-construction costs (design, permits) are not separately modelled; section 11 adds an allowance of EGP 10.5 million as an assumption.</w:t>
      </w:r>
    </w:p>
    <w:p>
      <w:pPr>
        <w:pStyle w:val="Heading1"/>
        <w:pageBreakBefore/>
      </w:pPr>
      <w:r>
        <w:t>11. Funding plan and use of funds</w:t>
      </w:r>
    </w:p>
    <w:p>
      <w:pPr>
        <w:keepNext/>
        <w:spacing w:after="60"/>
      </w:pPr>
      <w:r>
        <w:rPr>
          <w:b/>
          <w:color w:val="17324D"/>
          <w:sz w:val="19"/>
        </w:rPr>
        <w:t>Table 14: Uses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803"/>
            <w:shd w:val="clear" w:color="auto" w:fill="17324D"/>
          </w:tcPr>
          <w:p>
            <w:pPr>
              <w:spacing w:after="0" w:line="240" w:lineRule="auto"/>
            </w:pPr>
            <w:r/>
            <w:r>
              <w:rPr>
                <w:b/>
                <w:color w:val="FFFFFF"/>
                <w:sz w:val="19"/>
              </w:rPr>
              <w:t>Uses at the funding peak</w:t>
            </w:r>
          </w:p>
        </w:tc>
        <w:tc>
          <w:tcPr>
            <w:tcW w:type="dxa" w:w="2438"/>
            <w:shd w:val="clear" w:color="auto" w:fill="17324D"/>
          </w:tcPr>
          <w:p>
            <w:pPr>
              <w:spacing w:after="0" w:line="240" w:lineRule="auto"/>
              <w:jc w:val="right"/>
            </w:pPr>
            <w:r/>
            <w:r>
              <w:rPr>
                <w:b/>
                <w:color w:val="FFFFFF"/>
                <w:sz w:val="19"/>
              </w:rPr>
              <w:t>EGP million</w:t>
            </w:r>
          </w:p>
        </w:tc>
      </w:tr>
      <w:tr>
        <w:trPr>
          <w:cantSplit/>
        </w:trPr>
        <w:tc>
          <w:tcPr>
            <w:tcW w:type="dxa" w:w="6803"/>
          </w:tcPr>
          <w:p>
            <w:pPr>
              <w:spacing w:after="0" w:line="240" w:lineRule="auto"/>
            </w:pPr>
            <w:r/>
            <w:r>
              <w:rPr>
                <w:sz w:val="19"/>
              </w:rPr>
              <w:t>Down payment to the landowner</w:t>
            </w:r>
          </w:p>
        </w:tc>
        <w:tc>
          <w:tcPr>
            <w:tcW w:type="dxa" w:w="2438"/>
          </w:tcPr>
          <w:p>
            <w:pPr>
              <w:spacing w:after="0" w:line="240" w:lineRule="auto"/>
              <w:jc w:val="right"/>
            </w:pPr>
            <w:r/>
            <w:r>
              <w:rPr>
                <w:sz w:val="19"/>
              </w:rPr>
              <w:t>80.0</w:t>
            </w:r>
          </w:p>
        </w:tc>
      </w:tr>
      <w:tr>
        <w:trPr>
          <w:cantSplit/>
        </w:trPr>
        <w:tc>
          <w:tcPr>
            <w:tcW w:type="dxa" w:w="6803"/>
            <w:shd w:val="clear" w:color="auto" w:fill="F2F4F7"/>
          </w:tcPr>
          <w:p>
            <w:pPr>
              <w:spacing w:after="0" w:line="240" w:lineRule="auto"/>
            </w:pPr>
            <w:r/>
            <w:r>
              <w:rPr>
                <w:sz w:val="19"/>
              </w:rPr>
              <w:t>Guarantee instalments and working capital to the peak, net of collections</w:t>
            </w:r>
          </w:p>
        </w:tc>
        <w:tc>
          <w:tcPr>
            <w:tcW w:type="dxa" w:w="2438"/>
            <w:shd w:val="clear" w:color="auto" w:fill="F2F4F7"/>
          </w:tcPr>
          <w:p>
            <w:pPr>
              <w:spacing w:after="0" w:line="240" w:lineRule="auto"/>
              <w:jc w:val="right"/>
            </w:pPr>
            <w:r/>
            <w:r>
              <w:rPr>
                <w:sz w:val="19"/>
              </w:rPr>
              <w:t>22.5</w:t>
            </w:r>
          </w:p>
        </w:tc>
      </w:tr>
      <w:tr>
        <w:trPr>
          <w:cantSplit/>
        </w:trPr>
        <w:tc>
          <w:tcPr>
            <w:tcW w:type="dxa" w:w="6803"/>
          </w:tcPr>
          <w:p>
            <w:pPr>
              <w:spacing w:after="0" w:line="240" w:lineRule="auto"/>
            </w:pPr>
            <w:r/>
            <w:r>
              <w:rPr>
                <w:sz w:val="19"/>
              </w:rPr>
              <w:t>Design, permits and pre-construction (assumption)</w:t>
            </w:r>
          </w:p>
        </w:tc>
        <w:tc>
          <w:tcPr>
            <w:tcW w:type="dxa" w:w="2438"/>
          </w:tcPr>
          <w:p>
            <w:pPr>
              <w:spacing w:after="0" w:line="240" w:lineRule="auto"/>
              <w:jc w:val="right"/>
            </w:pPr>
            <w:r/>
            <w:r>
              <w:rPr>
                <w:sz w:val="19"/>
              </w:rPr>
              <w:t>10.5</w:t>
            </w:r>
          </w:p>
        </w:tc>
      </w:tr>
      <w:tr>
        <w:trPr>
          <w:cantSplit/>
        </w:trPr>
        <w:tc>
          <w:tcPr>
            <w:tcW w:type="dxa" w:w="6803"/>
            <w:shd w:val="clear" w:color="auto" w:fill="F2F4F7"/>
          </w:tcPr>
          <w:p>
            <w:pPr>
              <w:spacing w:after="0" w:line="240" w:lineRule="auto"/>
            </w:pPr>
            <w:r/>
            <w:r>
              <w:rPr>
                <w:b/>
                <w:sz w:val="19"/>
              </w:rPr>
              <w:t>Total uses</w:t>
            </w:r>
          </w:p>
        </w:tc>
        <w:tc>
          <w:tcPr>
            <w:tcW w:type="dxa" w:w="2438"/>
            <w:shd w:val="clear" w:color="auto" w:fill="F2F4F7"/>
          </w:tcPr>
          <w:p>
            <w:pPr>
              <w:spacing w:after="0" w:line="240" w:lineRule="auto"/>
              <w:jc w:val="right"/>
            </w:pPr>
            <w:r/>
            <w:r>
              <w:rPr>
                <w:b/>
                <w:sz w:val="19"/>
              </w:rPr>
              <w:t>113.0</w:t>
            </w:r>
          </w:p>
        </w:tc>
      </w:tr>
    </w:tbl>
    <w:p>
      <w:pPr>
        <w:spacing w:after="80"/>
      </w:pPr>
    </w:p>
    <w:p>
      <w:pPr>
        <w:keepNext/>
        <w:spacing w:after="60"/>
      </w:pPr>
      <w:r>
        <w:rPr>
          <w:b/>
          <w:color w:val="17324D"/>
          <w:sz w:val="19"/>
        </w:rPr>
        <w:t>Table 15: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5102"/>
            <w:shd w:val="clear" w:color="auto" w:fill="17324D"/>
          </w:tcPr>
          <w:p>
            <w:pPr>
              <w:spacing w:after="0" w:line="240" w:lineRule="auto"/>
            </w:pPr>
            <w:r/>
            <w:r>
              <w:rPr>
                <w:b/>
                <w:color w:val="FFFFFF"/>
                <w:sz w:val="19"/>
              </w:rPr>
              <w:t>Sources</w:t>
            </w:r>
          </w:p>
        </w:tc>
        <w:tc>
          <w:tcPr>
            <w:tcW w:type="dxa" w:w="2041"/>
            <w:shd w:val="clear" w:color="auto" w:fill="17324D"/>
          </w:tcPr>
          <w:p>
            <w:pPr>
              <w:spacing w:after="0" w:line="240" w:lineRule="auto"/>
              <w:jc w:val="right"/>
            </w:pPr>
            <w:r/>
            <w:r>
              <w:rPr>
                <w:b/>
                <w:color w:val="FFFFFF"/>
                <w:sz w:val="19"/>
              </w:rPr>
              <w:t>EGP million</w:t>
            </w:r>
          </w:p>
        </w:tc>
        <w:tc>
          <w:tcPr>
            <w:tcW w:type="dxa" w:w="2098"/>
            <w:shd w:val="clear" w:color="auto" w:fill="17324D"/>
          </w:tcPr>
          <w:p>
            <w:pPr>
              <w:spacing w:after="0" w:line="240" w:lineRule="auto"/>
              <w:jc w:val="right"/>
            </w:pPr>
            <w:r/>
            <w:r>
              <w:rPr>
                <w:b/>
                <w:color w:val="FFFFFF"/>
                <w:sz w:val="19"/>
              </w:rPr>
              <w:t>% of uses</w:t>
            </w:r>
          </w:p>
        </w:tc>
      </w:tr>
      <w:tr>
        <w:trPr>
          <w:cantSplit/>
        </w:trPr>
        <w:tc>
          <w:tcPr>
            <w:tcW w:type="dxa" w:w="5102"/>
          </w:tcPr>
          <w:p>
            <w:pPr>
              <w:spacing w:after="0" w:line="240" w:lineRule="auto"/>
            </w:pPr>
            <w:r/>
            <w:r>
              <w:rPr>
                <w:sz w:val="19"/>
              </w:rPr>
              <w:t>Investor ticket (applied to uses)</w:t>
            </w:r>
          </w:p>
        </w:tc>
        <w:tc>
          <w:tcPr>
            <w:tcW w:type="dxa" w:w="2041"/>
          </w:tcPr>
          <w:p>
            <w:pPr>
              <w:spacing w:after="0" w:line="240" w:lineRule="auto"/>
              <w:jc w:val="right"/>
            </w:pPr>
            <w:r/>
            <w:r>
              <w:rPr>
                <w:sz w:val="19"/>
              </w:rPr>
              <w:t>113.0</w:t>
            </w:r>
          </w:p>
        </w:tc>
        <w:tc>
          <w:tcPr>
            <w:tcW w:type="dxa" w:w="2098"/>
          </w:tcPr>
          <w:p>
            <w:pPr>
              <w:spacing w:after="0" w:line="240" w:lineRule="auto"/>
              <w:jc w:val="right"/>
            </w:pPr>
            <w:r/>
            <w:r>
              <w:rPr>
                <w:sz w:val="19"/>
              </w:rPr>
              <w:t>100%</w:t>
            </w:r>
          </w:p>
        </w:tc>
      </w:tr>
      <w:tr>
        <w:trPr>
          <w:cantSplit/>
        </w:trPr>
        <w:tc>
          <w:tcPr>
            <w:tcW w:type="dxa" w:w="5102"/>
            <w:shd w:val="clear" w:color="auto" w:fill="F2F4F7"/>
          </w:tcPr>
          <w:p>
            <w:pPr>
              <w:spacing w:after="0" w:line="240" w:lineRule="auto"/>
            </w:pPr>
            <w:r/>
            <w:r>
              <w:rPr>
                <w:sz w:val="19"/>
              </w:rPr>
              <w:t>Balance of project funding</w:t>
            </w:r>
          </w:p>
        </w:tc>
        <w:tc>
          <w:tcPr>
            <w:tcW w:type="dxa" w:w="2041"/>
            <w:shd w:val="clear" w:color="auto" w:fill="F2F4F7"/>
          </w:tcPr>
          <w:p>
            <w:pPr>
              <w:spacing w:after="0" w:line="240" w:lineRule="auto"/>
              <w:jc w:val="right"/>
            </w:pPr>
            <w:r/>
            <w:r>
              <w:rPr>
                <w:sz w:val="19"/>
              </w:rPr>
              <w:t>0.0</w:t>
            </w:r>
          </w:p>
        </w:tc>
        <w:tc>
          <w:tcPr>
            <w:tcW w:type="dxa" w:w="2098"/>
            <w:shd w:val="clear" w:color="auto" w:fill="F2F4F7"/>
          </w:tcPr>
          <w:p>
            <w:pPr>
              <w:spacing w:after="0" w:line="240" w:lineRule="auto"/>
              <w:jc w:val="right"/>
            </w:pPr>
            <w:r/>
            <w:r>
              <w:rPr>
                <w:sz w:val="19"/>
              </w:rPr>
              <w:t>0%</w:t>
            </w:r>
          </w:p>
        </w:tc>
      </w:tr>
      <w:tr>
        <w:trPr>
          <w:cantSplit/>
        </w:trPr>
        <w:tc>
          <w:tcPr>
            <w:tcW w:type="dxa" w:w="5102"/>
          </w:tcPr>
          <w:p>
            <w:pPr>
              <w:spacing w:after="0" w:line="240" w:lineRule="auto"/>
            </w:pPr>
            <w:r/>
            <w:r>
              <w:rPr>
                <w:sz w:val="19"/>
              </w:rPr>
              <w:t>Ticket above modelled uses (general project liquidity)</w:t>
            </w:r>
          </w:p>
        </w:tc>
        <w:tc>
          <w:tcPr>
            <w:tcW w:type="dxa" w:w="2041"/>
          </w:tcPr>
          <w:p>
            <w:pPr>
              <w:spacing w:after="0" w:line="240" w:lineRule="auto"/>
              <w:jc w:val="right"/>
            </w:pPr>
            <w:r/>
            <w:r>
              <w:rPr>
                <w:sz w:val="19"/>
              </w:rPr>
              <w:t>12.0</w:t>
            </w:r>
          </w:p>
        </w:tc>
        <w:tc>
          <w:tcPr>
            <w:tcW w:type="dxa" w:w="2098"/>
          </w:tcPr>
          <w:p>
            <w:pPr>
              <w:spacing w:after="0" w:line="240" w:lineRule="auto"/>
              <w:jc w:val="right"/>
            </w:pPr>
            <w:r/>
            <w:r>
              <w:rPr>
                <w:sz w:val="19"/>
              </w:rPr>
            </w:r>
          </w:p>
        </w:tc>
      </w:tr>
      <w:tr>
        <w:trPr>
          <w:cantSplit/>
        </w:trPr>
        <w:tc>
          <w:tcPr>
            <w:tcW w:type="dxa" w:w="5102"/>
            <w:shd w:val="clear" w:color="auto" w:fill="F2F4F7"/>
          </w:tcPr>
          <w:p>
            <w:pPr>
              <w:spacing w:after="0" w:line="240" w:lineRule="auto"/>
            </w:pPr>
            <w:r/>
            <w:r>
              <w:rPr>
                <w:b/>
                <w:sz w:val="19"/>
              </w:rPr>
              <w:t>Total</w:t>
            </w:r>
          </w:p>
        </w:tc>
        <w:tc>
          <w:tcPr>
            <w:tcW w:type="dxa" w:w="2041"/>
            <w:shd w:val="clear" w:color="auto" w:fill="F2F4F7"/>
          </w:tcPr>
          <w:p>
            <w:pPr>
              <w:spacing w:after="0" w:line="240" w:lineRule="auto"/>
              <w:jc w:val="right"/>
            </w:pPr>
            <w:r/>
            <w:r>
              <w:rPr>
                <w:b/>
                <w:sz w:val="19"/>
              </w:rPr>
              <w:t>125.0</w:t>
            </w:r>
          </w:p>
        </w:tc>
        <w:tc>
          <w:tcPr>
            <w:tcW w:type="dxa" w:w="2098"/>
            <w:shd w:val="clear" w:color="auto" w:fill="F2F4F7"/>
          </w:tcPr>
          <w:p>
            <w:pPr>
              <w:spacing w:after="0" w:line="240" w:lineRule="auto"/>
              <w:jc w:val="right"/>
            </w:pPr>
            <w:r/>
            <w:r>
              <w:rPr>
                <w:b/>
                <w:sz w:val="19"/>
              </w:rPr>
            </w:r>
          </w:p>
        </w:tc>
      </w:tr>
    </w:tbl>
    <w:p>
      <w:pPr>
        <w:spacing w:after="80"/>
      </w:pPr>
    </w:p>
    <w:p>
      <w:r>
        <w:rPr>
          <w:b w:val="0"/>
          <w:i/>
        </w:rPr>
        <w:t>The balance of project funding is provided by Jalour sponsor equity, project collections and other capital sources.</w:t>
      </w:r>
    </w:p>
    <w:p>
      <w:r>
        <w:rPr>
          <w:b w:val="0"/>
          <w:i w:val="0"/>
        </w:rPr>
        <w:t>The ticket equals 122% of the modelled peak cumulative shortage of EGP 102.5 million (month 6).</w:t>
      </w:r>
    </w:p>
    <w:tbl>
      <w:tblPr>
        <w:tblW w:type="auto" w:w="0"/>
        <w:jc w:val="center"/>
        <w:tblLayout w:type="fixed"/>
        <w:tblCellMar>
          <w:top w:w="100" w:type="dxa"/>
          <w:left w:w="160" w:type="dxa"/>
          <w:bottom w:w="100" w:type="dxa"/>
          <w:right w:w="160" w:type="dxa"/>
        </w:tblCellMar>
        <w:tblLook w:firstColumn="1" w:firstRow="1" w:lastColumn="0" w:lastRow="0" w:noHBand="0" w:noVBand="1" w:val="04A0"/>
      </w:tblPr>
      <w:tblGrid>
        <w:gridCol w:w="9298"/>
      </w:tblGrid>
      <w:tr>
        <w:tc>
          <w:tcPr>
            <w:tcW w:type="dxa" w:w="9298"/>
            <w:shd w:val="clear" w:color="auto" w:fill="FBF3E4"/>
          </w:tcPr>
          <w:p>
            <w:pPr>
              <w:spacing w:after="0"/>
            </w:pPr>
            <w:r/>
            <w:r>
              <w:rPr>
                <w:b/>
                <w:i w:val="0"/>
                <w:sz w:val="20"/>
              </w:rPr>
              <w:t>Ticket above the modelled peak.</w:t>
            </w:r>
            <w:r>
              <w:rPr>
                <w:b w:val="0"/>
                <w:i w:val="0"/>
                <w:sz w:val="20"/>
              </w:rPr>
              <w:t xml:space="preserve"> The ticket exceeds the modelled peak shortage by EGP 22.5 million (12.0 million above total modelled uses). The excess is general project liquidity, not held in a restricted account. It is available for the timing risk on delivery payments (peak shortage EGP 269 million if they arrive at handover) and for pre-construction cost overruns. Returns are contractual on the full ticket, so Jalour's cost of capital is measured on the full amount.</w:t>
            </w:r>
          </w:p>
        </w:tc>
      </w:tr>
    </w:tbl>
    <w:p>
      <w:pPr>
        <w:spacing w:after="80"/>
      </w:pPr>
    </w:p>
    <w:p>
      <w:pPr>
        <w:pStyle w:val="Heading2"/>
      </w:pPr>
      <w:r>
        <w:t>11.1 Funding gaps in stress cases</w:t>
      </w:r>
    </w:p>
    <w:p>
      <w:pPr>
        <w:keepNext/>
        <w:spacing w:after="60"/>
      </w:pPr>
      <w:r>
        <w:rPr>
          <w:b/>
          <w:color w:val="17324D"/>
          <w:sz w:val="19"/>
        </w:rPr>
        <w:t>Table 16: Project cash position by case,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989"/>
            <w:shd w:val="clear" w:color="auto" w:fill="17324D"/>
          </w:tcPr>
          <w:p>
            <w:pPr>
              <w:spacing w:after="0" w:line="240" w:lineRule="auto"/>
            </w:pPr>
            <w:r/>
            <w:r>
              <w:rPr>
                <w:b/>
                <w:color w:val="FFFFFF"/>
                <w:sz w:val="18"/>
              </w:rPr>
              <w:t>Case</w:t>
            </w:r>
          </w:p>
        </w:tc>
        <w:tc>
          <w:tcPr>
            <w:tcW w:type="dxa" w:w="2268"/>
            <w:shd w:val="clear" w:color="auto" w:fill="17324D"/>
          </w:tcPr>
          <w:p>
            <w:pPr>
              <w:spacing w:after="0" w:line="240" w:lineRule="auto"/>
              <w:jc w:val="right"/>
            </w:pPr>
            <w:r/>
            <w:r>
              <w:rPr>
                <w:b/>
                <w:color w:val="FFFFFF"/>
                <w:sz w:val="18"/>
              </w:rPr>
              <w:t>Peak cumulative shortage (EGP m)</w:t>
            </w:r>
          </w:p>
        </w:tc>
        <w:tc>
          <w:tcPr>
            <w:tcW w:type="dxa" w:w="1984"/>
            <w:shd w:val="clear" w:color="auto" w:fill="17324D"/>
          </w:tcPr>
          <w:p>
            <w:pPr>
              <w:spacing w:after="0" w:line="240" w:lineRule="auto"/>
              <w:jc w:val="right"/>
            </w:pPr>
            <w:r/>
            <w:r>
              <w:rPr>
                <w:b/>
                <w:color w:val="FFFFFF"/>
                <w:sz w:val="18"/>
              </w:rPr>
              <w:t>NPV (EGP m)</w:t>
            </w:r>
          </w:p>
        </w:tc>
      </w:tr>
      <w:tr>
        <w:trPr>
          <w:cantSplit/>
        </w:trPr>
        <w:tc>
          <w:tcPr>
            <w:tcW w:type="dxa" w:w="4989"/>
          </w:tcPr>
          <w:p>
            <w:pPr>
              <w:spacing w:after="0" w:line="240" w:lineRule="auto"/>
            </w:pPr>
            <w:r/>
            <w:r>
              <w:rPr>
                <w:sz w:val="18"/>
              </w:rPr>
              <w:t>Base case</w:t>
            </w:r>
          </w:p>
        </w:tc>
        <w:tc>
          <w:tcPr>
            <w:tcW w:type="dxa" w:w="2268"/>
          </w:tcPr>
          <w:p>
            <w:pPr>
              <w:spacing w:after="0" w:line="240" w:lineRule="auto"/>
              <w:jc w:val="right"/>
            </w:pPr>
            <w:r/>
            <w:r>
              <w:rPr>
                <w:sz w:val="18"/>
              </w:rPr>
              <w:t>102</w:t>
            </w:r>
          </w:p>
        </w:tc>
        <w:tc>
          <w:tcPr>
            <w:tcW w:type="dxa" w:w="1984"/>
          </w:tcPr>
          <w:p>
            <w:pPr>
              <w:spacing w:after="0" w:line="240" w:lineRule="auto"/>
              <w:jc w:val="right"/>
            </w:pPr>
            <w:r/>
            <w:r>
              <w:rPr>
                <w:sz w:val="18"/>
              </w:rPr>
              <w:t>215</w:t>
            </w:r>
          </w:p>
        </w:tc>
      </w:tr>
      <w:tr>
        <w:trPr>
          <w:cantSplit/>
        </w:trPr>
        <w:tc>
          <w:tcPr>
            <w:tcW w:type="dxa" w:w="4989"/>
            <w:shd w:val="clear" w:color="auto" w:fill="F2F4F7"/>
          </w:tcPr>
          <w:p>
            <w:pPr>
              <w:spacing w:after="0" w:line="240" w:lineRule="auto"/>
            </w:pPr>
            <w:r/>
            <w:r>
              <w:rPr>
                <w:sz w:val="18"/>
              </w:rPr>
              <w:t>Downside: sales +12 months, prices -10%</w:t>
            </w:r>
          </w:p>
        </w:tc>
        <w:tc>
          <w:tcPr>
            <w:tcW w:type="dxa" w:w="2268"/>
            <w:shd w:val="clear" w:color="auto" w:fill="F2F4F7"/>
          </w:tcPr>
          <w:p>
            <w:pPr>
              <w:spacing w:after="0" w:line="240" w:lineRule="auto"/>
              <w:jc w:val="right"/>
            </w:pPr>
            <w:r/>
            <w:r>
              <w:rPr>
                <w:sz w:val="18"/>
              </w:rPr>
              <w:t>441</w:t>
            </w:r>
          </w:p>
        </w:tc>
        <w:tc>
          <w:tcPr>
            <w:tcW w:type="dxa" w:w="1984"/>
            <w:shd w:val="clear" w:color="auto" w:fill="F2F4F7"/>
          </w:tcPr>
          <w:p>
            <w:pPr>
              <w:spacing w:after="0" w:line="240" w:lineRule="auto"/>
              <w:jc w:val="right"/>
            </w:pPr>
            <w:r/>
            <w:r>
              <w:rPr>
                <w:sz w:val="18"/>
              </w:rPr>
              <w:t>-34</w:t>
            </w:r>
          </w:p>
        </w:tc>
      </w:tr>
      <w:tr>
        <w:trPr>
          <w:cantSplit/>
        </w:trPr>
        <w:tc>
          <w:tcPr>
            <w:tcW w:type="dxa" w:w="4989"/>
          </w:tcPr>
          <w:p>
            <w:pPr>
              <w:spacing w:after="0" w:line="240" w:lineRule="auto"/>
            </w:pPr>
            <w:r/>
            <w:r>
              <w:rPr>
                <w:sz w:val="18"/>
              </w:rPr>
              <w:t>Upside: prices +10%</w:t>
            </w:r>
          </w:p>
        </w:tc>
        <w:tc>
          <w:tcPr>
            <w:tcW w:type="dxa" w:w="2268"/>
          </w:tcPr>
          <w:p>
            <w:pPr>
              <w:spacing w:after="0" w:line="240" w:lineRule="auto"/>
              <w:jc w:val="right"/>
            </w:pPr>
            <w:r/>
            <w:r>
              <w:rPr>
                <w:sz w:val="18"/>
              </w:rPr>
              <w:t>102</w:t>
            </w:r>
          </w:p>
        </w:tc>
        <w:tc>
          <w:tcPr>
            <w:tcW w:type="dxa" w:w="1984"/>
          </w:tcPr>
          <w:p>
            <w:pPr>
              <w:spacing w:after="0" w:line="240" w:lineRule="auto"/>
              <w:jc w:val="right"/>
            </w:pPr>
            <w:r/>
            <w:r>
              <w:rPr>
                <w:sz w:val="18"/>
              </w:rPr>
              <w:t>315</w:t>
            </w:r>
          </w:p>
        </w:tc>
      </w:tr>
      <w:tr>
        <w:trPr>
          <w:cantSplit/>
        </w:trPr>
        <w:tc>
          <w:tcPr>
            <w:tcW w:type="dxa" w:w="4989"/>
            <w:shd w:val="clear" w:color="auto" w:fill="F2F4F7"/>
          </w:tcPr>
          <w:p>
            <w:pPr>
              <w:spacing w:after="0" w:line="240" w:lineRule="auto"/>
            </w:pPr>
            <w:r/>
            <w:r>
              <w:rPr>
                <w:sz w:val="18"/>
              </w:rPr>
              <w:t>Construction cost +10%</w:t>
            </w:r>
          </w:p>
        </w:tc>
        <w:tc>
          <w:tcPr>
            <w:tcW w:type="dxa" w:w="2268"/>
            <w:shd w:val="clear" w:color="auto" w:fill="F2F4F7"/>
          </w:tcPr>
          <w:p>
            <w:pPr>
              <w:spacing w:after="0" w:line="240" w:lineRule="auto"/>
              <w:jc w:val="right"/>
            </w:pPr>
            <w:r/>
            <w:r>
              <w:rPr>
                <w:sz w:val="18"/>
              </w:rPr>
              <w:t>102</w:t>
            </w:r>
          </w:p>
        </w:tc>
        <w:tc>
          <w:tcPr>
            <w:tcW w:type="dxa" w:w="1984"/>
            <w:shd w:val="clear" w:color="auto" w:fill="F2F4F7"/>
          </w:tcPr>
          <w:p>
            <w:pPr>
              <w:spacing w:after="0" w:line="240" w:lineRule="auto"/>
              <w:jc w:val="right"/>
            </w:pPr>
            <w:r/>
            <w:r>
              <w:rPr>
                <w:sz w:val="18"/>
              </w:rPr>
              <w:t>162</w:t>
            </w:r>
          </w:p>
        </w:tc>
      </w:tr>
      <w:tr>
        <w:trPr>
          <w:cantSplit/>
        </w:trPr>
        <w:tc>
          <w:tcPr>
            <w:tcW w:type="dxa" w:w="4989"/>
          </w:tcPr>
          <w:p>
            <w:pPr>
              <w:spacing w:after="0" w:line="240" w:lineRule="auto"/>
            </w:pPr>
            <w:r/>
            <w:r>
              <w:rPr>
                <w:sz w:val="18"/>
              </w:rPr>
              <w:t>Collections slip 2 quarters</w:t>
            </w:r>
          </w:p>
        </w:tc>
        <w:tc>
          <w:tcPr>
            <w:tcW w:type="dxa" w:w="2268"/>
          </w:tcPr>
          <w:p>
            <w:pPr>
              <w:spacing w:after="0" w:line="240" w:lineRule="auto"/>
              <w:jc w:val="right"/>
            </w:pPr>
            <w:r/>
            <w:r>
              <w:rPr>
                <w:sz w:val="18"/>
              </w:rPr>
              <w:t>236</w:t>
            </w:r>
          </w:p>
        </w:tc>
        <w:tc>
          <w:tcPr>
            <w:tcW w:type="dxa" w:w="1984"/>
          </w:tcPr>
          <w:p>
            <w:pPr>
              <w:spacing w:after="0" w:line="240" w:lineRule="auto"/>
              <w:jc w:val="right"/>
            </w:pPr>
            <w:r/>
            <w:r>
              <w:rPr>
                <w:sz w:val="18"/>
              </w:rPr>
              <w:t>125</w:t>
            </w:r>
          </w:p>
        </w:tc>
      </w:tr>
      <w:tr>
        <w:trPr>
          <w:cantSplit/>
        </w:trPr>
        <w:tc>
          <w:tcPr>
            <w:tcW w:type="dxa" w:w="4989"/>
            <w:shd w:val="clear" w:color="auto" w:fill="F2F4F7"/>
          </w:tcPr>
          <w:p>
            <w:pPr>
              <w:spacing w:after="0" w:line="240" w:lineRule="auto"/>
            </w:pPr>
            <w:r/>
            <w:r>
              <w:rPr>
                <w:sz w:val="18"/>
              </w:rPr>
              <w:t>Delivery payments at handover</w:t>
            </w:r>
          </w:p>
        </w:tc>
        <w:tc>
          <w:tcPr>
            <w:tcW w:type="dxa" w:w="2268"/>
            <w:shd w:val="clear" w:color="auto" w:fill="F2F4F7"/>
          </w:tcPr>
          <w:p>
            <w:pPr>
              <w:spacing w:after="0" w:line="240" w:lineRule="auto"/>
              <w:jc w:val="right"/>
            </w:pPr>
            <w:r/>
            <w:r>
              <w:rPr>
                <w:sz w:val="18"/>
              </w:rPr>
              <w:t>269</w:t>
            </w:r>
          </w:p>
        </w:tc>
        <w:tc>
          <w:tcPr>
            <w:tcW w:type="dxa" w:w="1984"/>
            <w:shd w:val="clear" w:color="auto" w:fill="F2F4F7"/>
          </w:tcPr>
          <w:p>
            <w:pPr>
              <w:spacing w:after="0" w:line="240" w:lineRule="auto"/>
              <w:jc w:val="right"/>
            </w:pPr>
            <w:r/>
            <w:r>
              <w:rPr>
                <w:sz w:val="18"/>
              </w:rPr>
              <w:t>155</w:t>
            </w:r>
          </w:p>
        </w:tc>
      </w:tr>
      <w:tr>
        <w:trPr>
          <w:cantSplit/>
        </w:trPr>
        <w:tc>
          <w:tcPr>
            <w:tcW w:type="dxa" w:w="4989"/>
          </w:tcPr>
          <w:p>
            <w:pPr>
              <w:spacing w:after="0" w:line="240" w:lineRule="auto"/>
            </w:pPr>
            <w:r/>
            <w:r>
              <w:rPr>
                <w:sz w:val="18"/>
              </w:rPr>
              <w:t>Handover payments and downside combined</w:t>
            </w:r>
          </w:p>
        </w:tc>
        <w:tc>
          <w:tcPr>
            <w:tcW w:type="dxa" w:w="2268"/>
          </w:tcPr>
          <w:p>
            <w:pPr>
              <w:spacing w:after="0" w:line="240" w:lineRule="auto"/>
              <w:jc w:val="right"/>
            </w:pPr>
            <w:r/>
            <w:r>
              <w:rPr>
                <w:sz w:val="18"/>
              </w:rPr>
              <w:t>729</w:t>
            </w:r>
          </w:p>
        </w:tc>
        <w:tc>
          <w:tcPr>
            <w:tcW w:type="dxa" w:w="1984"/>
          </w:tcPr>
          <w:p>
            <w:pPr>
              <w:spacing w:after="0" w:line="240" w:lineRule="auto"/>
              <w:jc w:val="right"/>
            </w:pPr>
            <w:r/>
            <w:r>
              <w:rPr>
                <w:sz w:val="18"/>
              </w:rPr>
              <w:t>-81</w:t>
            </w:r>
          </w:p>
        </w:tc>
      </w:tr>
    </w:tbl>
    <w:p>
      <w:pPr>
        <w:spacing w:after="80"/>
      </w:pPr>
    </w:p>
    <w:p>
      <w:r>
        <w:rPr>
          <w:b w:val="0"/>
          <w:i w:val="0"/>
        </w:rPr>
        <w:t>Jalour will fund the gap between project cash and the cases above from its cash reserves and from cash generated by other projects it is constructing; it does not expect the investor to fund it. The investor should note that in the downside and combined cases the funding need is several times the ticket and depends on Jalour's capacity to provide it.</w:t>
      </w:r>
    </w:p>
    <w:p>
      <w:pPr>
        <w:pStyle w:val="Heading2"/>
      </w:pPr>
      <w:r>
        <w:t>11.2 Sponsor-level view: both projects together</w:t>
      </w:r>
    </w:p>
    <w:p>
      <w:r>
        <w:rPr>
          <w:b w:val="0"/>
          <w:i w:val="0"/>
        </w:rPr>
        <w:t>Jalour has said it will cover project funding gaps from its cash reserves and from cash generated by other projects it is constructing. To show what that means in numbers, this section sets Green Square beside L'avenir, Jalour's other project in this model, before any investor instrument. The figures are projections from the same Jalour model. They cover these two projects only; Jalour's cash reserves and its other projects are not included.</w:t>
      </w:r>
    </w:p>
    <w:p>
      <w:pPr>
        <w:keepNext/>
        <w:spacing w:after="60"/>
      </w:pPr>
      <w:r>
        <w:rPr>
          <w:b/>
          <w:color w:val="17324D"/>
          <w:sz w:val="19"/>
        </w:rPr>
        <w:t>Table 17: The two projects side by side (base case)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535"/>
            <w:shd w:val="clear" w:color="auto" w:fill="17324D"/>
          </w:tcPr>
          <w:p>
            <w:pPr>
              <w:spacing w:after="0" w:line="240" w:lineRule="auto"/>
            </w:pPr>
            <w:r/>
            <w:r>
              <w:rPr>
                <w:b/>
                <w:color w:val="FFFFFF"/>
                <w:sz w:val="19"/>
              </w:rPr>
              <w:t>EGP million</w:t>
            </w:r>
          </w:p>
        </w:tc>
        <w:tc>
          <w:tcPr>
            <w:tcW w:type="dxa" w:w="2381"/>
            <w:shd w:val="clear" w:color="auto" w:fill="17324D"/>
          </w:tcPr>
          <w:p>
            <w:pPr>
              <w:spacing w:after="0" w:line="240" w:lineRule="auto"/>
              <w:jc w:val="right"/>
            </w:pPr>
            <w:r/>
            <w:r>
              <w:rPr>
                <w:b/>
                <w:color w:val="FFFFFF"/>
                <w:sz w:val="19"/>
              </w:rPr>
              <w:t>Green Square</w:t>
            </w:r>
          </w:p>
        </w:tc>
        <w:tc>
          <w:tcPr>
            <w:tcW w:type="dxa" w:w="2324"/>
            <w:shd w:val="clear" w:color="auto" w:fill="17324D"/>
          </w:tcPr>
          <w:p>
            <w:pPr>
              <w:spacing w:after="0" w:line="240" w:lineRule="auto"/>
              <w:jc w:val="right"/>
            </w:pPr>
            <w:r/>
            <w:r>
              <w:rPr>
                <w:b/>
                <w:color w:val="FFFFFF"/>
                <w:sz w:val="19"/>
              </w:rPr>
              <w:t>L'avenir</w:t>
            </w:r>
          </w:p>
        </w:tc>
      </w:tr>
      <w:tr>
        <w:trPr>
          <w:cantSplit/>
        </w:trPr>
        <w:tc>
          <w:tcPr>
            <w:tcW w:type="dxa" w:w="4535"/>
          </w:tcPr>
          <w:p>
            <w:pPr>
              <w:spacing w:after="0" w:line="240" w:lineRule="auto"/>
            </w:pPr>
            <w:r/>
            <w:r>
              <w:rPr>
                <w:sz w:val="19"/>
              </w:rPr>
              <w:t>Handover (project month)</w:t>
            </w:r>
          </w:p>
        </w:tc>
        <w:tc>
          <w:tcPr>
            <w:tcW w:type="dxa" w:w="2381"/>
          </w:tcPr>
          <w:p>
            <w:pPr>
              <w:spacing w:after="0" w:line="240" w:lineRule="auto"/>
              <w:jc w:val="right"/>
            </w:pPr>
            <w:r/>
            <w:r>
              <w:rPr>
                <w:sz w:val="19"/>
              </w:rPr>
              <w:t>48</w:t>
            </w:r>
          </w:p>
        </w:tc>
        <w:tc>
          <w:tcPr>
            <w:tcW w:type="dxa" w:w="2324"/>
          </w:tcPr>
          <w:p>
            <w:pPr>
              <w:spacing w:after="0" w:line="240" w:lineRule="auto"/>
              <w:jc w:val="right"/>
            </w:pPr>
            <w:r/>
            <w:r>
              <w:rPr>
                <w:sz w:val="19"/>
              </w:rPr>
              <w:t>54</w:t>
            </w:r>
          </w:p>
        </w:tc>
      </w:tr>
      <w:tr>
        <w:trPr>
          <w:cantSplit/>
        </w:trPr>
        <w:tc>
          <w:tcPr>
            <w:tcW w:type="dxa" w:w="4535"/>
            <w:shd w:val="clear" w:color="auto" w:fill="F2F4F7"/>
          </w:tcPr>
          <w:p>
            <w:pPr>
              <w:spacing w:after="0" w:line="240" w:lineRule="auto"/>
            </w:pPr>
            <w:r/>
            <w:r>
              <w:rPr>
                <w:sz w:val="19"/>
              </w:rPr>
              <w:t>Landlord minimum guarantee</w:t>
            </w:r>
          </w:p>
        </w:tc>
        <w:tc>
          <w:tcPr>
            <w:tcW w:type="dxa" w:w="2381"/>
            <w:shd w:val="clear" w:color="auto" w:fill="F2F4F7"/>
          </w:tcPr>
          <w:p>
            <w:pPr>
              <w:spacing w:after="0" w:line="240" w:lineRule="auto"/>
              <w:jc w:val="right"/>
            </w:pPr>
            <w:r/>
            <w:r>
              <w:rPr>
                <w:sz w:val="19"/>
              </w:rPr>
              <w:t>800</w:t>
            </w:r>
          </w:p>
        </w:tc>
        <w:tc>
          <w:tcPr>
            <w:tcW w:type="dxa" w:w="2324"/>
            <w:shd w:val="clear" w:color="auto" w:fill="F2F4F7"/>
          </w:tcPr>
          <w:p>
            <w:pPr>
              <w:spacing w:after="0" w:line="240" w:lineRule="auto"/>
              <w:jc w:val="right"/>
            </w:pPr>
            <w:r/>
            <w:r>
              <w:rPr>
                <w:sz w:val="19"/>
              </w:rPr>
              <w:t>850</w:t>
            </w:r>
          </w:p>
        </w:tc>
      </w:tr>
      <w:tr>
        <w:trPr>
          <w:cantSplit/>
        </w:trPr>
        <w:tc>
          <w:tcPr>
            <w:tcW w:type="dxa" w:w="4535"/>
          </w:tcPr>
          <w:p>
            <w:pPr>
              <w:spacing w:after="0" w:line="240" w:lineRule="auto"/>
            </w:pPr>
            <w:r/>
            <w:r>
              <w:rPr>
                <w:sz w:val="19"/>
              </w:rPr>
              <w:t>Sales plan, 80% of units</w:t>
            </w:r>
          </w:p>
        </w:tc>
        <w:tc>
          <w:tcPr>
            <w:tcW w:type="dxa" w:w="2381"/>
          </w:tcPr>
          <w:p>
            <w:pPr>
              <w:spacing w:after="0" w:line="240" w:lineRule="auto"/>
              <w:jc w:val="right"/>
            </w:pPr>
            <w:r/>
            <w:r>
              <w:rPr>
                <w:sz w:val="19"/>
              </w:rPr>
              <w:t>2,253</w:t>
            </w:r>
          </w:p>
        </w:tc>
        <w:tc>
          <w:tcPr>
            <w:tcW w:type="dxa" w:w="2324"/>
          </w:tcPr>
          <w:p>
            <w:pPr>
              <w:spacing w:after="0" w:line="240" w:lineRule="auto"/>
              <w:jc w:val="right"/>
            </w:pPr>
            <w:r/>
            <w:r>
              <w:rPr>
                <w:sz w:val="19"/>
              </w:rPr>
              <w:t>2,674</w:t>
            </w:r>
          </w:p>
        </w:tc>
      </w:tr>
      <w:tr>
        <w:trPr>
          <w:cantSplit/>
        </w:trPr>
        <w:tc>
          <w:tcPr>
            <w:tcW w:type="dxa" w:w="4535"/>
            <w:shd w:val="clear" w:color="auto" w:fill="F2F4F7"/>
          </w:tcPr>
          <w:p>
            <w:pPr>
              <w:spacing w:after="0" w:line="240" w:lineRule="auto"/>
            </w:pPr>
            <w:r/>
            <w:r>
              <w:rPr>
                <w:sz w:val="19"/>
              </w:rPr>
              <w:t>Collections</w:t>
            </w:r>
          </w:p>
        </w:tc>
        <w:tc>
          <w:tcPr>
            <w:tcW w:type="dxa" w:w="2381"/>
            <w:shd w:val="clear" w:color="auto" w:fill="F2F4F7"/>
          </w:tcPr>
          <w:p>
            <w:pPr>
              <w:spacing w:after="0" w:line="240" w:lineRule="auto"/>
              <w:jc w:val="right"/>
            </w:pPr>
            <w:r/>
            <w:r>
              <w:rPr>
                <w:sz w:val="19"/>
              </w:rPr>
              <w:t>2,253.0</w:t>
            </w:r>
          </w:p>
        </w:tc>
        <w:tc>
          <w:tcPr>
            <w:tcW w:type="dxa" w:w="2324"/>
            <w:shd w:val="clear" w:color="auto" w:fill="F2F4F7"/>
          </w:tcPr>
          <w:p>
            <w:pPr>
              <w:spacing w:after="0" w:line="240" w:lineRule="auto"/>
              <w:jc w:val="right"/>
            </w:pPr>
            <w:r/>
            <w:r>
              <w:rPr>
                <w:sz w:val="19"/>
              </w:rPr>
              <w:t>2,673.7</w:t>
            </w:r>
          </w:p>
        </w:tc>
      </w:tr>
      <w:tr>
        <w:trPr>
          <w:cantSplit/>
        </w:trPr>
        <w:tc>
          <w:tcPr>
            <w:tcW w:type="dxa" w:w="4535"/>
          </w:tcPr>
          <w:p>
            <w:pPr>
              <w:spacing w:after="0" w:line="240" w:lineRule="auto"/>
            </w:pPr>
            <w:r/>
            <w:r>
              <w:rPr>
                <w:sz w:val="19"/>
              </w:rPr>
              <w:t>Landlord payments</w:t>
            </w:r>
          </w:p>
        </w:tc>
        <w:tc>
          <w:tcPr>
            <w:tcW w:type="dxa" w:w="2381"/>
          </w:tcPr>
          <w:p>
            <w:pPr>
              <w:spacing w:after="0" w:line="240" w:lineRule="auto"/>
              <w:jc w:val="right"/>
            </w:pPr>
            <w:r/>
            <w:r>
              <w:rPr>
                <w:sz w:val="19"/>
              </w:rPr>
              <w:t>985.7</w:t>
            </w:r>
          </w:p>
        </w:tc>
        <w:tc>
          <w:tcPr>
            <w:tcW w:type="dxa" w:w="2324"/>
          </w:tcPr>
          <w:p>
            <w:pPr>
              <w:spacing w:after="0" w:line="240" w:lineRule="auto"/>
              <w:jc w:val="right"/>
            </w:pPr>
            <w:r/>
            <w:r>
              <w:rPr>
                <w:sz w:val="19"/>
              </w:rPr>
              <w:t>1,169.8</w:t>
            </w:r>
          </w:p>
        </w:tc>
      </w:tr>
      <w:tr>
        <w:trPr>
          <w:cantSplit/>
        </w:trPr>
        <w:tc>
          <w:tcPr>
            <w:tcW w:type="dxa" w:w="4535"/>
            <w:shd w:val="clear" w:color="auto" w:fill="F2F4F7"/>
          </w:tcPr>
          <w:p>
            <w:pPr>
              <w:spacing w:after="0" w:line="240" w:lineRule="auto"/>
            </w:pPr>
            <w:r/>
            <w:r>
              <w:rPr>
                <w:sz w:val="19"/>
              </w:rPr>
              <w:t>Construction, commission and SG&amp;A</w:t>
            </w:r>
          </w:p>
        </w:tc>
        <w:tc>
          <w:tcPr>
            <w:tcW w:type="dxa" w:w="2381"/>
            <w:shd w:val="clear" w:color="auto" w:fill="F2F4F7"/>
          </w:tcPr>
          <w:p>
            <w:pPr>
              <w:spacing w:after="0" w:line="240" w:lineRule="auto"/>
              <w:jc w:val="right"/>
            </w:pPr>
            <w:r/>
            <w:r>
              <w:rPr>
                <w:sz w:val="19"/>
              </w:rPr>
              <w:t>891.9</w:t>
            </w:r>
          </w:p>
        </w:tc>
        <w:tc>
          <w:tcPr>
            <w:tcW w:type="dxa" w:w="2324"/>
            <w:shd w:val="clear" w:color="auto" w:fill="F2F4F7"/>
          </w:tcPr>
          <w:p>
            <w:pPr>
              <w:spacing w:after="0" w:line="240" w:lineRule="auto"/>
              <w:jc w:val="right"/>
            </w:pPr>
            <w:r/>
            <w:r>
              <w:rPr>
                <w:sz w:val="19"/>
              </w:rPr>
              <w:t>908.7</w:t>
            </w:r>
          </w:p>
        </w:tc>
      </w:tr>
      <w:tr>
        <w:trPr>
          <w:cantSplit/>
        </w:trPr>
        <w:tc>
          <w:tcPr>
            <w:tcW w:type="dxa" w:w="4535"/>
          </w:tcPr>
          <w:p>
            <w:pPr>
              <w:spacing w:after="0" w:line="240" w:lineRule="auto"/>
            </w:pPr>
            <w:r/>
            <w:r>
              <w:rPr>
                <w:sz w:val="19"/>
              </w:rPr>
              <w:t>Net cash flow, nominal</w:t>
            </w:r>
          </w:p>
        </w:tc>
        <w:tc>
          <w:tcPr>
            <w:tcW w:type="dxa" w:w="2381"/>
          </w:tcPr>
          <w:p>
            <w:pPr>
              <w:spacing w:after="0" w:line="240" w:lineRule="auto"/>
              <w:jc w:val="right"/>
            </w:pPr>
            <w:r/>
            <w:r>
              <w:rPr>
                <w:sz w:val="19"/>
              </w:rPr>
              <w:t>375.4</w:t>
            </w:r>
          </w:p>
        </w:tc>
        <w:tc>
          <w:tcPr>
            <w:tcW w:type="dxa" w:w="2324"/>
          </w:tcPr>
          <w:p>
            <w:pPr>
              <w:spacing w:after="0" w:line="240" w:lineRule="auto"/>
              <w:jc w:val="right"/>
            </w:pPr>
            <w:r/>
            <w:r>
              <w:rPr>
                <w:sz w:val="19"/>
              </w:rPr>
              <w:t>595.3</w:t>
            </w:r>
          </w:p>
        </w:tc>
      </w:tr>
      <w:tr>
        <w:trPr>
          <w:cantSplit/>
        </w:trPr>
        <w:tc>
          <w:tcPr>
            <w:tcW w:type="dxa" w:w="4535"/>
            <w:shd w:val="clear" w:color="auto" w:fill="F2F4F7"/>
          </w:tcPr>
          <w:p>
            <w:pPr>
              <w:spacing w:after="0" w:line="240" w:lineRule="auto"/>
            </w:pPr>
            <w:r/>
            <w:r>
              <w:rPr>
                <w:sz w:val="19"/>
              </w:rPr>
              <w:t>NPV at 14%</w:t>
            </w:r>
          </w:p>
        </w:tc>
        <w:tc>
          <w:tcPr>
            <w:tcW w:type="dxa" w:w="2381"/>
            <w:shd w:val="clear" w:color="auto" w:fill="F2F4F7"/>
          </w:tcPr>
          <w:p>
            <w:pPr>
              <w:spacing w:after="0" w:line="240" w:lineRule="auto"/>
              <w:jc w:val="right"/>
            </w:pPr>
            <w:r/>
            <w:r>
              <w:rPr>
                <w:sz w:val="19"/>
              </w:rPr>
              <w:t>215.3</w:t>
            </w:r>
          </w:p>
        </w:tc>
        <w:tc>
          <w:tcPr>
            <w:tcW w:type="dxa" w:w="2324"/>
            <w:shd w:val="clear" w:color="auto" w:fill="F2F4F7"/>
          </w:tcPr>
          <w:p>
            <w:pPr>
              <w:spacing w:after="0" w:line="240" w:lineRule="auto"/>
              <w:jc w:val="right"/>
            </w:pPr>
            <w:r/>
            <w:r>
              <w:rPr>
                <w:sz w:val="19"/>
              </w:rPr>
              <w:t>307.5</w:t>
            </w:r>
          </w:p>
        </w:tc>
      </w:tr>
      <w:tr>
        <w:trPr>
          <w:cantSplit/>
        </w:trPr>
        <w:tc>
          <w:tcPr>
            <w:tcW w:type="dxa" w:w="4535"/>
          </w:tcPr>
          <w:p>
            <w:pPr>
              <w:spacing w:after="0" w:line="240" w:lineRule="auto"/>
            </w:pPr>
            <w:r/>
            <w:r>
              <w:rPr>
                <w:sz w:val="19"/>
              </w:rPr>
              <w:t>Peak cumulative shortage (month)</w:t>
            </w:r>
          </w:p>
        </w:tc>
        <w:tc>
          <w:tcPr>
            <w:tcW w:type="dxa" w:w="2381"/>
          </w:tcPr>
          <w:p>
            <w:pPr>
              <w:spacing w:after="0" w:line="240" w:lineRule="auto"/>
              <w:jc w:val="right"/>
            </w:pPr>
            <w:r/>
            <w:r>
              <w:rPr>
                <w:sz w:val="19"/>
              </w:rPr>
              <w:t>102.5 (6)</w:t>
            </w:r>
          </w:p>
        </w:tc>
        <w:tc>
          <w:tcPr>
            <w:tcW w:type="dxa" w:w="2324"/>
          </w:tcPr>
          <w:p>
            <w:pPr>
              <w:spacing w:after="0" w:line="240" w:lineRule="auto"/>
              <w:jc w:val="right"/>
            </w:pPr>
            <w:r/>
            <w:r>
              <w:rPr>
                <w:sz w:val="19"/>
              </w:rPr>
              <w:t>102.0 (30)</w:t>
            </w:r>
          </w:p>
        </w:tc>
      </w:tr>
    </w:tbl>
    <w:p>
      <w:pPr>
        <w:spacing w:after="80"/>
      </w:pPr>
    </w:p>
    <w:p>
      <w:pPr>
        <w:keepNext/>
        <w:jc w:val="center"/>
      </w:pPr>
      <w:r>
        <w:drawing>
          <wp:inline xmlns:a="http://schemas.openxmlformats.org/drawingml/2006/main" xmlns:pic="http://schemas.openxmlformats.org/drawingml/2006/picture">
            <wp:extent cx="5580000" cy="2635000"/>
            <wp:docPr id="3" name="Picture 3"/>
            <wp:cNvGraphicFramePr>
              <a:graphicFrameLocks noChangeAspect="1"/>
            </wp:cNvGraphicFramePr>
            <a:graphic>
              <a:graphicData uri="http://schemas.openxmlformats.org/drawingml/2006/picture">
                <pic:pic>
                  <pic:nvPicPr>
                    <pic:cNvPr id="0" name="fig_comb.png"/>
                    <pic:cNvPicPr/>
                  </pic:nvPicPr>
                  <pic:blipFill>
                    <a:blip r:embed="rId13"/>
                    <a:stretch>
                      <a:fillRect/>
                    </a:stretch>
                  </pic:blipFill>
                  <pic:spPr>
                    <a:xfrm>
                      <a:off x="0" y="0"/>
                      <a:ext cx="5580000" cy="2635000"/>
                    </a:xfrm>
                    <a:prstGeom prst="rect"/>
                  </pic:spPr>
                </pic:pic>
              </a:graphicData>
            </a:graphic>
          </wp:inline>
        </w:drawing>
      </w:r>
    </w:p>
    <w:p>
      <w:pPr>
        <w:jc w:val="center"/>
      </w:pPr>
      <w:r>
        <w:rPr>
          <w:b/>
          <w:color w:val="17324D"/>
          <w:sz w:val="18"/>
        </w:rPr>
        <w:t xml:space="preserve">Figure 3: Cumulative net cash flow of the two projects and combined. </w:t>
      </w:r>
      <w:r>
        <w:rPr>
          <w:i/>
          <w:color w:val="6B7280"/>
          <w:sz w:val="18"/>
        </w:rPr>
        <w:t>Source: Jalour financial model; Financial Annex, Combined_Position sheet</w:t>
      </w:r>
    </w:p>
    <w:p>
      <w:pPr>
        <w:keepNext/>
        <w:spacing w:after="60"/>
      </w:pPr>
      <w:r>
        <w:rPr>
          <w:b/>
          <w:color w:val="17324D"/>
          <w:sz w:val="19"/>
        </w:rPr>
        <w:t>Table 18: Peak shortage by case, each project and combined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4082"/>
            <w:shd w:val="clear" w:color="auto" w:fill="17324D"/>
          </w:tcPr>
          <w:p>
            <w:pPr>
              <w:spacing w:after="0" w:line="240" w:lineRule="auto"/>
            </w:pPr>
            <w:r/>
            <w:r>
              <w:rPr>
                <w:b/>
                <w:color w:val="FFFFFF"/>
                <w:sz w:val="18"/>
              </w:rPr>
              <w:t>Peak cumulative shortage (EGP million)</w:t>
            </w:r>
          </w:p>
        </w:tc>
        <w:tc>
          <w:tcPr>
            <w:tcW w:type="dxa" w:w="1361"/>
            <w:shd w:val="clear" w:color="auto" w:fill="17324D"/>
          </w:tcPr>
          <w:p>
            <w:pPr>
              <w:spacing w:after="0" w:line="240" w:lineRule="auto"/>
              <w:jc w:val="right"/>
            </w:pPr>
            <w:r/>
            <w:r>
              <w:rPr>
                <w:b/>
                <w:color w:val="FFFFFF"/>
                <w:sz w:val="18"/>
              </w:rPr>
              <w:t>Green Square</w:t>
            </w:r>
          </w:p>
        </w:tc>
        <w:tc>
          <w:tcPr>
            <w:tcW w:type="dxa" w:w="1361"/>
            <w:shd w:val="clear" w:color="auto" w:fill="17324D"/>
          </w:tcPr>
          <w:p>
            <w:pPr>
              <w:spacing w:after="0" w:line="240" w:lineRule="auto"/>
              <w:jc w:val="right"/>
            </w:pPr>
            <w:r/>
            <w:r>
              <w:rPr>
                <w:b/>
                <w:color w:val="FFFFFF"/>
                <w:sz w:val="18"/>
              </w:rPr>
              <w:t>L'avenir</w:t>
            </w:r>
          </w:p>
        </w:tc>
        <w:tc>
          <w:tcPr>
            <w:tcW w:type="dxa" w:w="1247"/>
            <w:shd w:val="clear" w:color="auto" w:fill="17324D"/>
          </w:tcPr>
          <w:p>
            <w:pPr>
              <w:spacing w:after="0" w:line="240" w:lineRule="auto"/>
              <w:jc w:val="right"/>
            </w:pPr>
            <w:r/>
            <w:r>
              <w:rPr>
                <w:b/>
                <w:color w:val="FFFFFF"/>
                <w:sz w:val="18"/>
              </w:rPr>
              <w:t>Combined</w:t>
            </w:r>
          </w:p>
        </w:tc>
        <w:tc>
          <w:tcPr>
            <w:tcW w:type="dxa" w:w="1191"/>
            <w:shd w:val="clear" w:color="auto" w:fill="17324D"/>
          </w:tcPr>
          <w:p>
            <w:pPr>
              <w:spacing w:after="0" w:line="240" w:lineRule="auto"/>
              <w:jc w:val="right"/>
            </w:pPr>
            <w:r/>
            <w:r>
              <w:rPr>
                <w:b/>
                <w:color w:val="FFFFFF"/>
                <w:sz w:val="18"/>
              </w:rPr>
              <w:t>Month of combined peak</w:t>
            </w:r>
          </w:p>
        </w:tc>
      </w:tr>
      <w:tr>
        <w:trPr>
          <w:cantSplit/>
        </w:trPr>
        <w:tc>
          <w:tcPr>
            <w:tcW w:type="dxa" w:w="4082"/>
          </w:tcPr>
          <w:p>
            <w:pPr>
              <w:spacing w:after="0" w:line="240" w:lineRule="auto"/>
            </w:pPr>
            <w:r/>
            <w:r>
              <w:rPr>
                <w:sz w:val="18"/>
              </w:rPr>
              <w:t>Base case</w:t>
            </w:r>
          </w:p>
        </w:tc>
        <w:tc>
          <w:tcPr>
            <w:tcW w:type="dxa" w:w="1361"/>
          </w:tcPr>
          <w:p>
            <w:pPr>
              <w:spacing w:after="0" w:line="240" w:lineRule="auto"/>
              <w:jc w:val="right"/>
            </w:pPr>
            <w:r/>
            <w:r>
              <w:rPr>
                <w:sz w:val="18"/>
              </w:rPr>
              <w:t>102</w:t>
            </w:r>
          </w:p>
        </w:tc>
        <w:tc>
          <w:tcPr>
            <w:tcW w:type="dxa" w:w="1361"/>
          </w:tcPr>
          <w:p>
            <w:pPr>
              <w:spacing w:after="0" w:line="240" w:lineRule="auto"/>
              <w:jc w:val="right"/>
            </w:pPr>
            <w:r/>
            <w:r>
              <w:rPr>
                <w:sz w:val="18"/>
              </w:rPr>
              <w:t>102</w:t>
            </w:r>
          </w:p>
        </w:tc>
        <w:tc>
          <w:tcPr>
            <w:tcW w:type="dxa" w:w="1247"/>
          </w:tcPr>
          <w:p>
            <w:pPr>
              <w:spacing w:after="0" w:line="240" w:lineRule="auto"/>
              <w:jc w:val="right"/>
            </w:pPr>
            <w:r/>
            <w:r>
              <w:rPr>
                <w:sz w:val="18"/>
              </w:rPr>
              <w:t>168</w:t>
            </w:r>
          </w:p>
        </w:tc>
        <w:tc>
          <w:tcPr>
            <w:tcW w:type="dxa" w:w="1191"/>
          </w:tcPr>
          <w:p>
            <w:pPr>
              <w:spacing w:after="0" w:line="240" w:lineRule="auto"/>
              <w:jc w:val="right"/>
            </w:pPr>
            <w:r/>
            <w:r>
              <w:rPr>
                <w:sz w:val="18"/>
              </w:rPr>
              <w:t>15</w:t>
            </w:r>
          </w:p>
        </w:tc>
      </w:tr>
      <w:tr>
        <w:trPr>
          <w:cantSplit/>
        </w:trPr>
        <w:tc>
          <w:tcPr>
            <w:tcW w:type="dxa" w:w="4082"/>
            <w:shd w:val="clear" w:color="auto" w:fill="F2F4F7"/>
          </w:tcPr>
          <w:p>
            <w:pPr>
              <w:spacing w:after="0" w:line="240" w:lineRule="auto"/>
            </w:pPr>
            <w:r/>
            <w:r>
              <w:rPr>
                <w:sz w:val="18"/>
              </w:rPr>
              <w:t>Downside: sales +12 months, prices -10%</w:t>
            </w:r>
          </w:p>
        </w:tc>
        <w:tc>
          <w:tcPr>
            <w:tcW w:type="dxa" w:w="1361"/>
            <w:shd w:val="clear" w:color="auto" w:fill="F2F4F7"/>
          </w:tcPr>
          <w:p>
            <w:pPr>
              <w:spacing w:after="0" w:line="240" w:lineRule="auto"/>
              <w:jc w:val="right"/>
            </w:pPr>
            <w:r/>
            <w:r>
              <w:rPr>
                <w:sz w:val="18"/>
              </w:rPr>
              <w:t>441</w:t>
            </w:r>
          </w:p>
        </w:tc>
        <w:tc>
          <w:tcPr>
            <w:tcW w:type="dxa" w:w="1361"/>
            <w:shd w:val="clear" w:color="auto" w:fill="F2F4F7"/>
          </w:tcPr>
          <w:p>
            <w:pPr>
              <w:spacing w:after="0" w:line="240" w:lineRule="auto"/>
              <w:jc w:val="right"/>
            </w:pPr>
            <w:r/>
            <w:r>
              <w:rPr>
                <w:sz w:val="18"/>
              </w:rPr>
              <w:t>849</w:t>
            </w:r>
          </w:p>
        </w:tc>
        <w:tc>
          <w:tcPr>
            <w:tcW w:type="dxa" w:w="1247"/>
            <w:shd w:val="clear" w:color="auto" w:fill="F2F4F7"/>
          </w:tcPr>
          <w:p>
            <w:pPr>
              <w:spacing w:after="0" w:line="240" w:lineRule="auto"/>
              <w:jc w:val="right"/>
            </w:pPr>
            <w:r/>
            <w:r>
              <w:rPr>
                <w:sz w:val="18"/>
              </w:rPr>
              <w:t>1,089</w:t>
            </w:r>
          </w:p>
        </w:tc>
        <w:tc>
          <w:tcPr>
            <w:tcW w:type="dxa" w:w="1191"/>
            <w:shd w:val="clear" w:color="auto" w:fill="F2F4F7"/>
          </w:tcPr>
          <w:p>
            <w:pPr>
              <w:spacing w:after="0" w:line="240" w:lineRule="auto"/>
              <w:jc w:val="right"/>
            </w:pPr>
            <w:r/>
            <w:r>
              <w:rPr>
                <w:sz w:val="18"/>
              </w:rPr>
              <w:t>54</w:t>
            </w:r>
          </w:p>
        </w:tc>
      </w:tr>
      <w:tr>
        <w:trPr>
          <w:cantSplit/>
        </w:trPr>
        <w:tc>
          <w:tcPr>
            <w:tcW w:type="dxa" w:w="4082"/>
          </w:tcPr>
          <w:p>
            <w:pPr>
              <w:spacing w:after="0" w:line="240" w:lineRule="auto"/>
            </w:pPr>
            <w:r/>
            <w:r>
              <w:rPr>
                <w:sz w:val="18"/>
              </w:rPr>
              <w:t>Upside: prices +10%</w:t>
            </w:r>
          </w:p>
        </w:tc>
        <w:tc>
          <w:tcPr>
            <w:tcW w:type="dxa" w:w="1361"/>
          </w:tcPr>
          <w:p>
            <w:pPr>
              <w:spacing w:after="0" w:line="240" w:lineRule="auto"/>
              <w:jc w:val="right"/>
            </w:pPr>
            <w:r/>
            <w:r>
              <w:rPr>
                <w:sz w:val="18"/>
              </w:rPr>
              <w:t>102</w:t>
            </w:r>
          </w:p>
        </w:tc>
        <w:tc>
          <w:tcPr>
            <w:tcW w:type="dxa" w:w="1361"/>
          </w:tcPr>
          <w:p>
            <w:pPr>
              <w:spacing w:after="0" w:line="240" w:lineRule="auto"/>
              <w:jc w:val="right"/>
            </w:pPr>
            <w:r/>
            <w:r>
              <w:rPr>
                <w:sz w:val="18"/>
              </w:rPr>
              <w:t>88</w:t>
            </w:r>
          </w:p>
        </w:tc>
        <w:tc>
          <w:tcPr>
            <w:tcW w:type="dxa" w:w="1247"/>
          </w:tcPr>
          <w:p>
            <w:pPr>
              <w:spacing w:after="0" w:line="240" w:lineRule="auto"/>
              <w:jc w:val="right"/>
            </w:pPr>
            <w:r/>
            <w:r>
              <w:rPr>
                <w:sz w:val="18"/>
              </w:rPr>
              <w:t>160</w:t>
            </w:r>
          </w:p>
        </w:tc>
        <w:tc>
          <w:tcPr>
            <w:tcW w:type="dxa" w:w="1191"/>
          </w:tcPr>
          <w:p>
            <w:pPr>
              <w:spacing w:after="0" w:line="240" w:lineRule="auto"/>
              <w:jc w:val="right"/>
            </w:pPr>
            <w:r/>
            <w:r>
              <w:rPr>
                <w:sz w:val="18"/>
              </w:rPr>
              <w:t>12</w:t>
            </w:r>
          </w:p>
        </w:tc>
      </w:tr>
      <w:tr>
        <w:trPr>
          <w:cantSplit/>
        </w:trPr>
        <w:tc>
          <w:tcPr>
            <w:tcW w:type="dxa" w:w="4082"/>
            <w:shd w:val="clear" w:color="auto" w:fill="F2F4F7"/>
          </w:tcPr>
          <w:p>
            <w:pPr>
              <w:spacing w:after="0" w:line="240" w:lineRule="auto"/>
            </w:pPr>
            <w:r/>
            <w:r>
              <w:rPr>
                <w:sz w:val="18"/>
              </w:rPr>
              <w:t>Construction cost +10%</w:t>
            </w:r>
          </w:p>
        </w:tc>
        <w:tc>
          <w:tcPr>
            <w:tcW w:type="dxa" w:w="1361"/>
            <w:shd w:val="clear" w:color="auto" w:fill="F2F4F7"/>
          </w:tcPr>
          <w:p>
            <w:pPr>
              <w:spacing w:after="0" w:line="240" w:lineRule="auto"/>
              <w:jc w:val="right"/>
            </w:pPr>
            <w:r/>
            <w:r>
              <w:rPr>
                <w:sz w:val="18"/>
              </w:rPr>
              <w:t>102</w:t>
            </w:r>
          </w:p>
        </w:tc>
        <w:tc>
          <w:tcPr>
            <w:tcW w:type="dxa" w:w="1361"/>
            <w:shd w:val="clear" w:color="auto" w:fill="F2F4F7"/>
          </w:tcPr>
          <w:p>
            <w:pPr>
              <w:spacing w:after="0" w:line="240" w:lineRule="auto"/>
              <w:jc w:val="right"/>
            </w:pPr>
            <w:r/>
            <w:r>
              <w:rPr>
                <w:sz w:val="18"/>
              </w:rPr>
              <w:t>117</w:t>
            </w:r>
          </w:p>
        </w:tc>
        <w:tc>
          <w:tcPr>
            <w:tcW w:type="dxa" w:w="1247"/>
            <w:shd w:val="clear" w:color="auto" w:fill="F2F4F7"/>
          </w:tcPr>
          <w:p>
            <w:pPr>
              <w:spacing w:after="0" w:line="240" w:lineRule="auto"/>
              <w:jc w:val="right"/>
            </w:pPr>
            <w:r/>
            <w:r>
              <w:rPr>
                <w:sz w:val="18"/>
              </w:rPr>
              <w:t>193</w:t>
            </w:r>
          </w:p>
        </w:tc>
        <w:tc>
          <w:tcPr>
            <w:tcW w:type="dxa" w:w="1191"/>
            <w:shd w:val="clear" w:color="auto" w:fill="F2F4F7"/>
          </w:tcPr>
          <w:p>
            <w:pPr>
              <w:spacing w:after="0" w:line="240" w:lineRule="auto"/>
              <w:jc w:val="right"/>
            </w:pPr>
            <w:r/>
            <w:r>
              <w:rPr>
                <w:sz w:val="18"/>
              </w:rPr>
              <w:t>27</w:t>
            </w:r>
          </w:p>
        </w:tc>
      </w:tr>
      <w:tr>
        <w:trPr>
          <w:cantSplit/>
        </w:trPr>
        <w:tc>
          <w:tcPr>
            <w:tcW w:type="dxa" w:w="4082"/>
          </w:tcPr>
          <w:p>
            <w:pPr>
              <w:spacing w:after="0" w:line="240" w:lineRule="auto"/>
            </w:pPr>
            <w:r/>
            <w:r>
              <w:rPr>
                <w:sz w:val="18"/>
              </w:rPr>
              <w:t>Collections slip 2 quarters</w:t>
            </w:r>
          </w:p>
        </w:tc>
        <w:tc>
          <w:tcPr>
            <w:tcW w:type="dxa" w:w="1361"/>
          </w:tcPr>
          <w:p>
            <w:pPr>
              <w:spacing w:after="0" w:line="240" w:lineRule="auto"/>
              <w:jc w:val="right"/>
            </w:pPr>
            <w:r/>
            <w:r>
              <w:rPr>
                <w:sz w:val="18"/>
              </w:rPr>
              <w:t>236</w:t>
            </w:r>
          </w:p>
        </w:tc>
        <w:tc>
          <w:tcPr>
            <w:tcW w:type="dxa" w:w="1361"/>
          </w:tcPr>
          <w:p>
            <w:pPr>
              <w:spacing w:after="0" w:line="240" w:lineRule="auto"/>
              <w:jc w:val="right"/>
            </w:pPr>
            <w:r/>
            <w:r>
              <w:rPr>
                <w:sz w:val="18"/>
              </w:rPr>
              <w:t>381</w:t>
            </w:r>
          </w:p>
        </w:tc>
        <w:tc>
          <w:tcPr>
            <w:tcW w:type="dxa" w:w="1247"/>
          </w:tcPr>
          <w:p>
            <w:pPr>
              <w:spacing w:after="0" w:line="240" w:lineRule="auto"/>
              <w:jc w:val="right"/>
            </w:pPr>
            <w:r/>
            <w:r>
              <w:rPr>
                <w:sz w:val="18"/>
              </w:rPr>
              <w:t>478</w:t>
            </w:r>
          </w:p>
        </w:tc>
        <w:tc>
          <w:tcPr>
            <w:tcW w:type="dxa" w:w="1191"/>
          </w:tcPr>
          <w:p>
            <w:pPr>
              <w:spacing w:after="0" w:line="240" w:lineRule="auto"/>
              <w:jc w:val="right"/>
            </w:pPr>
            <w:r/>
            <w:r>
              <w:rPr>
                <w:sz w:val="18"/>
              </w:rPr>
              <w:t>30</w:t>
            </w:r>
          </w:p>
        </w:tc>
      </w:tr>
      <w:tr>
        <w:trPr>
          <w:cantSplit/>
        </w:trPr>
        <w:tc>
          <w:tcPr>
            <w:tcW w:type="dxa" w:w="4082"/>
            <w:shd w:val="clear" w:color="auto" w:fill="F2F4F7"/>
          </w:tcPr>
          <w:p>
            <w:pPr>
              <w:spacing w:after="0" w:line="240" w:lineRule="auto"/>
            </w:pPr>
            <w:r/>
            <w:r>
              <w:rPr>
                <w:sz w:val="18"/>
              </w:rPr>
              <w:t>Delivery payments at handover</w:t>
            </w:r>
          </w:p>
        </w:tc>
        <w:tc>
          <w:tcPr>
            <w:tcW w:type="dxa" w:w="1361"/>
            <w:shd w:val="clear" w:color="auto" w:fill="F2F4F7"/>
          </w:tcPr>
          <w:p>
            <w:pPr>
              <w:spacing w:after="0" w:line="240" w:lineRule="auto"/>
              <w:jc w:val="right"/>
            </w:pPr>
            <w:r/>
            <w:r>
              <w:rPr>
                <w:sz w:val="18"/>
              </w:rPr>
              <w:t>269</w:t>
            </w:r>
          </w:p>
        </w:tc>
        <w:tc>
          <w:tcPr>
            <w:tcW w:type="dxa" w:w="1361"/>
            <w:shd w:val="clear" w:color="auto" w:fill="F2F4F7"/>
          </w:tcPr>
          <w:p>
            <w:pPr>
              <w:spacing w:after="0" w:line="240" w:lineRule="auto"/>
              <w:jc w:val="right"/>
            </w:pPr>
            <w:r/>
            <w:r>
              <w:rPr>
                <w:sz w:val="18"/>
              </w:rPr>
              <w:t>244</w:t>
            </w:r>
          </w:p>
        </w:tc>
        <w:tc>
          <w:tcPr>
            <w:tcW w:type="dxa" w:w="1247"/>
            <w:shd w:val="clear" w:color="auto" w:fill="F2F4F7"/>
          </w:tcPr>
          <w:p>
            <w:pPr>
              <w:spacing w:after="0" w:line="240" w:lineRule="auto"/>
              <w:jc w:val="right"/>
            </w:pPr>
            <w:r/>
            <w:r>
              <w:rPr>
                <w:sz w:val="18"/>
              </w:rPr>
              <w:t>318</w:t>
            </w:r>
          </w:p>
        </w:tc>
        <w:tc>
          <w:tcPr>
            <w:tcW w:type="dxa" w:w="1191"/>
            <w:shd w:val="clear" w:color="auto" w:fill="F2F4F7"/>
          </w:tcPr>
          <w:p>
            <w:pPr>
              <w:spacing w:after="0" w:line="240" w:lineRule="auto"/>
              <w:jc w:val="right"/>
            </w:pPr>
            <w:r/>
            <w:r>
              <w:rPr>
                <w:sz w:val="18"/>
              </w:rPr>
              <w:t>45</w:t>
            </w:r>
          </w:p>
        </w:tc>
      </w:tr>
      <w:tr>
        <w:trPr>
          <w:cantSplit/>
        </w:trPr>
        <w:tc>
          <w:tcPr>
            <w:tcW w:type="dxa" w:w="4082"/>
          </w:tcPr>
          <w:p>
            <w:pPr>
              <w:spacing w:after="0" w:line="240" w:lineRule="auto"/>
            </w:pPr>
            <w:r/>
            <w:r>
              <w:rPr>
                <w:sz w:val="18"/>
              </w:rPr>
              <w:t>Handover payments and downside combined</w:t>
            </w:r>
          </w:p>
        </w:tc>
        <w:tc>
          <w:tcPr>
            <w:tcW w:type="dxa" w:w="1361"/>
          </w:tcPr>
          <w:p>
            <w:pPr>
              <w:spacing w:after="0" w:line="240" w:lineRule="auto"/>
              <w:jc w:val="right"/>
            </w:pPr>
            <w:r/>
            <w:r>
              <w:rPr>
                <w:sz w:val="18"/>
              </w:rPr>
              <w:t>729</w:t>
            </w:r>
          </w:p>
        </w:tc>
        <w:tc>
          <w:tcPr>
            <w:tcW w:type="dxa" w:w="1361"/>
          </w:tcPr>
          <w:p>
            <w:pPr>
              <w:spacing w:after="0" w:line="240" w:lineRule="auto"/>
              <w:jc w:val="right"/>
            </w:pPr>
            <w:r/>
            <w:r>
              <w:rPr>
                <w:sz w:val="18"/>
              </w:rPr>
              <w:t>849</w:t>
            </w:r>
          </w:p>
        </w:tc>
        <w:tc>
          <w:tcPr>
            <w:tcW w:type="dxa" w:w="1247"/>
          </w:tcPr>
          <w:p>
            <w:pPr>
              <w:spacing w:after="0" w:line="240" w:lineRule="auto"/>
              <w:jc w:val="right"/>
            </w:pPr>
            <w:r/>
            <w:r>
              <w:rPr>
                <w:sz w:val="18"/>
              </w:rPr>
              <w:t>1,531</w:t>
            </w:r>
          </w:p>
        </w:tc>
        <w:tc>
          <w:tcPr>
            <w:tcW w:type="dxa" w:w="1191"/>
          </w:tcPr>
          <w:p>
            <w:pPr>
              <w:spacing w:after="0" w:line="240" w:lineRule="auto"/>
              <w:jc w:val="right"/>
            </w:pPr>
            <w:r/>
            <w:r>
              <w:rPr>
                <w:sz w:val="18"/>
              </w:rPr>
              <w:t>54</w:t>
            </w:r>
          </w:p>
        </w:tc>
      </w:tr>
    </w:tbl>
    <w:p>
      <w:pPr>
        <w:spacing w:after="80"/>
      </w:pPr>
    </w:p>
    <w:p>
      <w:r>
        <w:rPr>
          <w:b w:val="0"/>
          <w:i w:val="0"/>
        </w:rPr>
        <w:t>In the base case the combined position is lowest at EGP 168.0 million in month 15 and is positive from month 30. At the month 39 peak of Green Square's own downside, L'avenir's base-case cumulative position is EGP -33 million.</w:t>
      </w:r>
    </w:p>
    <w:p>
      <w:r>
        <w:rPr>
          <w:b w:val="0"/>
          <w:i w:val="0"/>
        </w:rPr>
        <w:t>The stress cases matter more than the base case. When sales slip or delivery payments arrive late, both projects are short at the same time, and the combined need is the sum of the two, not the offset of one against the other. Jalour's ability to cover gaps therefore rests mainly on its cash reserves and on its other projects' cash outside these two, which are not shown here. Showing the two projects together does not create any cross-collateral or cross-default; the investor's claim is on this project's company only.</w:t>
      </w:r>
    </w:p>
    <w:p>
      <w:pPr>
        <w:pStyle w:val="Heading1"/>
        <w:pageBreakBefore/>
      </w:pPr>
      <w:r>
        <w:t>12. Investment terms</w:t>
      </w:r>
    </w:p>
    <w:p>
      <w:pPr>
        <w:pStyle w:val="Heading2"/>
      </w:pPr>
      <w:r>
        <w:t>12.1 Option A: units</w:t>
      </w:r>
    </w:p>
    <w:p>
      <w:pPr>
        <w:keepNext/>
        <w:spacing w:after="60"/>
      </w:pPr>
      <w:r>
        <w:rPr>
          <w:b/>
          <w:color w:val="17324D"/>
          <w:sz w:val="19"/>
        </w:rPr>
        <w:t>Table 19: Option A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Face value</w:t>
            </w:r>
          </w:p>
        </w:tc>
        <w:tc>
          <w:tcPr>
            <w:tcW w:type="dxa" w:w="7087"/>
          </w:tcPr>
          <w:p>
            <w:pPr>
              <w:spacing w:after="0" w:line="240" w:lineRule="auto"/>
            </w:pPr>
            <w:r/>
            <w:r>
              <w:rPr>
                <w:sz w:val="19"/>
              </w:rPr>
              <w:t>EGP 250 million: 2.0x the ticket, priced at the launch list</w:t>
            </w:r>
          </w:p>
        </w:tc>
      </w:tr>
      <w:tr>
        <w:trPr>
          <w:cantSplit/>
        </w:trPr>
        <w:tc>
          <w:tcPr>
            <w:tcW w:type="dxa" w:w="2154"/>
            <w:shd w:val="clear" w:color="auto" w:fill="F2F4F7"/>
          </w:tcPr>
          <w:p>
            <w:pPr>
              <w:spacing w:after="0" w:line="240" w:lineRule="auto"/>
            </w:pPr>
            <w:r/>
            <w:r>
              <w:rPr>
                <w:b/>
                <w:sz w:val="19"/>
              </w:rPr>
              <w:t>Source of units</w:t>
            </w:r>
          </w:p>
        </w:tc>
        <w:tc>
          <w:tcPr>
            <w:tcW w:type="dxa" w:w="7087"/>
            <w:shd w:val="clear" w:color="auto" w:fill="F2F4F7"/>
          </w:tcPr>
          <w:p>
            <w:pPr>
              <w:spacing w:after="0" w:line="240" w:lineRule="auto"/>
            </w:pPr>
            <w:r/>
            <w:r>
              <w:rPr>
                <w:sz w:val="19"/>
              </w:rPr>
              <w:t>Unsold units in the first two sales tranches (months 9 and 12), EGP 606 million at list; the investor receives 41.3% of them. The 20% of units retained by Jalour are not used</w:t>
            </w:r>
          </w:p>
        </w:tc>
      </w:tr>
      <w:tr>
        <w:trPr>
          <w:cantSplit/>
        </w:trPr>
        <w:tc>
          <w:tcPr>
            <w:tcW w:type="dxa" w:w="2154"/>
          </w:tcPr>
          <w:p>
            <w:pPr>
              <w:spacing w:after="0" w:line="240" w:lineRule="auto"/>
            </w:pPr>
            <w:r/>
            <w:r>
              <w:rPr>
                <w:b/>
                <w:sz w:val="19"/>
              </w:rPr>
              <w:t>Unit mix</w:t>
            </w:r>
          </w:p>
        </w:tc>
        <w:tc>
          <w:tcPr>
            <w:tcW w:type="dxa" w:w="7087"/>
          </w:tcPr>
          <w:p>
            <w:pPr>
              <w:spacing w:after="0" w:line="240" w:lineRule="auto"/>
            </w:pPr>
            <w:r/>
            <w:r>
              <w:rPr>
                <w:sz w:val="19"/>
              </w:rPr>
              <w:t>Pro rata to those tranches: retail EGP 80.6 million (358 m2) and offices EGP 169.4 million (1,254 m2)</w:t>
            </w:r>
          </w:p>
        </w:tc>
      </w:tr>
      <w:tr>
        <w:trPr>
          <w:cantSplit/>
        </w:trPr>
        <w:tc>
          <w:tcPr>
            <w:tcW w:type="dxa" w:w="2154"/>
            <w:shd w:val="clear" w:color="auto" w:fill="F2F4F7"/>
          </w:tcPr>
          <w:p>
            <w:pPr>
              <w:spacing w:after="0" w:line="240" w:lineRule="auto"/>
            </w:pPr>
            <w:r/>
            <w:r>
              <w:rPr>
                <w:b/>
                <w:sz w:val="19"/>
              </w:rPr>
              <w:t>Value at delivery list</w:t>
            </w:r>
          </w:p>
        </w:tc>
        <w:tc>
          <w:tcPr>
            <w:tcW w:type="dxa" w:w="7087"/>
            <w:shd w:val="clear" w:color="auto" w:fill="F2F4F7"/>
          </w:tcPr>
          <w:p>
            <w:pPr>
              <w:spacing w:after="0" w:line="240" w:lineRule="auto"/>
            </w:pPr>
            <w:r/>
            <w:r>
              <w:rPr>
                <w:sz w:val="19"/>
              </w:rPr>
              <w:t>EGP 358 million (1.434x face), before resale costs</w:t>
            </w:r>
          </w:p>
        </w:tc>
      </w:tr>
      <w:tr>
        <w:trPr>
          <w:cantSplit/>
        </w:trPr>
        <w:tc>
          <w:tcPr>
            <w:tcW w:type="dxa" w:w="2154"/>
          </w:tcPr>
          <w:p>
            <w:pPr>
              <w:spacing w:after="0" w:line="240" w:lineRule="auto"/>
            </w:pPr>
            <w:r/>
            <w:r>
              <w:rPr>
                <w:b/>
                <w:sz w:val="19"/>
              </w:rPr>
              <w:t>Day-one holding</w:t>
            </w:r>
          </w:p>
        </w:tc>
        <w:tc>
          <w:tcPr>
            <w:tcW w:type="dxa" w:w="7087"/>
          </w:tcPr>
          <w:p>
            <w:pPr>
              <w:spacing w:after="0" w:line="240" w:lineRule="auto"/>
            </w:pPr>
            <w:r/>
            <w:r>
              <w:rPr>
                <w:sz w:val="19"/>
              </w:rPr>
              <w:t>A registered unit allocation and reservation contract, assignable with the consents below</w:t>
            </w:r>
          </w:p>
        </w:tc>
      </w:tr>
      <w:tr>
        <w:trPr>
          <w:cantSplit/>
        </w:trPr>
        <w:tc>
          <w:tcPr>
            <w:tcW w:type="dxa" w:w="2154"/>
            <w:shd w:val="clear" w:color="auto" w:fill="F2F4F7"/>
          </w:tcPr>
          <w:p>
            <w:pPr>
              <w:spacing w:after="0" w:line="240" w:lineRule="auto"/>
            </w:pPr>
            <w:r/>
            <w:r>
              <w:rPr>
                <w:b/>
                <w:sz w:val="19"/>
              </w:rPr>
              <w:t>Landlord share</w:t>
            </w:r>
          </w:p>
        </w:tc>
        <w:tc>
          <w:tcPr>
            <w:tcW w:type="dxa" w:w="7087"/>
            <w:shd w:val="clear" w:color="auto" w:fill="F2F4F7"/>
          </w:tcPr>
          <w:p>
            <w:pPr>
              <w:spacing w:after="0" w:line="240" w:lineRule="auto"/>
            </w:pPr>
            <w:r/>
            <w:r>
              <w:rPr>
                <w:sz w:val="19"/>
              </w:rPr>
              <w:t>Jalour bears the landlord 35% on the allocated units (EGP 88 million at face); landlord payments are unchanged</w:t>
            </w:r>
          </w:p>
        </w:tc>
      </w:tr>
      <w:tr>
        <w:trPr>
          <w:cantSplit/>
        </w:trPr>
        <w:tc>
          <w:tcPr>
            <w:tcW w:type="dxa" w:w="2154"/>
          </w:tcPr>
          <w:p>
            <w:pPr>
              <w:spacing w:after="0" w:line="240" w:lineRule="auto"/>
            </w:pPr>
            <w:r/>
            <w:r>
              <w:rPr>
                <w:b/>
                <w:sz w:val="19"/>
              </w:rPr>
              <w:t>Resale (assumption)</w:t>
            </w:r>
          </w:p>
        </w:tc>
        <w:tc>
          <w:tcPr>
            <w:tcW w:type="dxa" w:w="7087"/>
          </w:tcPr>
          <w:p>
            <w:pPr>
              <w:spacing w:after="0" w:line="240" w:lineRule="auto"/>
            </w:pPr>
            <w:r/>
            <w:r>
              <w:rPr>
                <w:sz w:val="19"/>
              </w:rPr>
              <w:t>Handover in month 48; resale over four quarters from month 51; 3% cost (broker and developer transfer fee)</w:t>
            </w:r>
          </w:p>
        </w:tc>
      </w:tr>
      <w:tr>
        <w:trPr>
          <w:cantSplit/>
        </w:trPr>
        <w:tc>
          <w:tcPr>
            <w:tcW w:type="dxa" w:w="2154"/>
            <w:shd w:val="clear" w:color="auto" w:fill="F2F4F7"/>
          </w:tcPr>
          <w:p>
            <w:pPr>
              <w:spacing w:after="0" w:line="240" w:lineRule="auto"/>
            </w:pPr>
            <w:r/>
            <w:r>
              <w:rPr>
                <w:b/>
                <w:sz w:val="19"/>
              </w:rPr>
              <w:t>Consents</w:t>
            </w:r>
          </w:p>
        </w:tc>
        <w:tc>
          <w:tcPr>
            <w:tcW w:type="dxa" w:w="7087"/>
            <w:shd w:val="clear" w:color="auto" w:fill="F2F4F7"/>
          </w:tcPr>
          <w:p>
            <w:pPr>
              <w:spacing w:after="0" w:line="240" w:lineRule="auto"/>
            </w:pPr>
            <w:r/>
            <w:r>
              <w:rPr>
                <w:sz w:val="19"/>
              </w:rPr>
              <w:t>Jalour consent and landlord acknowledgement for assignment of a contract before handover [fee to be agreed]</w:t>
            </w:r>
          </w:p>
        </w:tc>
      </w:tr>
    </w:tbl>
    <w:p>
      <w:pPr>
        <w:spacing w:after="80"/>
      </w:pPr>
    </w:p>
    <w:p>
      <w:r>
        <w:rPr>
          <w:b w:val="0"/>
          <w:i w:val="0"/>
        </w:rPr>
        <w:t>The investor holds no physical unit until handover. Before handover the investor can sell only the contract, with consent, and a buyer is likely to require a discount. Section 16 shows the effect of early assignment. Jalour cannot promise liquidity that the structure does not provide.</w:t>
      </w:r>
    </w:p>
    <w:p>
      <w:pPr>
        <w:pStyle w:val="Heading2"/>
      </w:pPr>
      <w:r>
        <w:t>12.2 Option B: cash</w:t>
      </w:r>
    </w:p>
    <w:p>
      <w:pPr>
        <w:keepNext/>
        <w:spacing w:after="60"/>
      </w:pPr>
      <w:r>
        <w:rPr>
          <w:b/>
          <w:color w:val="17324D"/>
          <w:sz w:val="19"/>
        </w:rPr>
        <w:t>Table 20: Option B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Total return</w:t>
            </w:r>
          </w:p>
        </w:tc>
        <w:tc>
          <w:tcPr>
            <w:tcW w:type="dxa" w:w="7087"/>
          </w:tcPr>
          <w:p>
            <w:pPr>
              <w:spacing w:after="0" w:line="240" w:lineRule="auto"/>
            </w:pPr>
            <w:r/>
            <w:r>
              <w:rPr>
                <w:sz w:val="19"/>
              </w:rPr>
              <w:t>EGP 288 million (2.3x the ticket), including return of capital</w:t>
            </w:r>
          </w:p>
        </w:tc>
      </w:tr>
      <w:tr>
        <w:trPr>
          <w:cantSplit/>
        </w:trPr>
        <w:tc>
          <w:tcPr>
            <w:tcW w:type="dxa" w:w="2154"/>
            <w:shd w:val="clear" w:color="auto" w:fill="F2F4F7"/>
          </w:tcPr>
          <w:p>
            <w:pPr>
              <w:spacing w:after="0" w:line="240" w:lineRule="auto"/>
            </w:pPr>
            <w:r/>
            <w:r>
              <w:rPr>
                <w:b/>
                <w:sz w:val="19"/>
              </w:rPr>
              <w:t>Grace period</w:t>
            </w:r>
          </w:p>
        </w:tc>
        <w:tc>
          <w:tcPr>
            <w:tcW w:type="dxa" w:w="7087"/>
            <w:shd w:val="clear" w:color="auto" w:fill="F2F4F7"/>
          </w:tcPr>
          <w:p>
            <w:pPr>
              <w:spacing w:after="0" w:line="240" w:lineRule="auto"/>
            </w:pPr>
            <w:r/>
            <w:r>
              <w:rPr>
                <w:sz w:val="19"/>
              </w:rPr>
              <w:t>24 months from funding, no payments</w:t>
            </w:r>
          </w:p>
        </w:tc>
      </w:tr>
      <w:tr>
        <w:trPr>
          <w:cantSplit/>
        </w:trPr>
        <w:tc>
          <w:tcPr>
            <w:tcW w:type="dxa" w:w="2154"/>
          </w:tcPr>
          <w:p>
            <w:pPr>
              <w:spacing w:after="0" w:line="240" w:lineRule="auto"/>
            </w:pPr>
            <w:r/>
            <w:r>
              <w:rPr>
                <w:b/>
                <w:sz w:val="19"/>
              </w:rPr>
              <w:t>Payments</w:t>
            </w:r>
          </w:p>
        </w:tc>
        <w:tc>
          <w:tcPr>
            <w:tcW w:type="dxa" w:w="7087"/>
          </w:tcPr>
          <w:p>
            <w:pPr>
              <w:spacing w:after="0" w:line="240" w:lineRule="auto"/>
            </w:pPr>
            <w:r/>
            <w:r>
              <w:rPr>
                <w:sz w:val="19"/>
              </w:rPr>
              <w:t>12 equal quarterly instalments of EGP 23.96 million in months 30 to 63</w:t>
            </w:r>
          </w:p>
        </w:tc>
      </w:tr>
      <w:tr>
        <w:trPr>
          <w:cantSplit/>
        </w:trPr>
        <w:tc>
          <w:tcPr>
            <w:tcW w:type="dxa" w:w="2154"/>
            <w:shd w:val="clear" w:color="auto" w:fill="F2F4F7"/>
          </w:tcPr>
          <w:p>
            <w:pPr>
              <w:spacing w:after="0" w:line="240" w:lineRule="auto"/>
            </w:pPr>
            <w:r/>
            <w:r>
              <w:rPr>
                <w:b/>
                <w:sz w:val="19"/>
              </w:rPr>
              <w:t>Obligor</w:t>
            </w:r>
          </w:p>
        </w:tc>
        <w:tc>
          <w:tcPr>
            <w:tcW w:type="dxa" w:w="7087"/>
            <w:shd w:val="clear" w:color="auto" w:fill="F2F4F7"/>
          </w:tcPr>
          <w:p>
            <w:pPr>
              <w:spacing w:after="0" w:line="240" w:lineRule="auto"/>
            </w:pPr>
            <w:r/>
            <w:r>
              <w:rPr>
                <w:sz w:val="19"/>
              </w:rPr>
              <w:t>The project company; no guarantee of return by Jalour or Al Jalal Holding</w:t>
            </w:r>
          </w:p>
        </w:tc>
      </w:tr>
      <w:tr>
        <w:trPr>
          <w:cantSplit/>
        </w:trPr>
        <w:tc>
          <w:tcPr>
            <w:tcW w:type="dxa" w:w="2154"/>
          </w:tcPr>
          <w:p>
            <w:pPr>
              <w:spacing w:after="0" w:line="240" w:lineRule="auto"/>
            </w:pPr>
            <w:r/>
            <w:r>
              <w:rPr>
                <w:b/>
                <w:sz w:val="19"/>
              </w:rPr>
              <w:t>Default</w:t>
            </w:r>
          </w:p>
        </w:tc>
        <w:tc>
          <w:tcPr>
            <w:tcW w:type="dxa" w:w="7087"/>
          </w:tcPr>
          <w:p>
            <w:pPr>
              <w:spacing w:after="0" w:line="240" w:lineRule="auto"/>
            </w:pPr>
            <w:r/>
            <w:r>
              <w:rPr>
                <w:sz w:val="19"/>
              </w:rPr>
              <w:t>Instalment unpaid for 30 days: payment priority covenant applies; step-in right over earmarked units [terms to be agreed]</w:t>
            </w:r>
          </w:p>
        </w:tc>
      </w:tr>
      <w:tr>
        <w:trPr>
          <w:cantSplit/>
        </w:trPr>
        <w:tc>
          <w:tcPr>
            <w:tcW w:type="dxa" w:w="2154"/>
            <w:shd w:val="clear" w:color="auto" w:fill="F2F4F7"/>
          </w:tcPr>
          <w:p>
            <w:pPr>
              <w:spacing w:after="0" w:line="240" w:lineRule="auto"/>
            </w:pPr>
            <w:r/>
            <w:r>
              <w:rPr>
                <w:b/>
                <w:sz w:val="19"/>
              </w:rPr>
              <w:t>Funding gaps</w:t>
            </w:r>
          </w:p>
        </w:tc>
        <w:tc>
          <w:tcPr>
            <w:tcW w:type="dxa" w:w="7087"/>
            <w:shd w:val="clear" w:color="auto" w:fill="F2F4F7"/>
          </w:tcPr>
          <w:p>
            <w:pPr>
              <w:spacing w:after="0" w:line="240" w:lineRule="auto"/>
            </w:pPr>
            <w:r/>
            <w:r>
              <w:rPr>
                <w:sz w:val="19"/>
              </w:rPr>
              <w:t>Jalour will fund project funding gaps; this supports delivery of the project and is not a guarantee of the return</w:t>
            </w:r>
          </w:p>
        </w:tc>
      </w:tr>
    </w:tbl>
    <w:p>
      <w:pPr>
        <w:spacing w:after="80"/>
      </w:pPr>
    </w:p>
    <w:p>
      <w:pPr>
        <w:keepNext/>
        <w:spacing w:after="60"/>
      </w:pPr>
      <w:r>
        <w:rPr>
          <w:b/>
          <w:color w:val="17324D"/>
          <w:sz w:val="19"/>
        </w:rPr>
        <w:t>Table 21: Option B payment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701"/>
            <w:shd w:val="clear" w:color="auto" w:fill="17324D"/>
          </w:tcPr>
          <w:p>
            <w:pPr>
              <w:spacing w:after="0" w:line="240" w:lineRule="auto"/>
              <w:jc w:val="right"/>
            </w:pPr>
            <w:r/>
            <w:r>
              <w:rPr>
                <w:b/>
                <w:color w:val="FFFFFF"/>
                <w:sz w:val="18"/>
              </w:rPr>
              <w:t>Instalment</w:t>
            </w:r>
          </w:p>
        </w:tc>
        <w:tc>
          <w:tcPr>
            <w:tcW w:type="dxa" w:w="2041"/>
            <w:shd w:val="clear" w:color="auto" w:fill="17324D"/>
          </w:tcPr>
          <w:p>
            <w:pPr>
              <w:spacing w:after="0" w:line="240" w:lineRule="auto"/>
              <w:jc w:val="right"/>
            </w:pPr>
            <w:r/>
            <w:r>
              <w:rPr>
                <w:b/>
                <w:color w:val="FFFFFF"/>
                <w:sz w:val="18"/>
              </w:rPr>
              <w:t>Project month</w:t>
            </w:r>
          </w:p>
        </w:tc>
        <w:tc>
          <w:tcPr>
            <w:tcW w:type="dxa" w:w="2721"/>
            <w:shd w:val="clear" w:color="auto" w:fill="17324D"/>
          </w:tcPr>
          <w:p>
            <w:pPr>
              <w:spacing w:after="0" w:line="240" w:lineRule="auto"/>
              <w:jc w:val="right"/>
            </w:pPr>
            <w:r/>
            <w:r>
              <w:rPr>
                <w:b/>
                <w:color w:val="FFFFFF"/>
                <w:sz w:val="18"/>
              </w:rPr>
              <w:t>Amount (EGP m)</w:t>
            </w:r>
          </w:p>
        </w:tc>
        <w:tc>
          <w:tcPr>
            <w:tcW w:type="dxa" w:w="2778"/>
            <w:shd w:val="clear" w:color="auto" w:fill="17324D"/>
          </w:tcPr>
          <w:p>
            <w:pPr>
              <w:spacing w:after="0" w:line="240" w:lineRule="auto"/>
              <w:jc w:val="right"/>
            </w:pPr>
            <w:r/>
            <w:r>
              <w:rPr>
                <w:b/>
                <w:color w:val="FFFFFF"/>
                <w:sz w:val="18"/>
              </w:rPr>
              <w:t>Cumulative (EGP m)</w:t>
            </w:r>
          </w:p>
        </w:tc>
      </w:tr>
      <w:tr>
        <w:trPr>
          <w:cantSplit/>
        </w:trPr>
        <w:tc>
          <w:tcPr>
            <w:tcW w:type="dxa" w:w="1701"/>
          </w:tcPr>
          <w:p>
            <w:pPr>
              <w:spacing w:after="0" w:line="240" w:lineRule="auto"/>
              <w:jc w:val="right"/>
            </w:pPr>
            <w:r/>
            <w:r>
              <w:rPr>
                <w:sz w:val="18"/>
              </w:rPr>
              <w:t>1</w:t>
            </w:r>
          </w:p>
        </w:tc>
        <w:tc>
          <w:tcPr>
            <w:tcW w:type="dxa" w:w="2041"/>
          </w:tcPr>
          <w:p>
            <w:pPr>
              <w:spacing w:after="0" w:line="240" w:lineRule="auto"/>
              <w:jc w:val="right"/>
            </w:pPr>
            <w:r/>
            <w:r>
              <w:rPr>
                <w:sz w:val="18"/>
              </w:rPr>
              <w:t>30</w:t>
            </w:r>
          </w:p>
        </w:tc>
        <w:tc>
          <w:tcPr>
            <w:tcW w:type="dxa" w:w="2721"/>
          </w:tcPr>
          <w:p>
            <w:pPr>
              <w:spacing w:after="0" w:line="240" w:lineRule="auto"/>
              <w:jc w:val="right"/>
            </w:pPr>
            <w:r/>
            <w:r>
              <w:rPr>
                <w:sz w:val="18"/>
              </w:rPr>
              <w:t>23.96</w:t>
            </w:r>
          </w:p>
        </w:tc>
        <w:tc>
          <w:tcPr>
            <w:tcW w:type="dxa" w:w="2778"/>
          </w:tcPr>
          <w:p>
            <w:pPr>
              <w:spacing w:after="0" w:line="240" w:lineRule="auto"/>
              <w:jc w:val="right"/>
            </w:pPr>
            <w:r/>
            <w:r>
              <w:rPr>
                <w:sz w:val="18"/>
              </w:rPr>
              <w:t>23.96</w:t>
            </w:r>
          </w:p>
        </w:tc>
      </w:tr>
      <w:tr>
        <w:trPr>
          <w:cantSplit/>
        </w:trPr>
        <w:tc>
          <w:tcPr>
            <w:tcW w:type="dxa" w:w="1701"/>
            <w:shd w:val="clear" w:color="auto" w:fill="F2F4F7"/>
          </w:tcPr>
          <w:p>
            <w:pPr>
              <w:spacing w:after="0" w:line="240" w:lineRule="auto"/>
              <w:jc w:val="right"/>
            </w:pPr>
            <w:r/>
            <w:r>
              <w:rPr>
                <w:sz w:val="18"/>
              </w:rPr>
              <w:t>2</w:t>
            </w:r>
          </w:p>
        </w:tc>
        <w:tc>
          <w:tcPr>
            <w:tcW w:type="dxa" w:w="2041"/>
            <w:shd w:val="clear" w:color="auto" w:fill="F2F4F7"/>
          </w:tcPr>
          <w:p>
            <w:pPr>
              <w:spacing w:after="0" w:line="240" w:lineRule="auto"/>
              <w:jc w:val="right"/>
            </w:pPr>
            <w:r/>
            <w:r>
              <w:rPr>
                <w:sz w:val="18"/>
              </w:rPr>
              <w:t>33</w:t>
            </w:r>
          </w:p>
        </w:tc>
        <w:tc>
          <w:tcPr>
            <w:tcW w:type="dxa" w:w="2721"/>
            <w:shd w:val="clear" w:color="auto" w:fill="F2F4F7"/>
          </w:tcPr>
          <w:p>
            <w:pPr>
              <w:spacing w:after="0" w:line="240" w:lineRule="auto"/>
              <w:jc w:val="right"/>
            </w:pPr>
            <w:r/>
            <w:r>
              <w:rPr>
                <w:sz w:val="18"/>
              </w:rPr>
              <w:t>23.96</w:t>
            </w:r>
          </w:p>
        </w:tc>
        <w:tc>
          <w:tcPr>
            <w:tcW w:type="dxa" w:w="2778"/>
            <w:shd w:val="clear" w:color="auto" w:fill="F2F4F7"/>
          </w:tcPr>
          <w:p>
            <w:pPr>
              <w:spacing w:after="0" w:line="240" w:lineRule="auto"/>
              <w:jc w:val="right"/>
            </w:pPr>
            <w:r/>
            <w:r>
              <w:rPr>
                <w:sz w:val="18"/>
              </w:rPr>
              <w:t>47.92</w:t>
            </w:r>
          </w:p>
        </w:tc>
      </w:tr>
      <w:tr>
        <w:trPr>
          <w:cantSplit/>
        </w:trPr>
        <w:tc>
          <w:tcPr>
            <w:tcW w:type="dxa" w:w="1701"/>
          </w:tcPr>
          <w:p>
            <w:pPr>
              <w:spacing w:after="0" w:line="240" w:lineRule="auto"/>
              <w:jc w:val="right"/>
            </w:pPr>
            <w:r/>
            <w:r>
              <w:rPr>
                <w:sz w:val="18"/>
              </w:rPr>
              <w:t>3</w:t>
            </w:r>
          </w:p>
        </w:tc>
        <w:tc>
          <w:tcPr>
            <w:tcW w:type="dxa" w:w="2041"/>
          </w:tcPr>
          <w:p>
            <w:pPr>
              <w:spacing w:after="0" w:line="240" w:lineRule="auto"/>
              <w:jc w:val="right"/>
            </w:pPr>
            <w:r/>
            <w:r>
              <w:rPr>
                <w:sz w:val="18"/>
              </w:rPr>
              <w:t>36</w:t>
            </w:r>
          </w:p>
        </w:tc>
        <w:tc>
          <w:tcPr>
            <w:tcW w:type="dxa" w:w="2721"/>
          </w:tcPr>
          <w:p>
            <w:pPr>
              <w:spacing w:after="0" w:line="240" w:lineRule="auto"/>
              <w:jc w:val="right"/>
            </w:pPr>
            <w:r/>
            <w:r>
              <w:rPr>
                <w:sz w:val="18"/>
              </w:rPr>
              <w:t>23.96</w:t>
            </w:r>
          </w:p>
        </w:tc>
        <w:tc>
          <w:tcPr>
            <w:tcW w:type="dxa" w:w="2778"/>
          </w:tcPr>
          <w:p>
            <w:pPr>
              <w:spacing w:after="0" w:line="240" w:lineRule="auto"/>
              <w:jc w:val="right"/>
            </w:pPr>
            <w:r/>
            <w:r>
              <w:rPr>
                <w:sz w:val="18"/>
              </w:rPr>
              <w:t>71.88</w:t>
            </w:r>
          </w:p>
        </w:tc>
      </w:tr>
      <w:tr>
        <w:trPr>
          <w:cantSplit/>
        </w:trPr>
        <w:tc>
          <w:tcPr>
            <w:tcW w:type="dxa" w:w="1701"/>
            <w:shd w:val="clear" w:color="auto" w:fill="F2F4F7"/>
          </w:tcPr>
          <w:p>
            <w:pPr>
              <w:spacing w:after="0" w:line="240" w:lineRule="auto"/>
              <w:jc w:val="right"/>
            </w:pPr>
            <w:r/>
            <w:r>
              <w:rPr>
                <w:sz w:val="18"/>
              </w:rPr>
              <w:t>4</w:t>
            </w:r>
          </w:p>
        </w:tc>
        <w:tc>
          <w:tcPr>
            <w:tcW w:type="dxa" w:w="2041"/>
            <w:shd w:val="clear" w:color="auto" w:fill="F2F4F7"/>
          </w:tcPr>
          <w:p>
            <w:pPr>
              <w:spacing w:after="0" w:line="240" w:lineRule="auto"/>
              <w:jc w:val="right"/>
            </w:pPr>
            <w:r/>
            <w:r>
              <w:rPr>
                <w:sz w:val="18"/>
              </w:rPr>
              <w:t>39</w:t>
            </w:r>
          </w:p>
        </w:tc>
        <w:tc>
          <w:tcPr>
            <w:tcW w:type="dxa" w:w="2721"/>
            <w:shd w:val="clear" w:color="auto" w:fill="F2F4F7"/>
          </w:tcPr>
          <w:p>
            <w:pPr>
              <w:spacing w:after="0" w:line="240" w:lineRule="auto"/>
              <w:jc w:val="right"/>
            </w:pPr>
            <w:r/>
            <w:r>
              <w:rPr>
                <w:sz w:val="18"/>
              </w:rPr>
              <w:t>23.96</w:t>
            </w:r>
          </w:p>
        </w:tc>
        <w:tc>
          <w:tcPr>
            <w:tcW w:type="dxa" w:w="2778"/>
            <w:shd w:val="clear" w:color="auto" w:fill="F2F4F7"/>
          </w:tcPr>
          <w:p>
            <w:pPr>
              <w:spacing w:after="0" w:line="240" w:lineRule="auto"/>
              <w:jc w:val="right"/>
            </w:pPr>
            <w:r/>
            <w:r>
              <w:rPr>
                <w:sz w:val="18"/>
              </w:rPr>
              <w:t>95.83</w:t>
            </w:r>
          </w:p>
        </w:tc>
      </w:tr>
      <w:tr>
        <w:trPr>
          <w:cantSplit/>
        </w:trPr>
        <w:tc>
          <w:tcPr>
            <w:tcW w:type="dxa" w:w="1701"/>
          </w:tcPr>
          <w:p>
            <w:pPr>
              <w:spacing w:after="0" w:line="240" w:lineRule="auto"/>
              <w:jc w:val="right"/>
            </w:pPr>
            <w:r/>
            <w:r>
              <w:rPr>
                <w:sz w:val="18"/>
              </w:rPr>
              <w:t>5</w:t>
            </w:r>
          </w:p>
        </w:tc>
        <w:tc>
          <w:tcPr>
            <w:tcW w:type="dxa" w:w="2041"/>
          </w:tcPr>
          <w:p>
            <w:pPr>
              <w:spacing w:after="0" w:line="240" w:lineRule="auto"/>
              <w:jc w:val="right"/>
            </w:pPr>
            <w:r/>
            <w:r>
              <w:rPr>
                <w:sz w:val="18"/>
              </w:rPr>
              <w:t>42</w:t>
            </w:r>
          </w:p>
        </w:tc>
        <w:tc>
          <w:tcPr>
            <w:tcW w:type="dxa" w:w="2721"/>
          </w:tcPr>
          <w:p>
            <w:pPr>
              <w:spacing w:after="0" w:line="240" w:lineRule="auto"/>
              <w:jc w:val="right"/>
            </w:pPr>
            <w:r/>
            <w:r>
              <w:rPr>
                <w:sz w:val="18"/>
              </w:rPr>
              <w:t>23.96</w:t>
            </w:r>
          </w:p>
        </w:tc>
        <w:tc>
          <w:tcPr>
            <w:tcW w:type="dxa" w:w="2778"/>
          </w:tcPr>
          <w:p>
            <w:pPr>
              <w:spacing w:after="0" w:line="240" w:lineRule="auto"/>
              <w:jc w:val="right"/>
            </w:pPr>
            <w:r/>
            <w:r>
              <w:rPr>
                <w:sz w:val="18"/>
              </w:rPr>
              <w:t>119.79</w:t>
            </w:r>
          </w:p>
        </w:tc>
      </w:tr>
      <w:tr>
        <w:trPr>
          <w:cantSplit/>
        </w:trPr>
        <w:tc>
          <w:tcPr>
            <w:tcW w:type="dxa" w:w="1701"/>
            <w:shd w:val="clear" w:color="auto" w:fill="F2F4F7"/>
          </w:tcPr>
          <w:p>
            <w:pPr>
              <w:spacing w:after="0" w:line="240" w:lineRule="auto"/>
              <w:jc w:val="right"/>
            </w:pPr>
            <w:r/>
            <w:r>
              <w:rPr>
                <w:sz w:val="18"/>
              </w:rPr>
              <w:t>6</w:t>
            </w:r>
          </w:p>
        </w:tc>
        <w:tc>
          <w:tcPr>
            <w:tcW w:type="dxa" w:w="2041"/>
            <w:shd w:val="clear" w:color="auto" w:fill="F2F4F7"/>
          </w:tcPr>
          <w:p>
            <w:pPr>
              <w:spacing w:after="0" w:line="240" w:lineRule="auto"/>
              <w:jc w:val="right"/>
            </w:pPr>
            <w:r/>
            <w:r>
              <w:rPr>
                <w:sz w:val="18"/>
              </w:rPr>
              <w:t>45</w:t>
            </w:r>
          </w:p>
        </w:tc>
        <w:tc>
          <w:tcPr>
            <w:tcW w:type="dxa" w:w="2721"/>
            <w:shd w:val="clear" w:color="auto" w:fill="F2F4F7"/>
          </w:tcPr>
          <w:p>
            <w:pPr>
              <w:spacing w:after="0" w:line="240" w:lineRule="auto"/>
              <w:jc w:val="right"/>
            </w:pPr>
            <w:r/>
            <w:r>
              <w:rPr>
                <w:sz w:val="18"/>
              </w:rPr>
              <w:t>23.96</w:t>
            </w:r>
          </w:p>
        </w:tc>
        <w:tc>
          <w:tcPr>
            <w:tcW w:type="dxa" w:w="2778"/>
            <w:shd w:val="clear" w:color="auto" w:fill="F2F4F7"/>
          </w:tcPr>
          <w:p>
            <w:pPr>
              <w:spacing w:after="0" w:line="240" w:lineRule="auto"/>
              <w:jc w:val="right"/>
            </w:pPr>
            <w:r/>
            <w:r>
              <w:rPr>
                <w:sz w:val="18"/>
              </w:rPr>
              <w:t>143.75</w:t>
            </w:r>
          </w:p>
        </w:tc>
      </w:tr>
      <w:tr>
        <w:trPr>
          <w:cantSplit/>
        </w:trPr>
        <w:tc>
          <w:tcPr>
            <w:tcW w:type="dxa" w:w="1701"/>
          </w:tcPr>
          <w:p>
            <w:pPr>
              <w:spacing w:after="0" w:line="240" w:lineRule="auto"/>
              <w:jc w:val="right"/>
            </w:pPr>
            <w:r/>
            <w:r>
              <w:rPr>
                <w:sz w:val="18"/>
              </w:rPr>
              <w:t>7</w:t>
            </w:r>
          </w:p>
        </w:tc>
        <w:tc>
          <w:tcPr>
            <w:tcW w:type="dxa" w:w="2041"/>
          </w:tcPr>
          <w:p>
            <w:pPr>
              <w:spacing w:after="0" w:line="240" w:lineRule="auto"/>
              <w:jc w:val="right"/>
            </w:pPr>
            <w:r/>
            <w:r>
              <w:rPr>
                <w:sz w:val="18"/>
              </w:rPr>
              <w:t>48</w:t>
            </w:r>
          </w:p>
        </w:tc>
        <w:tc>
          <w:tcPr>
            <w:tcW w:type="dxa" w:w="2721"/>
          </w:tcPr>
          <w:p>
            <w:pPr>
              <w:spacing w:after="0" w:line="240" w:lineRule="auto"/>
              <w:jc w:val="right"/>
            </w:pPr>
            <w:r/>
            <w:r>
              <w:rPr>
                <w:sz w:val="18"/>
              </w:rPr>
              <w:t>23.96</w:t>
            </w:r>
          </w:p>
        </w:tc>
        <w:tc>
          <w:tcPr>
            <w:tcW w:type="dxa" w:w="2778"/>
          </w:tcPr>
          <w:p>
            <w:pPr>
              <w:spacing w:after="0" w:line="240" w:lineRule="auto"/>
              <w:jc w:val="right"/>
            </w:pPr>
            <w:r/>
            <w:r>
              <w:rPr>
                <w:sz w:val="18"/>
              </w:rPr>
              <w:t>167.71</w:t>
            </w:r>
          </w:p>
        </w:tc>
      </w:tr>
      <w:tr>
        <w:trPr>
          <w:cantSplit/>
        </w:trPr>
        <w:tc>
          <w:tcPr>
            <w:tcW w:type="dxa" w:w="1701"/>
            <w:shd w:val="clear" w:color="auto" w:fill="F2F4F7"/>
          </w:tcPr>
          <w:p>
            <w:pPr>
              <w:spacing w:after="0" w:line="240" w:lineRule="auto"/>
              <w:jc w:val="right"/>
            </w:pPr>
            <w:r/>
            <w:r>
              <w:rPr>
                <w:sz w:val="18"/>
              </w:rPr>
              <w:t>8</w:t>
            </w:r>
          </w:p>
        </w:tc>
        <w:tc>
          <w:tcPr>
            <w:tcW w:type="dxa" w:w="2041"/>
            <w:shd w:val="clear" w:color="auto" w:fill="F2F4F7"/>
          </w:tcPr>
          <w:p>
            <w:pPr>
              <w:spacing w:after="0" w:line="240" w:lineRule="auto"/>
              <w:jc w:val="right"/>
            </w:pPr>
            <w:r/>
            <w:r>
              <w:rPr>
                <w:sz w:val="18"/>
              </w:rPr>
              <w:t>51</w:t>
            </w:r>
          </w:p>
        </w:tc>
        <w:tc>
          <w:tcPr>
            <w:tcW w:type="dxa" w:w="2721"/>
            <w:shd w:val="clear" w:color="auto" w:fill="F2F4F7"/>
          </w:tcPr>
          <w:p>
            <w:pPr>
              <w:spacing w:after="0" w:line="240" w:lineRule="auto"/>
              <w:jc w:val="right"/>
            </w:pPr>
            <w:r/>
            <w:r>
              <w:rPr>
                <w:sz w:val="18"/>
              </w:rPr>
              <w:t>23.96</w:t>
            </w:r>
          </w:p>
        </w:tc>
        <w:tc>
          <w:tcPr>
            <w:tcW w:type="dxa" w:w="2778"/>
            <w:shd w:val="clear" w:color="auto" w:fill="F2F4F7"/>
          </w:tcPr>
          <w:p>
            <w:pPr>
              <w:spacing w:after="0" w:line="240" w:lineRule="auto"/>
              <w:jc w:val="right"/>
            </w:pPr>
            <w:r/>
            <w:r>
              <w:rPr>
                <w:sz w:val="18"/>
              </w:rPr>
              <w:t>191.67</w:t>
            </w:r>
          </w:p>
        </w:tc>
      </w:tr>
      <w:tr>
        <w:trPr>
          <w:cantSplit/>
        </w:trPr>
        <w:tc>
          <w:tcPr>
            <w:tcW w:type="dxa" w:w="1701"/>
          </w:tcPr>
          <w:p>
            <w:pPr>
              <w:spacing w:after="0" w:line="240" w:lineRule="auto"/>
              <w:jc w:val="right"/>
            </w:pPr>
            <w:r/>
            <w:r>
              <w:rPr>
                <w:sz w:val="18"/>
              </w:rPr>
              <w:t>9</w:t>
            </w:r>
          </w:p>
        </w:tc>
        <w:tc>
          <w:tcPr>
            <w:tcW w:type="dxa" w:w="2041"/>
          </w:tcPr>
          <w:p>
            <w:pPr>
              <w:spacing w:after="0" w:line="240" w:lineRule="auto"/>
              <w:jc w:val="right"/>
            </w:pPr>
            <w:r/>
            <w:r>
              <w:rPr>
                <w:sz w:val="18"/>
              </w:rPr>
              <w:t>54</w:t>
            </w:r>
          </w:p>
        </w:tc>
        <w:tc>
          <w:tcPr>
            <w:tcW w:type="dxa" w:w="2721"/>
          </w:tcPr>
          <w:p>
            <w:pPr>
              <w:spacing w:after="0" w:line="240" w:lineRule="auto"/>
              <w:jc w:val="right"/>
            </w:pPr>
            <w:r/>
            <w:r>
              <w:rPr>
                <w:sz w:val="18"/>
              </w:rPr>
              <w:t>23.96</w:t>
            </w:r>
          </w:p>
        </w:tc>
        <w:tc>
          <w:tcPr>
            <w:tcW w:type="dxa" w:w="2778"/>
          </w:tcPr>
          <w:p>
            <w:pPr>
              <w:spacing w:after="0" w:line="240" w:lineRule="auto"/>
              <w:jc w:val="right"/>
            </w:pPr>
            <w:r/>
            <w:r>
              <w:rPr>
                <w:sz w:val="18"/>
              </w:rPr>
              <w:t>215.62</w:t>
            </w:r>
          </w:p>
        </w:tc>
      </w:tr>
      <w:tr>
        <w:trPr>
          <w:cantSplit/>
        </w:trPr>
        <w:tc>
          <w:tcPr>
            <w:tcW w:type="dxa" w:w="1701"/>
            <w:shd w:val="clear" w:color="auto" w:fill="F2F4F7"/>
          </w:tcPr>
          <w:p>
            <w:pPr>
              <w:spacing w:after="0" w:line="240" w:lineRule="auto"/>
              <w:jc w:val="right"/>
            </w:pPr>
            <w:r/>
            <w:r>
              <w:rPr>
                <w:sz w:val="18"/>
              </w:rPr>
              <w:t>10</w:t>
            </w:r>
          </w:p>
        </w:tc>
        <w:tc>
          <w:tcPr>
            <w:tcW w:type="dxa" w:w="2041"/>
            <w:shd w:val="clear" w:color="auto" w:fill="F2F4F7"/>
          </w:tcPr>
          <w:p>
            <w:pPr>
              <w:spacing w:after="0" w:line="240" w:lineRule="auto"/>
              <w:jc w:val="right"/>
            </w:pPr>
            <w:r/>
            <w:r>
              <w:rPr>
                <w:sz w:val="18"/>
              </w:rPr>
              <w:t>57</w:t>
            </w:r>
          </w:p>
        </w:tc>
        <w:tc>
          <w:tcPr>
            <w:tcW w:type="dxa" w:w="2721"/>
            <w:shd w:val="clear" w:color="auto" w:fill="F2F4F7"/>
          </w:tcPr>
          <w:p>
            <w:pPr>
              <w:spacing w:after="0" w:line="240" w:lineRule="auto"/>
              <w:jc w:val="right"/>
            </w:pPr>
            <w:r/>
            <w:r>
              <w:rPr>
                <w:sz w:val="18"/>
              </w:rPr>
              <w:t>23.96</w:t>
            </w:r>
          </w:p>
        </w:tc>
        <w:tc>
          <w:tcPr>
            <w:tcW w:type="dxa" w:w="2778"/>
            <w:shd w:val="clear" w:color="auto" w:fill="F2F4F7"/>
          </w:tcPr>
          <w:p>
            <w:pPr>
              <w:spacing w:after="0" w:line="240" w:lineRule="auto"/>
              <w:jc w:val="right"/>
            </w:pPr>
            <w:r/>
            <w:r>
              <w:rPr>
                <w:sz w:val="18"/>
              </w:rPr>
              <w:t>239.58</w:t>
            </w:r>
          </w:p>
        </w:tc>
      </w:tr>
      <w:tr>
        <w:trPr>
          <w:cantSplit/>
        </w:trPr>
        <w:tc>
          <w:tcPr>
            <w:tcW w:type="dxa" w:w="1701"/>
          </w:tcPr>
          <w:p>
            <w:pPr>
              <w:spacing w:after="0" w:line="240" w:lineRule="auto"/>
              <w:jc w:val="right"/>
            </w:pPr>
            <w:r/>
            <w:r>
              <w:rPr>
                <w:sz w:val="18"/>
              </w:rPr>
              <w:t>11</w:t>
            </w:r>
          </w:p>
        </w:tc>
        <w:tc>
          <w:tcPr>
            <w:tcW w:type="dxa" w:w="2041"/>
          </w:tcPr>
          <w:p>
            <w:pPr>
              <w:spacing w:after="0" w:line="240" w:lineRule="auto"/>
              <w:jc w:val="right"/>
            </w:pPr>
            <w:r/>
            <w:r>
              <w:rPr>
                <w:sz w:val="18"/>
              </w:rPr>
              <w:t>60</w:t>
            </w:r>
          </w:p>
        </w:tc>
        <w:tc>
          <w:tcPr>
            <w:tcW w:type="dxa" w:w="2721"/>
          </w:tcPr>
          <w:p>
            <w:pPr>
              <w:spacing w:after="0" w:line="240" w:lineRule="auto"/>
              <w:jc w:val="right"/>
            </w:pPr>
            <w:r/>
            <w:r>
              <w:rPr>
                <w:sz w:val="18"/>
              </w:rPr>
              <w:t>23.96</w:t>
            </w:r>
          </w:p>
        </w:tc>
        <w:tc>
          <w:tcPr>
            <w:tcW w:type="dxa" w:w="2778"/>
          </w:tcPr>
          <w:p>
            <w:pPr>
              <w:spacing w:after="0" w:line="240" w:lineRule="auto"/>
              <w:jc w:val="right"/>
            </w:pPr>
            <w:r/>
            <w:r>
              <w:rPr>
                <w:sz w:val="18"/>
              </w:rPr>
              <w:t>263.54</w:t>
            </w:r>
          </w:p>
        </w:tc>
      </w:tr>
      <w:tr>
        <w:trPr>
          <w:cantSplit/>
        </w:trPr>
        <w:tc>
          <w:tcPr>
            <w:tcW w:type="dxa" w:w="1701"/>
            <w:shd w:val="clear" w:color="auto" w:fill="F2F4F7"/>
          </w:tcPr>
          <w:p>
            <w:pPr>
              <w:spacing w:after="0" w:line="240" w:lineRule="auto"/>
              <w:jc w:val="right"/>
            </w:pPr>
            <w:r/>
            <w:r>
              <w:rPr>
                <w:sz w:val="18"/>
              </w:rPr>
              <w:t>12</w:t>
            </w:r>
          </w:p>
        </w:tc>
        <w:tc>
          <w:tcPr>
            <w:tcW w:type="dxa" w:w="2041"/>
            <w:shd w:val="clear" w:color="auto" w:fill="F2F4F7"/>
          </w:tcPr>
          <w:p>
            <w:pPr>
              <w:spacing w:after="0" w:line="240" w:lineRule="auto"/>
              <w:jc w:val="right"/>
            </w:pPr>
            <w:r/>
            <w:r>
              <w:rPr>
                <w:sz w:val="18"/>
              </w:rPr>
              <w:t>63</w:t>
            </w:r>
          </w:p>
        </w:tc>
        <w:tc>
          <w:tcPr>
            <w:tcW w:type="dxa" w:w="2721"/>
            <w:shd w:val="clear" w:color="auto" w:fill="F2F4F7"/>
          </w:tcPr>
          <w:p>
            <w:pPr>
              <w:spacing w:after="0" w:line="240" w:lineRule="auto"/>
              <w:jc w:val="right"/>
            </w:pPr>
            <w:r/>
            <w:r>
              <w:rPr>
                <w:sz w:val="18"/>
              </w:rPr>
              <w:t>23.96</w:t>
            </w:r>
          </w:p>
        </w:tc>
        <w:tc>
          <w:tcPr>
            <w:tcW w:type="dxa" w:w="2778"/>
            <w:shd w:val="clear" w:color="auto" w:fill="F2F4F7"/>
          </w:tcPr>
          <w:p>
            <w:pPr>
              <w:spacing w:after="0" w:line="240" w:lineRule="auto"/>
              <w:jc w:val="right"/>
            </w:pPr>
            <w:r/>
            <w:r>
              <w:rPr>
                <w:sz w:val="18"/>
              </w:rPr>
              <w:t>287.50</w:t>
            </w:r>
          </w:p>
        </w:tc>
      </w:tr>
    </w:tbl>
    <w:p>
      <w:pPr>
        <w:spacing w:after="80"/>
      </w:pPr>
    </w:p>
    <w:p>
      <w:r>
        <w:rPr>
          <w:b w:val="0"/>
          <w:i w:val="0"/>
        </w:rPr>
        <w:t>Alternatives considered and not recommended are in section 13.4: a percentage of collections with floor and cap, and a hybrid of a fixed minimum plus a share of collections.</w:t>
      </w:r>
    </w:p>
    <w:p>
      <w:pPr>
        <w:pStyle w:val="Heading1"/>
        <w:pageBreakBefore/>
      </w:pPr>
      <w:r>
        <w:t>13. Returns analysis and sensitivities</w:t>
      </w:r>
    </w:p>
    <w:p>
      <w:r>
        <w:rPr>
          <w:b w:val="0"/>
          <w:i/>
        </w:rPr>
        <w:t>All returns are projections, labelled by case. IRRs are annual, compounded from quarterly flows; the investor funds in month 3.</w:t>
      </w:r>
    </w:p>
    <w:p>
      <w:pPr>
        <w:pStyle w:val="Heading2"/>
      </w:pPr>
      <w:r>
        <w:t>13.1 Option A</w:t>
      </w:r>
    </w:p>
    <w:p>
      <w:pPr>
        <w:keepNext/>
        <w:spacing w:after="60"/>
      </w:pPr>
      <w:r>
        <w:rPr>
          <w:b/>
          <w:color w:val="17324D"/>
          <w:sz w:val="19"/>
        </w:rPr>
        <w:t>Table 22: Option A investor returns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Case</w:t>
            </w:r>
          </w:p>
        </w:tc>
        <w:tc>
          <w:tcPr>
            <w:tcW w:type="dxa" w:w="3912"/>
            <w:shd w:val="clear" w:color="auto" w:fill="17324D"/>
          </w:tcPr>
          <w:p>
            <w:pPr>
              <w:spacing w:after="0" w:line="240" w:lineRule="auto"/>
            </w:pPr>
            <w:r/>
            <w:r>
              <w:rPr>
                <w:b/>
                <w:color w:val="FFFFFF"/>
                <w:sz w:val="19"/>
              </w:rPr>
              <w:t>Assumption</w:t>
            </w:r>
          </w:p>
        </w:tc>
        <w:tc>
          <w:tcPr>
            <w:tcW w:type="dxa" w:w="1701"/>
            <w:shd w:val="clear" w:color="auto" w:fill="17324D"/>
          </w:tcPr>
          <w:p>
            <w:pPr>
              <w:spacing w:after="0" w:line="240" w:lineRule="auto"/>
              <w:jc w:val="right"/>
            </w:pPr>
            <w:r/>
            <w:r>
              <w:rPr>
                <w:b/>
                <w:color w:val="FFFFFF"/>
                <w:sz w:val="19"/>
              </w:rPr>
              <w:t>Investor IRR</w:t>
            </w:r>
          </w:p>
        </w:tc>
        <w:tc>
          <w:tcPr>
            <w:tcW w:type="dxa" w:w="1701"/>
            <w:shd w:val="clear" w:color="auto" w:fill="17324D"/>
          </w:tcPr>
          <w:p>
            <w:pPr>
              <w:spacing w:after="0" w:line="240" w:lineRule="auto"/>
              <w:jc w:val="right"/>
            </w:pPr>
            <w:r/>
            <w:r>
              <w:rPr>
                <w:b/>
                <w:color w:val="FFFFFF"/>
                <w:sz w:val="19"/>
              </w:rPr>
              <w:t>Investor MOIC</w:t>
            </w:r>
          </w:p>
        </w:tc>
      </w:tr>
      <w:tr>
        <w:trPr>
          <w:cantSplit/>
        </w:trPr>
        <w:tc>
          <w:tcPr>
            <w:tcW w:type="dxa" w:w="1928"/>
          </w:tcPr>
          <w:p>
            <w:pPr>
              <w:spacing w:after="0" w:line="240" w:lineRule="auto"/>
            </w:pPr>
            <w:r/>
            <w:r>
              <w:rPr>
                <w:sz w:val="19"/>
              </w:rPr>
              <w:t>Base</w:t>
            </w:r>
          </w:p>
        </w:tc>
        <w:tc>
          <w:tcPr>
            <w:tcW w:type="dxa" w:w="3912"/>
          </w:tcPr>
          <w:p>
            <w:pPr>
              <w:spacing w:after="0" w:line="240" w:lineRule="auto"/>
            </w:pPr>
            <w:r/>
            <w:r>
              <w:rPr>
                <w:sz w:val="19"/>
              </w:rPr>
              <w:t>Resale at delivery list price; 3% cost</w:t>
            </w:r>
          </w:p>
        </w:tc>
        <w:tc>
          <w:tcPr>
            <w:tcW w:type="dxa" w:w="1701"/>
          </w:tcPr>
          <w:p>
            <w:pPr>
              <w:spacing w:after="0" w:line="240" w:lineRule="auto"/>
              <w:jc w:val="right"/>
            </w:pPr>
            <w:r/>
            <w:r>
              <w:rPr>
                <w:sz w:val="19"/>
              </w:rPr>
              <w:t>26.4%</w:t>
            </w:r>
          </w:p>
        </w:tc>
        <w:tc>
          <w:tcPr>
            <w:tcW w:type="dxa" w:w="1701"/>
          </w:tcPr>
          <w:p>
            <w:pPr>
              <w:spacing w:after="0" w:line="240" w:lineRule="auto"/>
              <w:jc w:val="right"/>
            </w:pPr>
            <w:r/>
            <w:r>
              <w:rPr>
                <w:sz w:val="19"/>
              </w:rPr>
              <w:t>2.78x</w:t>
            </w:r>
          </w:p>
        </w:tc>
      </w:tr>
      <w:tr>
        <w:trPr>
          <w:cantSplit/>
        </w:trPr>
        <w:tc>
          <w:tcPr>
            <w:tcW w:type="dxa" w:w="1928"/>
            <w:shd w:val="clear" w:color="auto" w:fill="F2F4F7"/>
          </w:tcPr>
          <w:p>
            <w:pPr>
              <w:spacing w:after="0" w:line="240" w:lineRule="auto"/>
            </w:pPr>
            <w:r/>
            <w:r>
              <w:rPr>
                <w:sz w:val="19"/>
              </w:rPr>
              <w:t>Downside</w:t>
            </w:r>
          </w:p>
        </w:tc>
        <w:tc>
          <w:tcPr>
            <w:tcW w:type="dxa" w:w="3912"/>
            <w:shd w:val="clear" w:color="auto" w:fill="F2F4F7"/>
          </w:tcPr>
          <w:p>
            <w:pPr>
              <w:spacing w:after="0" w:line="240" w:lineRule="auto"/>
            </w:pPr>
            <w:r/>
            <w:r>
              <w:rPr>
                <w:sz w:val="19"/>
              </w:rPr>
              <w:t>Resale 12 months later and 10% lower</w:t>
            </w:r>
          </w:p>
        </w:tc>
        <w:tc>
          <w:tcPr>
            <w:tcW w:type="dxa" w:w="1701"/>
            <w:shd w:val="clear" w:color="auto" w:fill="F2F4F7"/>
          </w:tcPr>
          <w:p>
            <w:pPr>
              <w:spacing w:after="0" w:line="240" w:lineRule="auto"/>
              <w:jc w:val="right"/>
            </w:pPr>
            <w:r/>
            <w:r>
              <w:rPr>
                <w:sz w:val="19"/>
              </w:rPr>
              <w:t>18.6%</w:t>
            </w:r>
          </w:p>
        </w:tc>
        <w:tc>
          <w:tcPr>
            <w:tcW w:type="dxa" w:w="1701"/>
            <w:shd w:val="clear" w:color="auto" w:fill="F2F4F7"/>
          </w:tcPr>
          <w:p>
            <w:pPr>
              <w:spacing w:after="0" w:line="240" w:lineRule="auto"/>
              <w:jc w:val="right"/>
            </w:pPr>
            <w:r/>
            <w:r>
              <w:rPr>
                <w:sz w:val="19"/>
              </w:rPr>
              <w:t>2.50x</w:t>
            </w:r>
          </w:p>
        </w:tc>
      </w:tr>
      <w:tr>
        <w:trPr>
          <w:cantSplit/>
        </w:trPr>
        <w:tc>
          <w:tcPr>
            <w:tcW w:type="dxa" w:w="1928"/>
          </w:tcPr>
          <w:p>
            <w:pPr>
              <w:spacing w:after="0" w:line="240" w:lineRule="auto"/>
            </w:pPr>
            <w:r/>
            <w:r>
              <w:rPr>
                <w:sz w:val="19"/>
              </w:rPr>
              <w:t>Upside</w:t>
            </w:r>
          </w:p>
        </w:tc>
        <w:tc>
          <w:tcPr>
            <w:tcW w:type="dxa" w:w="3912"/>
          </w:tcPr>
          <w:p>
            <w:pPr>
              <w:spacing w:after="0" w:line="240" w:lineRule="auto"/>
            </w:pPr>
            <w:r/>
            <w:r>
              <w:rPr>
                <w:sz w:val="19"/>
              </w:rPr>
              <w:t>Resale 10% higher</w:t>
            </w:r>
          </w:p>
        </w:tc>
        <w:tc>
          <w:tcPr>
            <w:tcW w:type="dxa" w:w="1701"/>
          </w:tcPr>
          <w:p>
            <w:pPr>
              <w:spacing w:after="0" w:line="240" w:lineRule="auto"/>
              <w:jc w:val="right"/>
            </w:pPr>
            <w:r/>
            <w:r>
              <w:rPr>
                <w:sz w:val="19"/>
              </w:rPr>
              <w:t>29.2%</w:t>
            </w:r>
          </w:p>
        </w:tc>
        <w:tc>
          <w:tcPr>
            <w:tcW w:type="dxa" w:w="1701"/>
          </w:tcPr>
          <w:p>
            <w:pPr>
              <w:spacing w:after="0" w:line="240" w:lineRule="auto"/>
              <w:jc w:val="right"/>
            </w:pPr>
            <w:r/>
            <w:r>
              <w:rPr>
                <w:sz w:val="19"/>
              </w:rPr>
              <w:t>3.06x</w:t>
            </w:r>
          </w:p>
        </w:tc>
      </w:tr>
      <w:tr>
        <w:trPr>
          <w:cantSplit/>
        </w:trPr>
        <w:tc>
          <w:tcPr>
            <w:tcW w:type="dxa" w:w="1928"/>
            <w:shd w:val="clear" w:color="auto" w:fill="F2F4F7"/>
          </w:tcPr>
          <w:p>
            <w:pPr>
              <w:spacing w:after="0" w:line="240" w:lineRule="auto"/>
            </w:pPr>
            <w:r/>
            <w:r>
              <w:rPr>
                <w:sz w:val="19"/>
              </w:rPr>
              <w:t>Appreciation 40%</w:t>
            </w:r>
          </w:p>
        </w:tc>
        <w:tc>
          <w:tcPr>
            <w:tcW w:type="dxa" w:w="3912"/>
            <w:shd w:val="clear" w:color="auto" w:fill="F2F4F7"/>
          </w:tcPr>
          <w:p>
            <w:pPr>
              <w:spacing w:after="0" w:line="240" w:lineRule="auto"/>
            </w:pPr>
            <w:r/>
            <w:r>
              <w:rPr>
                <w:sz w:val="19"/>
              </w:rPr>
              <w:t>Launch to resale +40%</w:t>
            </w:r>
          </w:p>
        </w:tc>
        <w:tc>
          <w:tcPr>
            <w:tcW w:type="dxa" w:w="1701"/>
            <w:shd w:val="clear" w:color="auto" w:fill="F2F4F7"/>
          </w:tcPr>
          <w:p>
            <w:pPr>
              <w:spacing w:after="0" w:line="240" w:lineRule="auto"/>
              <w:jc w:val="right"/>
            </w:pPr>
            <w:r/>
            <w:r>
              <w:rPr>
                <w:sz w:val="19"/>
              </w:rPr>
              <w:t>25.7%</w:t>
            </w:r>
          </w:p>
        </w:tc>
        <w:tc>
          <w:tcPr>
            <w:tcW w:type="dxa" w:w="1701"/>
            <w:shd w:val="clear" w:color="auto" w:fill="F2F4F7"/>
          </w:tcPr>
          <w:p>
            <w:pPr>
              <w:spacing w:after="0" w:line="240" w:lineRule="auto"/>
              <w:jc w:val="right"/>
            </w:pPr>
            <w:r/>
            <w:r>
              <w:rPr>
                <w:sz w:val="19"/>
              </w:rPr>
              <w:t>2.72x</w:t>
            </w:r>
          </w:p>
        </w:tc>
      </w:tr>
      <w:tr>
        <w:trPr>
          <w:cantSplit/>
        </w:trPr>
        <w:tc>
          <w:tcPr>
            <w:tcW w:type="dxa" w:w="1928"/>
          </w:tcPr>
          <w:p>
            <w:pPr>
              <w:spacing w:after="0" w:line="240" w:lineRule="auto"/>
            </w:pPr>
            <w:r/>
            <w:r>
              <w:rPr>
                <w:sz w:val="19"/>
              </w:rPr>
              <w:t>Appreciation 60%</w:t>
            </w:r>
          </w:p>
        </w:tc>
        <w:tc>
          <w:tcPr>
            <w:tcW w:type="dxa" w:w="3912"/>
          </w:tcPr>
          <w:p>
            <w:pPr>
              <w:spacing w:after="0" w:line="240" w:lineRule="auto"/>
            </w:pPr>
            <w:r/>
            <w:r>
              <w:rPr>
                <w:sz w:val="19"/>
              </w:rPr>
              <w:t>Launch to resale +60%</w:t>
            </w:r>
          </w:p>
        </w:tc>
        <w:tc>
          <w:tcPr>
            <w:tcW w:type="dxa" w:w="1701"/>
          </w:tcPr>
          <w:p>
            <w:pPr>
              <w:spacing w:after="0" w:line="240" w:lineRule="auto"/>
              <w:jc w:val="right"/>
            </w:pPr>
            <w:r/>
            <w:r>
              <w:rPr>
                <w:sz w:val="19"/>
              </w:rPr>
              <w:t>29.6%</w:t>
            </w:r>
          </w:p>
        </w:tc>
        <w:tc>
          <w:tcPr>
            <w:tcW w:type="dxa" w:w="1701"/>
          </w:tcPr>
          <w:p>
            <w:pPr>
              <w:spacing w:after="0" w:line="240" w:lineRule="auto"/>
              <w:jc w:val="right"/>
            </w:pPr>
            <w:r/>
            <w:r>
              <w:rPr>
                <w:sz w:val="19"/>
              </w:rPr>
              <w:t>3.10x</w:t>
            </w:r>
          </w:p>
        </w:tc>
      </w:tr>
      <w:tr>
        <w:trPr>
          <w:cantSplit/>
        </w:trPr>
        <w:tc>
          <w:tcPr>
            <w:tcW w:type="dxa" w:w="1928"/>
            <w:shd w:val="clear" w:color="auto" w:fill="F2F4F7"/>
          </w:tcPr>
          <w:p>
            <w:pPr>
              <w:spacing w:after="0" w:line="240" w:lineRule="auto"/>
            </w:pPr>
            <w:r/>
            <w:r>
              <w:rPr>
                <w:sz w:val="19"/>
              </w:rPr>
              <w:t>No appreciation</w:t>
            </w:r>
          </w:p>
        </w:tc>
        <w:tc>
          <w:tcPr>
            <w:tcW w:type="dxa" w:w="3912"/>
            <w:shd w:val="clear" w:color="auto" w:fill="F2F4F7"/>
          </w:tcPr>
          <w:p>
            <w:pPr>
              <w:spacing w:after="0" w:line="240" w:lineRule="auto"/>
            </w:pPr>
            <w:r/>
            <w:r>
              <w:rPr>
                <w:sz w:val="19"/>
              </w:rPr>
              <w:t>Resale at launch list</w:t>
            </w:r>
          </w:p>
        </w:tc>
        <w:tc>
          <w:tcPr>
            <w:tcW w:type="dxa" w:w="1701"/>
            <w:shd w:val="clear" w:color="auto" w:fill="F2F4F7"/>
          </w:tcPr>
          <w:p>
            <w:pPr>
              <w:spacing w:after="0" w:line="240" w:lineRule="auto"/>
              <w:jc w:val="right"/>
            </w:pPr>
            <w:r/>
            <w:r>
              <w:rPr>
                <w:sz w:val="19"/>
              </w:rPr>
              <w:t>16.4%</w:t>
            </w:r>
          </w:p>
        </w:tc>
        <w:tc>
          <w:tcPr>
            <w:tcW w:type="dxa" w:w="1701"/>
            <w:shd w:val="clear" w:color="auto" w:fill="F2F4F7"/>
          </w:tcPr>
          <w:p>
            <w:pPr>
              <w:spacing w:after="0" w:line="240" w:lineRule="auto"/>
              <w:jc w:val="right"/>
            </w:pPr>
            <w:r/>
            <w:r>
              <w:rPr>
                <w:sz w:val="19"/>
              </w:rPr>
              <w:t>1.94x</w:t>
            </w:r>
          </w:p>
        </w:tc>
      </w:tr>
    </w:tbl>
    <w:p>
      <w:pPr>
        <w:spacing w:after="80"/>
      </w:pPr>
    </w:p>
    <w:p>
      <w:r>
        <w:rPr>
          <w:b w:val="0"/>
          <w:i w:val="0"/>
        </w:rPr>
        <w:t>Break-even: the units can fall to 36% of the delivery list price before the investor loses money on the ticket. The base case relies on list prices rising by 33% (retail) and 48% (offices); with no appreciation the units return 1.94x.</w:t>
      </w:r>
    </w:p>
    <w:p>
      <w:pPr>
        <w:keepNext/>
        <w:spacing w:after="60"/>
      </w:pPr>
      <w:r>
        <w:rPr>
          <w:b/>
          <w:color w:val="17324D"/>
          <w:sz w:val="19"/>
        </w:rPr>
        <w:t>Table 23: Sensitivity to the face multiple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Face multiple</w:t>
            </w:r>
          </w:p>
        </w:tc>
        <w:tc>
          <w:tcPr>
            <w:tcW w:type="dxa" w:w="2324"/>
            <w:shd w:val="clear" w:color="auto" w:fill="17324D"/>
          </w:tcPr>
          <w:p>
            <w:pPr>
              <w:spacing w:after="0" w:line="240" w:lineRule="auto"/>
              <w:jc w:val="right"/>
            </w:pPr>
            <w:r/>
            <w:r>
              <w:rPr>
                <w:b/>
                <w:color w:val="FFFFFF"/>
                <w:sz w:val="19"/>
              </w:rPr>
              <w:t>Investor IRR</w:t>
            </w:r>
          </w:p>
        </w:tc>
        <w:tc>
          <w:tcPr>
            <w:tcW w:type="dxa" w:w="2324"/>
            <w:shd w:val="clear" w:color="auto" w:fill="17324D"/>
          </w:tcPr>
          <w:p>
            <w:pPr>
              <w:spacing w:after="0" w:line="240" w:lineRule="auto"/>
              <w:jc w:val="right"/>
            </w:pPr>
            <w:r/>
            <w:r>
              <w:rPr>
                <w:b/>
                <w:color w:val="FFFFFF"/>
                <w:sz w:val="19"/>
              </w:rPr>
              <w:t>Investor MOIC</w:t>
            </w:r>
          </w:p>
        </w:tc>
        <w:tc>
          <w:tcPr>
            <w:tcW w:type="dxa" w:w="2665"/>
            <w:shd w:val="clear" w:color="auto" w:fill="17324D"/>
          </w:tcPr>
          <w:p>
            <w:pPr>
              <w:spacing w:after="0" w:line="240" w:lineRule="auto"/>
              <w:jc w:val="right"/>
            </w:pPr>
            <w:r/>
            <w:r>
              <w:rPr>
                <w:b/>
                <w:color w:val="FFFFFF"/>
                <w:sz w:val="19"/>
              </w:rPr>
              <w:t>Jalour cost of capital</w:t>
            </w:r>
          </w:p>
        </w:tc>
      </w:tr>
      <w:tr>
        <w:trPr>
          <w:cantSplit/>
        </w:trPr>
        <w:tc>
          <w:tcPr>
            <w:tcW w:type="dxa" w:w="1928"/>
          </w:tcPr>
          <w:p>
            <w:pPr>
              <w:spacing w:after="0" w:line="240" w:lineRule="auto"/>
            </w:pPr>
            <w:r/>
            <w:r>
              <w:rPr>
                <w:sz w:val="19"/>
              </w:rPr>
              <w:t>1.50x</w:t>
            </w:r>
          </w:p>
        </w:tc>
        <w:tc>
          <w:tcPr>
            <w:tcW w:type="dxa" w:w="2324"/>
          </w:tcPr>
          <w:p>
            <w:pPr>
              <w:spacing w:after="0" w:line="240" w:lineRule="auto"/>
              <w:jc w:val="right"/>
            </w:pPr>
            <w:r/>
            <w:r>
              <w:rPr>
                <w:sz w:val="19"/>
              </w:rPr>
              <w:t>18.3%</w:t>
            </w:r>
          </w:p>
        </w:tc>
        <w:tc>
          <w:tcPr>
            <w:tcW w:type="dxa" w:w="2324"/>
          </w:tcPr>
          <w:p>
            <w:pPr>
              <w:spacing w:after="0" w:line="240" w:lineRule="auto"/>
              <w:jc w:val="right"/>
            </w:pPr>
            <w:r/>
            <w:r>
              <w:rPr>
                <w:sz w:val="19"/>
              </w:rPr>
              <w:t>2.09x</w:t>
            </w:r>
          </w:p>
        </w:tc>
        <w:tc>
          <w:tcPr>
            <w:tcW w:type="dxa" w:w="2665"/>
          </w:tcPr>
          <w:p>
            <w:pPr>
              <w:spacing w:after="0" w:line="240" w:lineRule="auto"/>
              <w:jc w:val="right"/>
            </w:pPr>
            <w:r/>
            <w:r>
              <w:rPr>
                <w:sz w:val="19"/>
              </w:rPr>
              <w:t>10.4%</w:t>
            </w:r>
          </w:p>
        </w:tc>
      </w:tr>
      <w:tr>
        <w:trPr>
          <w:cantSplit/>
        </w:trPr>
        <w:tc>
          <w:tcPr>
            <w:tcW w:type="dxa" w:w="1928"/>
            <w:shd w:val="clear" w:color="auto" w:fill="F2F4F7"/>
          </w:tcPr>
          <w:p>
            <w:pPr>
              <w:spacing w:after="0" w:line="240" w:lineRule="auto"/>
            </w:pPr>
            <w:r/>
            <w:r>
              <w:rPr>
                <w:sz w:val="19"/>
              </w:rPr>
              <w:t>1.75x</w:t>
            </w:r>
          </w:p>
        </w:tc>
        <w:tc>
          <w:tcPr>
            <w:tcW w:type="dxa" w:w="2324"/>
            <w:shd w:val="clear" w:color="auto" w:fill="F2F4F7"/>
          </w:tcPr>
          <w:p>
            <w:pPr>
              <w:spacing w:after="0" w:line="240" w:lineRule="auto"/>
              <w:jc w:val="right"/>
            </w:pPr>
            <w:r/>
            <w:r>
              <w:rPr>
                <w:sz w:val="19"/>
              </w:rPr>
              <w:t>22.6%</w:t>
            </w:r>
          </w:p>
        </w:tc>
        <w:tc>
          <w:tcPr>
            <w:tcW w:type="dxa" w:w="2324"/>
            <w:shd w:val="clear" w:color="auto" w:fill="F2F4F7"/>
          </w:tcPr>
          <w:p>
            <w:pPr>
              <w:spacing w:after="0" w:line="240" w:lineRule="auto"/>
              <w:jc w:val="right"/>
            </w:pPr>
            <w:r/>
            <w:r>
              <w:rPr>
                <w:sz w:val="19"/>
              </w:rPr>
              <w:t>2.43x</w:t>
            </w:r>
          </w:p>
        </w:tc>
        <w:tc>
          <w:tcPr>
            <w:tcW w:type="dxa" w:w="2665"/>
            <w:shd w:val="clear" w:color="auto" w:fill="F2F4F7"/>
          </w:tcPr>
          <w:p>
            <w:pPr>
              <w:spacing w:after="0" w:line="240" w:lineRule="auto"/>
              <w:jc w:val="right"/>
            </w:pPr>
            <w:r/>
            <w:r>
              <w:rPr>
                <w:sz w:val="19"/>
              </w:rPr>
              <w:t>15.7%</w:t>
            </w:r>
          </w:p>
        </w:tc>
      </w:tr>
      <w:tr>
        <w:trPr>
          <w:cantSplit/>
        </w:trPr>
        <w:tc>
          <w:tcPr>
            <w:tcW w:type="dxa" w:w="1928"/>
          </w:tcPr>
          <w:p>
            <w:pPr>
              <w:spacing w:after="0" w:line="240" w:lineRule="auto"/>
            </w:pPr>
            <w:r/>
            <w:r>
              <w:rPr>
                <w:sz w:val="19"/>
              </w:rPr>
              <w:t>2.00x</w:t>
            </w:r>
          </w:p>
        </w:tc>
        <w:tc>
          <w:tcPr>
            <w:tcW w:type="dxa" w:w="2324"/>
          </w:tcPr>
          <w:p>
            <w:pPr>
              <w:spacing w:after="0" w:line="240" w:lineRule="auto"/>
              <w:jc w:val="right"/>
            </w:pPr>
            <w:r/>
            <w:r>
              <w:rPr>
                <w:sz w:val="19"/>
              </w:rPr>
              <w:t>26.4%</w:t>
            </w:r>
          </w:p>
        </w:tc>
        <w:tc>
          <w:tcPr>
            <w:tcW w:type="dxa" w:w="2324"/>
          </w:tcPr>
          <w:p>
            <w:pPr>
              <w:spacing w:after="0" w:line="240" w:lineRule="auto"/>
              <w:jc w:val="right"/>
            </w:pPr>
            <w:r/>
            <w:r>
              <w:rPr>
                <w:sz w:val="19"/>
              </w:rPr>
              <w:t>2.78x</w:t>
            </w:r>
          </w:p>
        </w:tc>
        <w:tc>
          <w:tcPr>
            <w:tcW w:type="dxa" w:w="2665"/>
          </w:tcPr>
          <w:p>
            <w:pPr>
              <w:spacing w:after="0" w:line="240" w:lineRule="auto"/>
              <w:jc w:val="right"/>
            </w:pPr>
            <w:r/>
            <w:r>
              <w:rPr>
                <w:sz w:val="19"/>
              </w:rPr>
              <w:t>20.7%</w:t>
            </w:r>
          </w:p>
        </w:tc>
      </w:tr>
      <w:tr>
        <w:trPr>
          <w:cantSplit/>
        </w:trPr>
        <w:tc>
          <w:tcPr>
            <w:tcW w:type="dxa" w:w="1928"/>
            <w:shd w:val="clear" w:color="auto" w:fill="F2F4F7"/>
          </w:tcPr>
          <w:p>
            <w:pPr>
              <w:spacing w:after="0" w:line="240" w:lineRule="auto"/>
            </w:pPr>
            <w:r/>
            <w:r>
              <w:rPr>
                <w:sz w:val="19"/>
              </w:rPr>
              <w:t>2.25x</w:t>
            </w:r>
          </w:p>
        </w:tc>
        <w:tc>
          <w:tcPr>
            <w:tcW w:type="dxa" w:w="2324"/>
            <w:shd w:val="clear" w:color="auto" w:fill="F2F4F7"/>
          </w:tcPr>
          <w:p>
            <w:pPr>
              <w:spacing w:after="0" w:line="240" w:lineRule="auto"/>
              <w:jc w:val="right"/>
            </w:pPr>
            <w:r/>
            <w:r>
              <w:rPr>
                <w:sz w:val="19"/>
              </w:rPr>
              <w:t>29.9%</w:t>
            </w:r>
          </w:p>
        </w:tc>
        <w:tc>
          <w:tcPr>
            <w:tcW w:type="dxa" w:w="2324"/>
            <w:shd w:val="clear" w:color="auto" w:fill="F2F4F7"/>
          </w:tcPr>
          <w:p>
            <w:pPr>
              <w:spacing w:after="0" w:line="240" w:lineRule="auto"/>
              <w:jc w:val="right"/>
            </w:pPr>
            <w:r/>
            <w:r>
              <w:rPr>
                <w:sz w:val="19"/>
              </w:rPr>
              <w:t>3.13x</w:t>
            </w:r>
          </w:p>
        </w:tc>
        <w:tc>
          <w:tcPr>
            <w:tcW w:type="dxa" w:w="2665"/>
            <w:shd w:val="clear" w:color="auto" w:fill="F2F4F7"/>
          </w:tcPr>
          <w:p>
            <w:pPr>
              <w:spacing w:after="0" w:line="240" w:lineRule="auto"/>
              <w:jc w:val="right"/>
            </w:pPr>
            <w:r/>
            <w:r>
              <w:rPr>
                <w:sz w:val="19"/>
              </w:rPr>
              <w:t>25.7%</w:t>
            </w:r>
          </w:p>
        </w:tc>
      </w:tr>
      <w:tr>
        <w:trPr>
          <w:cantSplit/>
        </w:trPr>
        <w:tc>
          <w:tcPr>
            <w:tcW w:type="dxa" w:w="1928"/>
          </w:tcPr>
          <w:p>
            <w:pPr>
              <w:spacing w:after="0" w:line="240" w:lineRule="auto"/>
            </w:pPr>
            <w:r/>
            <w:r>
              <w:rPr>
                <w:sz w:val="19"/>
              </w:rPr>
              <w:t>2.50x</w:t>
            </w:r>
          </w:p>
        </w:tc>
        <w:tc>
          <w:tcPr>
            <w:tcW w:type="dxa" w:w="2324"/>
          </w:tcPr>
          <w:p>
            <w:pPr>
              <w:spacing w:after="0" w:line="240" w:lineRule="auto"/>
              <w:jc w:val="right"/>
            </w:pPr>
            <w:r/>
            <w:r>
              <w:rPr>
                <w:sz w:val="19"/>
              </w:rPr>
              <w:t>33.0%</w:t>
            </w:r>
          </w:p>
        </w:tc>
        <w:tc>
          <w:tcPr>
            <w:tcW w:type="dxa" w:w="2324"/>
          </w:tcPr>
          <w:p>
            <w:pPr>
              <w:spacing w:after="0" w:line="240" w:lineRule="auto"/>
              <w:jc w:val="right"/>
            </w:pPr>
            <w:r/>
            <w:r>
              <w:rPr>
                <w:sz w:val="19"/>
              </w:rPr>
              <w:t>3.48x</w:t>
            </w:r>
          </w:p>
        </w:tc>
        <w:tc>
          <w:tcPr>
            <w:tcW w:type="dxa" w:w="2665"/>
          </w:tcPr>
          <w:p>
            <w:pPr>
              <w:spacing w:after="0" w:line="240" w:lineRule="auto"/>
              <w:jc w:val="right"/>
            </w:pPr>
            <w:r/>
            <w:r>
              <w:rPr>
                <w:sz w:val="19"/>
              </w:rPr>
              <w:t>30.6%</w:t>
            </w:r>
          </w:p>
        </w:tc>
      </w:tr>
    </w:tbl>
    <w:p>
      <w:pPr>
        <w:spacing w:after="80"/>
      </w:pPr>
    </w:p>
    <w:p>
      <w:r>
        <w:rPr>
          <w:b/>
          <w:i w:val="0"/>
        </w:rPr>
        <w:t>Cost to Jalour.</w:t>
      </w:r>
      <w:r>
        <w:rPr>
          <w:b w:val="0"/>
          <w:i w:val="0"/>
        </w:rPr>
        <w:t xml:space="preserve"> Giving the investor units from the first two sales tranches removes 41% of those tranches' collections. Jalour receives the ticket at funding and forgoes those collections (the units' face value of EGP 250 million at list) as they would have been received, partly offset by commission saved. The landlord share is unchanged. On this basis Jalour's cost of capital is 20.7%; the NPV effect at 14% is EGP -23.9 million and the project NPV after the deal is EGP 191 million (before: 215). Peak cumulative shortage before the ticket rises to EGP 125.3 million. If the same area were taken pro rata from all tranches (at higher average prices) the cost would be 30.7%.</w:t>
      </w:r>
    </w:p>
    <w:p>
      <w:pPr>
        <w:keepNext/>
        <w:jc w:val="center"/>
      </w:pPr>
      <w:r>
        <w:drawing>
          <wp:inline xmlns:a="http://schemas.openxmlformats.org/drawingml/2006/main" xmlns:pic="http://schemas.openxmlformats.org/drawingml/2006/picture">
            <wp:extent cx="5580000" cy="2635000"/>
            <wp:docPr id="4" name="Picture 4"/>
            <wp:cNvGraphicFramePr>
              <a:graphicFrameLocks noChangeAspect="1"/>
            </wp:cNvGraphicFramePr>
            <a:graphic>
              <a:graphicData uri="http://schemas.openxmlformats.org/drawingml/2006/picture">
                <pic:pic>
                  <pic:nvPicPr>
                    <pic:cNvPr id="0" name="fig_inv.png"/>
                    <pic:cNvPicPr/>
                  </pic:nvPicPr>
                  <pic:blipFill>
                    <a:blip r:embed="rId14"/>
                    <a:stretch>
                      <a:fillRect/>
                    </a:stretch>
                  </pic:blipFill>
                  <pic:spPr>
                    <a:xfrm>
                      <a:off x="0" y="0"/>
                      <a:ext cx="5580000" cy="2635000"/>
                    </a:xfrm>
                    <a:prstGeom prst="rect"/>
                  </pic:spPr>
                </pic:pic>
              </a:graphicData>
            </a:graphic>
          </wp:inline>
        </w:drawing>
      </w:r>
    </w:p>
    <w:p>
      <w:pPr>
        <w:jc w:val="center"/>
      </w:pPr>
      <w:r>
        <w:rPr>
          <w:b/>
          <w:color w:val="17324D"/>
          <w:sz w:val="18"/>
        </w:rPr>
        <w:t xml:space="preserve">Figure 4: Cumulative investor cash flow by option. </w:t>
      </w:r>
      <w:r>
        <w:rPr>
          <w:i/>
          <w:color w:val="6B7280"/>
          <w:sz w:val="18"/>
        </w:rPr>
        <w:t>Source: Financial Annex, Option_A and Option_B sheets; projections</w:t>
      </w:r>
    </w:p>
    <w:p>
      <w:pPr>
        <w:pStyle w:val="Heading2"/>
      </w:pPr>
      <w:r>
        <w:t>13.2 Option B</w:t>
      </w:r>
    </w:p>
    <w:p>
      <w:pPr>
        <w:keepNext/>
        <w:spacing w:after="60"/>
      </w:pPr>
      <w:r>
        <w:rPr>
          <w:b/>
          <w:color w:val="17324D"/>
          <w:sz w:val="19"/>
        </w:rPr>
        <w:t>Table 24: Option B (fixed instalments)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402"/>
            <w:shd w:val="clear" w:color="auto" w:fill="17324D"/>
          </w:tcPr>
          <w:p>
            <w:pPr>
              <w:spacing w:after="0" w:line="240" w:lineRule="auto"/>
            </w:pPr>
            <w:r/>
            <w:r>
              <w:rPr>
                <w:b/>
                <w:color w:val="FFFFFF"/>
                <w:sz w:val="19"/>
              </w:rPr>
              <w:t>Measure</w:t>
            </w:r>
          </w:p>
        </w:tc>
        <w:tc>
          <w:tcPr>
            <w:tcW w:type="dxa" w:w="1417"/>
            <w:shd w:val="clear" w:color="auto" w:fill="17324D"/>
          </w:tcPr>
          <w:p>
            <w:pPr>
              <w:spacing w:after="0" w:line="240" w:lineRule="auto"/>
              <w:jc w:val="right"/>
            </w:pPr>
            <w:r/>
            <w:r>
              <w:rPr>
                <w:b/>
                <w:color w:val="FFFFFF"/>
                <w:sz w:val="19"/>
              </w:rPr>
              <w:t>Base</w:t>
            </w:r>
          </w:p>
        </w:tc>
        <w:tc>
          <w:tcPr>
            <w:tcW w:type="dxa" w:w="1474"/>
            <w:shd w:val="clear" w:color="auto" w:fill="17324D"/>
          </w:tcPr>
          <w:p>
            <w:pPr>
              <w:spacing w:after="0" w:line="240" w:lineRule="auto"/>
              <w:jc w:val="right"/>
            </w:pPr>
            <w:r/>
            <w:r>
              <w:rPr>
                <w:b/>
                <w:color w:val="FFFFFF"/>
                <w:sz w:val="19"/>
              </w:rPr>
              <w:t>Downside</w:t>
            </w:r>
          </w:p>
        </w:tc>
        <w:tc>
          <w:tcPr>
            <w:tcW w:type="dxa" w:w="1474"/>
            <w:shd w:val="clear" w:color="auto" w:fill="17324D"/>
          </w:tcPr>
          <w:p>
            <w:pPr>
              <w:spacing w:after="0" w:line="240" w:lineRule="auto"/>
              <w:jc w:val="right"/>
            </w:pPr>
            <w:r/>
            <w:r>
              <w:rPr>
                <w:b/>
                <w:color w:val="FFFFFF"/>
                <w:sz w:val="19"/>
              </w:rPr>
              <w:t>Upside</w:t>
            </w:r>
          </w:p>
        </w:tc>
        <w:tc>
          <w:tcPr>
            <w:tcW w:type="dxa" w:w="1474"/>
            <w:shd w:val="clear" w:color="auto" w:fill="17324D"/>
          </w:tcPr>
          <w:p>
            <w:pPr>
              <w:spacing w:after="0" w:line="240" w:lineRule="auto"/>
              <w:jc w:val="right"/>
            </w:pPr>
            <w:r/>
            <w:r>
              <w:rPr>
                <w:b/>
                <w:color w:val="FFFFFF"/>
                <w:sz w:val="19"/>
              </w:rPr>
              <w:t>Handover payments</w:t>
            </w:r>
          </w:p>
        </w:tc>
      </w:tr>
      <w:tr>
        <w:trPr>
          <w:cantSplit/>
        </w:trPr>
        <w:tc>
          <w:tcPr>
            <w:tcW w:type="dxa" w:w="3402"/>
          </w:tcPr>
          <w:p>
            <w:pPr>
              <w:spacing w:after="0" w:line="240" w:lineRule="auto"/>
            </w:pPr>
            <w:r/>
            <w:r>
              <w:rPr>
                <w:sz w:val="19"/>
              </w:rPr>
              <w:t>Investor IRR if paid</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Investor MOIC</w:t>
            </w:r>
          </w:p>
        </w:tc>
        <w:tc>
          <w:tcPr>
            <w:tcW w:type="dxa" w:w="1417"/>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r>
      <w:tr>
        <w:trPr>
          <w:cantSplit/>
        </w:trPr>
        <w:tc>
          <w:tcPr>
            <w:tcW w:type="dxa" w:w="3402"/>
          </w:tcPr>
          <w:p>
            <w:pPr>
              <w:spacing w:after="0" w:line="240" w:lineRule="auto"/>
            </w:pPr>
            <w:r/>
            <w:r>
              <w:rPr>
                <w:sz w:val="19"/>
              </w:rPr>
              <w:t>Jalour cost of capital</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Lowest pooled cash after ticket and payouts (EGP m)</w:t>
            </w:r>
          </w:p>
        </w:tc>
        <w:tc>
          <w:tcPr>
            <w:tcW w:type="dxa" w:w="1417"/>
            <w:shd w:val="clear" w:color="auto" w:fill="F2F4F7"/>
          </w:tcPr>
          <w:p>
            <w:pPr>
              <w:spacing w:after="0" w:line="240" w:lineRule="auto"/>
              <w:jc w:val="right"/>
            </w:pPr>
            <w:r/>
            <w:r>
              <w:rPr>
                <w:sz w:val="19"/>
              </w:rPr>
              <w:t>10</w:t>
            </w:r>
          </w:p>
        </w:tc>
        <w:tc>
          <w:tcPr>
            <w:tcW w:type="dxa" w:w="1474"/>
            <w:shd w:val="clear" w:color="auto" w:fill="F2F4F7"/>
          </w:tcPr>
          <w:p>
            <w:pPr>
              <w:spacing w:after="0" w:line="240" w:lineRule="auto"/>
              <w:jc w:val="right"/>
            </w:pPr>
            <w:r/>
            <w:r>
              <w:rPr>
                <w:sz w:val="19"/>
              </w:rPr>
              <w:t>-412</w:t>
            </w:r>
          </w:p>
        </w:tc>
        <w:tc>
          <w:tcPr>
            <w:tcW w:type="dxa" w:w="1474"/>
            <w:shd w:val="clear" w:color="auto" w:fill="F2F4F7"/>
          </w:tcPr>
          <w:p>
            <w:pPr>
              <w:spacing w:after="0" w:line="240" w:lineRule="auto"/>
              <w:jc w:val="right"/>
            </w:pPr>
            <w:r/>
            <w:r>
              <w:rPr>
                <w:sz w:val="19"/>
              </w:rPr>
              <w:t>22</w:t>
            </w:r>
          </w:p>
        </w:tc>
        <w:tc>
          <w:tcPr>
            <w:tcW w:type="dxa" w:w="1474"/>
            <w:shd w:val="clear" w:color="auto" w:fill="F2F4F7"/>
          </w:tcPr>
          <w:p>
            <w:pPr>
              <w:spacing w:after="0" w:line="240" w:lineRule="auto"/>
              <w:jc w:val="right"/>
            </w:pPr>
            <w:r/>
            <w:r>
              <w:rPr>
                <w:sz w:val="19"/>
              </w:rPr>
              <w:t>-288</w:t>
            </w:r>
          </w:p>
        </w:tc>
      </w:tr>
    </w:tbl>
    <w:p>
      <w:pPr>
        <w:spacing w:after="80"/>
      </w:pPr>
    </w:p>
    <w:p>
      <w:r>
        <w:rPr>
          <w:b w:val="0"/>
          <w:i w:val="0"/>
        </w:rPr>
        <w:t>In the base case the lowest pooled cash of EGP 9.8 million arises in month 60, before any instalment is due; it is the amount by which the modelled peak shortage exceeds the ticket and is funded by Jalour. Instalments are fixed, so the investor's IRR is the same in every case if Jalour pays. What changes is the cash available to pay: in the downside and handover cases pooled cash falls below zero and Jalour must fund the difference. Negative figures above are the amount Jalour would have to provide from sponsor equity or other capital sources.</w:t>
      </w:r>
    </w:p>
    <w:p>
      <w:pPr>
        <w:pStyle w:val="Heading2"/>
      </w:pPr>
      <w:r>
        <w:t>13.3 Payout coverage</w:t>
      </w:r>
    </w:p>
    <w:p>
      <w:pPr>
        <w:keepNext/>
        <w:spacing w:after="60"/>
      </w:pPr>
      <w:r>
        <w:rPr>
          <w:b/>
          <w:color w:val="17324D"/>
          <w:sz w:val="19"/>
        </w:rPr>
        <w:t>Table 25: Payout coverage, base case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134"/>
            <w:shd w:val="clear" w:color="auto" w:fill="17324D"/>
          </w:tcPr>
          <w:p>
            <w:pPr>
              <w:spacing w:after="0" w:line="240" w:lineRule="auto"/>
            </w:pPr>
            <w:r/>
            <w:r>
              <w:rPr>
                <w:b/>
                <w:color w:val="FFFFFF"/>
                <w:sz w:val="18"/>
              </w:rPr>
              <w:t>Month</w:t>
            </w:r>
          </w:p>
        </w:tc>
        <w:tc>
          <w:tcPr>
            <w:tcW w:type="dxa" w:w="2268"/>
            <w:shd w:val="clear" w:color="auto" w:fill="17324D"/>
          </w:tcPr>
          <w:p>
            <w:pPr>
              <w:spacing w:after="0" w:line="240" w:lineRule="auto"/>
              <w:jc w:val="right"/>
            </w:pPr>
            <w:r/>
            <w:r>
              <w:rPr>
                <w:b/>
                <w:color w:val="FFFFFF"/>
                <w:sz w:val="18"/>
              </w:rPr>
              <w:t>Net cash flow before payout (EGP m)</w:t>
            </w:r>
          </w:p>
        </w:tc>
        <w:tc>
          <w:tcPr>
            <w:tcW w:type="dxa" w:w="1701"/>
            <w:shd w:val="clear" w:color="auto" w:fill="17324D"/>
          </w:tcPr>
          <w:p>
            <w:pPr>
              <w:spacing w:after="0" w:line="240" w:lineRule="auto"/>
              <w:jc w:val="right"/>
            </w:pPr>
            <w:r/>
            <w:r>
              <w:rPr>
                <w:b/>
                <w:color w:val="FFFFFF"/>
                <w:sz w:val="18"/>
              </w:rPr>
              <w:t>Instalment (EGP m)</w:t>
            </w:r>
          </w:p>
        </w:tc>
        <w:tc>
          <w:tcPr>
            <w:tcW w:type="dxa" w:w="2098"/>
            <w:shd w:val="clear" w:color="auto" w:fill="17324D"/>
          </w:tcPr>
          <w:p>
            <w:pPr>
              <w:spacing w:after="0" w:line="240" w:lineRule="auto"/>
              <w:jc w:val="right"/>
            </w:pPr>
            <w:r/>
            <w:r>
              <w:rPr>
                <w:b/>
                <w:color w:val="FFFFFF"/>
                <w:sz w:val="18"/>
              </w:rPr>
              <w:t>Coverage: net cash flow / instalment</w:t>
            </w:r>
          </w:p>
        </w:tc>
        <w:tc>
          <w:tcPr>
            <w:tcW w:type="dxa" w:w="2041"/>
            <w:shd w:val="clear" w:color="auto" w:fill="17324D"/>
          </w:tcPr>
          <w:p>
            <w:pPr>
              <w:spacing w:after="0" w:line="240" w:lineRule="auto"/>
              <w:jc w:val="right"/>
            </w:pPr>
            <w:r/>
            <w:r>
              <w:rPr>
                <w:b/>
                <w:color w:val="FFFFFF"/>
                <w:sz w:val="18"/>
              </w:rPr>
              <w:t>Coverage: cash available / instalment</w:t>
            </w:r>
          </w:p>
        </w:tc>
      </w:tr>
      <w:tr>
        <w:trPr>
          <w:cantSplit/>
        </w:trPr>
        <w:tc>
          <w:tcPr>
            <w:tcW w:type="dxa" w:w="1134"/>
          </w:tcPr>
          <w:p>
            <w:pPr>
              <w:spacing w:after="0" w:line="240" w:lineRule="auto"/>
            </w:pPr>
            <w:r/>
            <w:r>
              <w:rPr>
                <w:sz w:val="18"/>
              </w:rPr>
              <w:t>30</w:t>
            </w:r>
          </w:p>
        </w:tc>
        <w:tc>
          <w:tcPr>
            <w:tcW w:type="dxa" w:w="2268"/>
          </w:tcPr>
          <w:p>
            <w:pPr>
              <w:spacing w:after="0" w:line="240" w:lineRule="auto"/>
              <w:jc w:val="right"/>
            </w:pPr>
            <w:r/>
            <w:r>
              <w:rPr>
                <w:sz w:val="18"/>
              </w:rPr>
              <w:t>421.6</w:t>
            </w:r>
          </w:p>
        </w:tc>
        <w:tc>
          <w:tcPr>
            <w:tcW w:type="dxa" w:w="1701"/>
          </w:tcPr>
          <w:p>
            <w:pPr>
              <w:spacing w:after="0" w:line="240" w:lineRule="auto"/>
              <w:jc w:val="right"/>
            </w:pPr>
            <w:r/>
            <w:r>
              <w:rPr>
                <w:sz w:val="18"/>
              </w:rPr>
              <w:t>23.96</w:t>
            </w:r>
          </w:p>
        </w:tc>
        <w:tc>
          <w:tcPr>
            <w:tcW w:type="dxa" w:w="2098"/>
          </w:tcPr>
          <w:p>
            <w:pPr>
              <w:spacing w:after="0" w:line="240" w:lineRule="auto"/>
              <w:jc w:val="right"/>
            </w:pPr>
            <w:r/>
            <w:r>
              <w:rPr>
                <w:sz w:val="18"/>
              </w:rPr>
              <w:t>17.6x</w:t>
            </w:r>
          </w:p>
        </w:tc>
        <w:tc>
          <w:tcPr>
            <w:tcW w:type="dxa" w:w="2041"/>
          </w:tcPr>
          <w:p>
            <w:pPr>
              <w:spacing w:after="0" w:line="240" w:lineRule="auto"/>
              <w:jc w:val="right"/>
            </w:pPr>
            <w:r/>
            <w:r>
              <w:rPr>
                <w:sz w:val="18"/>
              </w:rPr>
              <w:t>19.4x</w:t>
            </w:r>
          </w:p>
        </w:tc>
      </w:tr>
      <w:tr>
        <w:trPr>
          <w:cantSplit/>
        </w:trPr>
        <w:tc>
          <w:tcPr>
            <w:tcW w:type="dxa" w:w="1134"/>
            <w:shd w:val="clear" w:color="auto" w:fill="F2F4F7"/>
          </w:tcPr>
          <w:p>
            <w:pPr>
              <w:spacing w:after="0" w:line="240" w:lineRule="auto"/>
            </w:pPr>
            <w:r/>
            <w:r>
              <w:rPr>
                <w:sz w:val="18"/>
              </w:rPr>
              <w:t>33</w:t>
            </w:r>
          </w:p>
        </w:tc>
        <w:tc>
          <w:tcPr>
            <w:tcW w:type="dxa" w:w="2268"/>
            <w:shd w:val="clear" w:color="auto" w:fill="F2F4F7"/>
          </w:tcPr>
          <w:p>
            <w:pPr>
              <w:spacing w:after="0" w:line="240" w:lineRule="auto"/>
              <w:jc w:val="right"/>
            </w:pPr>
            <w:r/>
            <w:r>
              <w:rPr>
                <w:sz w:val="18"/>
              </w:rPr>
              <w:t>138.8</w:t>
            </w:r>
          </w:p>
        </w:tc>
        <w:tc>
          <w:tcPr>
            <w:tcW w:type="dxa" w:w="1701"/>
            <w:shd w:val="clear" w:color="auto" w:fill="F2F4F7"/>
          </w:tcPr>
          <w:p>
            <w:pPr>
              <w:spacing w:after="0" w:line="240" w:lineRule="auto"/>
              <w:jc w:val="right"/>
            </w:pPr>
            <w:r/>
            <w:r>
              <w:rPr>
                <w:sz w:val="18"/>
              </w:rPr>
              <w:t>23.96</w:t>
            </w:r>
          </w:p>
        </w:tc>
        <w:tc>
          <w:tcPr>
            <w:tcW w:type="dxa" w:w="2098"/>
            <w:shd w:val="clear" w:color="auto" w:fill="F2F4F7"/>
          </w:tcPr>
          <w:p>
            <w:pPr>
              <w:spacing w:after="0" w:line="240" w:lineRule="auto"/>
              <w:jc w:val="right"/>
            </w:pPr>
            <w:r/>
            <w:r>
              <w:rPr>
                <w:sz w:val="18"/>
              </w:rPr>
              <w:t>5.8x</w:t>
            </w:r>
          </w:p>
        </w:tc>
        <w:tc>
          <w:tcPr>
            <w:tcW w:type="dxa" w:w="2041"/>
            <w:shd w:val="clear" w:color="auto" w:fill="F2F4F7"/>
          </w:tcPr>
          <w:p>
            <w:pPr>
              <w:spacing w:after="0" w:line="240" w:lineRule="auto"/>
              <w:jc w:val="right"/>
            </w:pPr>
            <w:r/>
            <w:r>
              <w:rPr>
                <w:sz w:val="18"/>
              </w:rPr>
              <w:t>24.2x</w:t>
            </w:r>
          </w:p>
        </w:tc>
      </w:tr>
      <w:tr>
        <w:trPr>
          <w:cantSplit/>
        </w:trPr>
        <w:tc>
          <w:tcPr>
            <w:tcW w:type="dxa" w:w="1134"/>
          </w:tcPr>
          <w:p>
            <w:pPr>
              <w:spacing w:after="0" w:line="240" w:lineRule="auto"/>
            </w:pPr>
            <w:r/>
            <w:r>
              <w:rPr>
                <w:sz w:val="18"/>
              </w:rPr>
              <w:t>36</w:t>
            </w:r>
          </w:p>
        </w:tc>
        <w:tc>
          <w:tcPr>
            <w:tcW w:type="dxa" w:w="2268"/>
          </w:tcPr>
          <w:p>
            <w:pPr>
              <w:spacing w:after="0" w:line="240" w:lineRule="auto"/>
              <w:jc w:val="right"/>
            </w:pPr>
            <w:r/>
            <w:r>
              <w:rPr>
                <w:sz w:val="18"/>
              </w:rPr>
              <w:t>129.7</w:t>
            </w:r>
          </w:p>
        </w:tc>
        <w:tc>
          <w:tcPr>
            <w:tcW w:type="dxa" w:w="1701"/>
          </w:tcPr>
          <w:p>
            <w:pPr>
              <w:spacing w:after="0" w:line="240" w:lineRule="auto"/>
              <w:jc w:val="right"/>
            </w:pPr>
            <w:r/>
            <w:r>
              <w:rPr>
                <w:sz w:val="18"/>
              </w:rPr>
              <w:t>23.96</w:t>
            </w:r>
          </w:p>
        </w:tc>
        <w:tc>
          <w:tcPr>
            <w:tcW w:type="dxa" w:w="2098"/>
          </w:tcPr>
          <w:p>
            <w:pPr>
              <w:spacing w:after="0" w:line="240" w:lineRule="auto"/>
              <w:jc w:val="right"/>
            </w:pPr>
            <w:r/>
            <w:r>
              <w:rPr>
                <w:sz w:val="18"/>
              </w:rPr>
              <w:t>5.4x</w:t>
            </w:r>
          </w:p>
        </w:tc>
        <w:tc>
          <w:tcPr>
            <w:tcW w:type="dxa" w:w="2041"/>
          </w:tcPr>
          <w:p>
            <w:pPr>
              <w:spacing w:after="0" w:line="240" w:lineRule="auto"/>
              <w:jc w:val="right"/>
            </w:pPr>
            <w:r/>
            <w:r>
              <w:rPr>
                <w:sz w:val="18"/>
              </w:rPr>
              <w:t>28.6x</w:t>
            </w:r>
          </w:p>
        </w:tc>
      </w:tr>
      <w:tr>
        <w:trPr>
          <w:cantSplit/>
        </w:trPr>
        <w:tc>
          <w:tcPr>
            <w:tcW w:type="dxa" w:w="1134"/>
            <w:shd w:val="clear" w:color="auto" w:fill="F2F4F7"/>
          </w:tcPr>
          <w:p>
            <w:pPr>
              <w:spacing w:after="0" w:line="240" w:lineRule="auto"/>
            </w:pPr>
            <w:r/>
            <w:r>
              <w:rPr>
                <w:sz w:val="18"/>
              </w:rPr>
              <w:t>39</w:t>
            </w:r>
          </w:p>
        </w:tc>
        <w:tc>
          <w:tcPr>
            <w:tcW w:type="dxa" w:w="2268"/>
            <w:shd w:val="clear" w:color="auto" w:fill="F2F4F7"/>
          </w:tcPr>
          <w:p>
            <w:pPr>
              <w:spacing w:after="0" w:line="240" w:lineRule="auto"/>
              <w:jc w:val="right"/>
            </w:pPr>
            <w:r/>
            <w:r>
              <w:rPr>
                <w:sz w:val="18"/>
              </w:rPr>
              <w:t>-93.4</w:t>
            </w:r>
          </w:p>
        </w:tc>
        <w:tc>
          <w:tcPr>
            <w:tcW w:type="dxa" w:w="1701"/>
            <w:shd w:val="clear" w:color="auto" w:fill="F2F4F7"/>
          </w:tcPr>
          <w:p>
            <w:pPr>
              <w:spacing w:after="0" w:line="240" w:lineRule="auto"/>
              <w:jc w:val="right"/>
            </w:pPr>
            <w:r/>
            <w:r>
              <w:rPr>
                <w:sz w:val="18"/>
              </w:rPr>
              <w:t>23.96</w:t>
            </w:r>
          </w:p>
        </w:tc>
        <w:tc>
          <w:tcPr>
            <w:tcW w:type="dxa" w:w="2098"/>
            <w:shd w:val="clear" w:color="auto" w:fill="F2F4F7"/>
          </w:tcPr>
          <w:p>
            <w:pPr>
              <w:spacing w:after="0" w:line="240" w:lineRule="auto"/>
              <w:jc w:val="right"/>
            </w:pPr>
            <w:r/>
            <w:r>
              <w:rPr>
                <w:sz w:val="18"/>
              </w:rPr>
              <w:t>-3.9x</w:t>
            </w:r>
          </w:p>
        </w:tc>
        <w:tc>
          <w:tcPr>
            <w:tcW w:type="dxa" w:w="2041"/>
            <w:shd w:val="clear" w:color="auto" w:fill="F2F4F7"/>
          </w:tcPr>
          <w:p>
            <w:pPr>
              <w:spacing w:after="0" w:line="240" w:lineRule="auto"/>
              <w:jc w:val="right"/>
            </w:pPr>
            <w:r/>
            <w:r>
              <w:rPr>
                <w:sz w:val="18"/>
              </w:rPr>
              <w:t>23.7x</w:t>
            </w:r>
          </w:p>
        </w:tc>
      </w:tr>
      <w:tr>
        <w:trPr>
          <w:cantSplit/>
        </w:trPr>
        <w:tc>
          <w:tcPr>
            <w:tcW w:type="dxa" w:w="1134"/>
          </w:tcPr>
          <w:p>
            <w:pPr>
              <w:spacing w:after="0" w:line="240" w:lineRule="auto"/>
            </w:pPr>
            <w:r/>
            <w:r>
              <w:rPr>
                <w:sz w:val="18"/>
              </w:rPr>
              <w:t>42</w:t>
            </w:r>
          </w:p>
        </w:tc>
        <w:tc>
          <w:tcPr>
            <w:tcW w:type="dxa" w:w="2268"/>
          </w:tcPr>
          <w:p>
            <w:pPr>
              <w:spacing w:after="0" w:line="240" w:lineRule="auto"/>
              <w:jc w:val="right"/>
            </w:pPr>
            <w:r/>
            <w:r>
              <w:rPr>
                <w:sz w:val="18"/>
              </w:rPr>
              <w:t>-121.0</w:t>
            </w:r>
          </w:p>
        </w:tc>
        <w:tc>
          <w:tcPr>
            <w:tcW w:type="dxa" w:w="1701"/>
          </w:tcPr>
          <w:p>
            <w:pPr>
              <w:spacing w:after="0" w:line="240" w:lineRule="auto"/>
              <w:jc w:val="right"/>
            </w:pPr>
            <w:r/>
            <w:r>
              <w:rPr>
                <w:sz w:val="18"/>
              </w:rPr>
              <w:t>23.96</w:t>
            </w:r>
          </w:p>
        </w:tc>
        <w:tc>
          <w:tcPr>
            <w:tcW w:type="dxa" w:w="2098"/>
          </w:tcPr>
          <w:p>
            <w:pPr>
              <w:spacing w:after="0" w:line="240" w:lineRule="auto"/>
              <w:jc w:val="right"/>
            </w:pPr>
            <w:r/>
            <w:r>
              <w:rPr>
                <w:sz w:val="18"/>
              </w:rPr>
              <w:t>-5.0x</w:t>
            </w:r>
          </w:p>
        </w:tc>
        <w:tc>
          <w:tcPr>
            <w:tcW w:type="dxa" w:w="2041"/>
          </w:tcPr>
          <w:p>
            <w:pPr>
              <w:spacing w:after="0" w:line="240" w:lineRule="auto"/>
              <w:jc w:val="right"/>
            </w:pPr>
            <w:r/>
            <w:r>
              <w:rPr>
                <w:sz w:val="18"/>
              </w:rPr>
              <w:t>17.7x</w:t>
            </w:r>
          </w:p>
        </w:tc>
      </w:tr>
      <w:tr>
        <w:trPr>
          <w:cantSplit/>
        </w:trPr>
        <w:tc>
          <w:tcPr>
            <w:tcW w:type="dxa" w:w="1134"/>
            <w:shd w:val="clear" w:color="auto" w:fill="F2F4F7"/>
          </w:tcPr>
          <w:p>
            <w:pPr>
              <w:spacing w:after="0" w:line="240" w:lineRule="auto"/>
            </w:pPr>
            <w:r/>
            <w:r>
              <w:rPr>
                <w:sz w:val="18"/>
              </w:rPr>
              <w:t>45</w:t>
            </w:r>
          </w:p>
        </w:tc>
        <w:tc>
          <w:tcPr>
            <w:tcW w:type="dxa" w:w="2268"/>
            <w:shd w:val="clear" w:color="auto" w:fill="F2F4F7"/>
          </w:tcPr>
          <w:p>
            <w:pPr>
              <w:spacing w:after="0" w:line="240" w:lineRule="auto"/>
              <w:jc w:val="right"/>
            </w:pPr>
            <w:r/>
            <w:r>
              <w:rPr>
                <w:sz w:val="18"/>
              </w:rPr>
              <w:t>-171.6</w:t>
            </w:r>
          </w:p>
        </w:tc>
        <w:tc>
          <w:tcPr>
            <w:tcW w:type="dxa" w:w="1701"/>
            <w:shd w:val="clear" w:color="auto" w:fill="F2F4F7"/>
          </w:tcPr>
          <w:p>
            <w:pPr>
              <w:spacing w:after="0" w:line="240" w:lineRule="auto"/>
              <w:jc w:val="right"/>
            </w:pPr>
            <w:r/>
            <w:r>
              <w:rPr>
                <w:sz w:val="18"/>
              </w:rPr>
              <w:t>23.96</w:t>
            </w:r>
          </w:p>
        </w:tc>
        <w:tc>
          <w:tcPr>
            <w:tcW w:type="dxa" w:w="2098"/>
            <w:shd w:val="clear" w:color="auto" w:fill="F2F4F7"/>
          </w:tcPr>
          <w:p>
            <w:pPr>
              <w:spacing w:after="0" w:line="240" w:lineRule="auto"/>
              <w:jc w:val="right"/>
            </w:pPr>
            <w:r/>
            <w:r>
              <w:rPr>
                <w:sz w:val="18"/>
              </w:rPr>
              <w:t>-7.2x</w:t>
            </w:r>
          </w:p>
        </w:tc>
        <w:tc>
          <w:tcPr>
            <w:tcW w:type="dxa" w:w="2041"/>
            <w:shd w:val="clear" w:color="auto" w:fill="F2F4F7"/>
          </w:tcPr>
          <w:p>
            <w:pPr>
              <w:spacing w:after="0" w:line="240" w:lineRule="auto"/>
              <w:jc w:val="right"/>
            </w:pPr>
            <w:r/>
            <w:r>
              <w:rPr>
                <w:sz w:val="18"/>
              </w:rPr>
              <w:t>9.5x</w:t>
            </w:r>
          </w:p>
        </w:tc>
      </w:tr>
      <w:tr>
        <w:trPr>
          <w:cantSplit/>
        </w:trPr>
        <w:tc>
          <w:tcPr>
            <w:tcW w:type="dxa" w:w="1134"/>
          </w:tcPr>
          <w:p>
            <w:pPr>
              <w:spacing w:after="0" w:line="240" w:lineRule="auto"/>
            </w:pPr>
            <w:r/>
            <w:r>
              <w:rPr>
                <w:sz w:val="18"/>
              </w:rPr>
              <w:t>48</w:t>
            </w:r>
          </w:p>
        </w:tc>
        <w:tc>
          <w:tcPr>
            <w:tcW w:type="dxa" w:w="2268"/>
          </w:tcPr>
          <w:p>
            <w:pPr>
              <w:spacing w:after="0" w:line="240" w:lineRule="auto"/>
              <w:jc w:val="right"/>
            </w:pPr>
            <w:r/>
            <w:r>
              <w:rPr>
                <w:sz w:val="18"/>
              </w:rPr>
              <w:t>-118.2</w:t>
            </w:r>
          </w:p>
        </w:tc>
        <w:tc>
          <w:tcPr>
            <w:tcW w:type="dxa" w:w="1701"/>
          </w:tcPr>
          <w:p>
            <w:pPr>
              <w:spacing w:after="0" w:line="240" w:lineRule="auto"/>
              <w:jc w:val="right"/>
            </w:pPr>
            <w:r/>
            <w:r>
              <w:rPr>
                <w:sz w:val="18"/>
              </w:rPr>
              <w:t>23.96</w:t>
            </w:r>
          </w:p>
        </w:tc>
        <w:tc>
          <w:tcPr>
            <w:tcW w:type="dxa" w:w="2098"/>
          </w:tcPr>
          <w:p>
            <w:pPr>
              <w:spacing w:after="0" w:line="240" w:lineRule="auto"/>
              <w:jc w:val="right"/>
            </w:pPr>
            <w:r/>
            <w:r>
              <w:rPr>
                <w:sz w:val="18"/>
              </w:rPr>
              <w:t>-4.9x</w:t>
            </w:r>
          </w:p>
        </w:tc>
        <w:tc>
          <w:tcPr>
            <w:tcW w:type="dxa" w:w="2041"/>
          </w:tcPr>
          <w:p>
            <w:pPr>
              <w:spacing w:after="0" w:line="240" w:lineRule="auto"/>
              <w:jc w:val="right"/>
            </w:pPr>
            <w:r/>
            <w:r>
              <w:rPr>
                <w:sz w:val="18"/>
              </w:rPr>
              <w:t>3.6x</w:t>
            </w:r>
          </w:p>
        </w:tc>
      </w:tr>
      <w:tr>
        <w:trPr>
          <w:cantSplit/>
        </w:trPr>
        <w:tc>
          <w:tcPr>
            <w:tcW w:type="dxa" w:w="1134"/>
            <w:shd w:val="clear" w:color="auto" w:fill="F2F4F7"/>
          </w:tcPr>
          <w:p>
            <w:pPr>
              <w:spacing w:after="0" w:line="240" w:lineRule="auto"/>
            </w:pPr>
            <w:r/>
            <w:r>
              <w:rPr>
                <w:sz w:val="18"/>
              </w:rPr>
              <w:t>51</w:t>
            </w:r>
          </w:p>
        </w:tc>
        <w:tc>
          <w:tcPr>
            <w:tcW w:type="dxa" w:w="2268"/>
            <w:shd w:val="clear" w:color="auto" w:fill="F2F4F7"/>
          </w:tcPr>
          <w:p>
            <w:pPr>
              <w:spacing w:after="0" w:line="240" w:lineRule="auto"/>
              <w:jc w:val="right"/>
            </w:pPr>
            <w:r/>
            <w:r>
              <w:rPr>
                <w:sz w:val="18"/>
              </w:rPr>
              <w:t>16.2</w:t>
            </w:r>
          </w:p>
        </w:tc>
        <w:tc>
          <w:tcPr>
            <w:tcW w:type="dxa" w:w="1701"/>
            <w:shd w:val="clear" w:color="auto" w:fill="F2F4F7"/>
          </w:tcPr>
          <w:p>
            <w:pPr>
              <w:spacing w:after="0" w:line="240" w:lineRule="auto"/>
              <w:jc w:val="right"/>
            </w:pPr>
            <w:r/>
            <w:r>
              <w:rPr>
                <w:sz w:val="18"/>
              </w:rPr>
              <w:t>23.96</w:t>
            </w:r>
          </w:p>
        </w:tc>
        <w:tc>
          <w:tcPr>
            <w:tcW w:type="dxa" w:w="2098"/>
            <w:shd w:val="clear" w:color="auto" w:fill="F2F4F7"/>
          </w:tcPr>
          <w:p>
            <w:pPr>
              <w:spacing w:after="0" w:line="240" w:lineRule="auto"/>
              <w:jc w:val="right"/>
            </w:pPr>
            <w:r/>
            <w:r>
              <w:rPr>
                <w:sz w:val="18"/>
              </w:rPr>
              <w:t>0.7x</w:t>
            </w:r>
          </w:p>
        </w:tc>
        <w:tc>
          <w:tcPr>
            <w:tcW w:type="dxa" w:w="2041"/>
            <w:shd w:val="clear" w:color="auto" w:fill="F2F4F7"/>
          </w:tcPr>
          <w:p>
            <w:pPr>
              <w:spacing w:after="0" w:line="240" w:lineRule="auto"/>
              <w:jc w:val="right"/>
            </w:pPr>
            <w:r/>
            <w:r>
              <w:rPr>
                <w:sz w:val="18"/>
              </w:rPr>
              <w:t>3.2x</w:t>
            </w:r>
          </w:p>
        </w:tc>
      </w:tr>
      <w:tr>
        <w:trPr>
          <w:cantSplit/>
        </w:trPr>
        <w:tc>
          <w:tcPr>
            <w:tcW w:type="dxa" w:w="1134"/>
          </w:tcPr>
          <w:p>
            <w:pPr>
              <w:spacing w:after="0" w:line="240" w:lineRule="auto"/>
            </w:pPr>
            <w:r/>
            <w:r>
              <w:rPr>
                <w:sz w:val="18"/>
              </w:rPr>
              <w:t>54</w:t>
            </w:r>
          </w:p>
        </w:tc>
        <w:tc>
          <w:tcPr>
            <w:tcW w:type="dxa" w:w="2268"/>
          </w:tcPr>
          <w:p>
            <w:pPr>
              <w:spacing w:after="0" w:line="240" w:lineRule="auto"/>
              <w:jc w:val="right"/>
            </w:pPr>
            <w:r/>
            <w:r>
              <w:rPr>
                <w:sz w:val="18"/>
              </w:rPr>
              <w:t>14.7</w:t>
            </w:r>
          </w:p>
        </w:tc>
        <w:tc>
          <w:tcPr>
            <w:tcW w:type="dxa" w:w="1701"/>
          </w:tcPr>
          <w:p>
            <w:pPr>
              <w:spacing w:after="0" w:line="240" w:lineRule="auto"/>
              <w:jc w:val="right"/>
            </w:pPr>
            <w:r/>
            <w:r>
              <w:rPr>
                <w:sz w:val="18"/>
              </w:rPr>
              <w:t>23.96</w:t>
            </w:r>
          </w:p>
        </w:tc>
        <w:tc>
          <w:tcPr>
            <w:tcW w:type="dxa" w:w="2098"/>
          </w:tcPr>
          <w:p>
            <w:pPr>
              <w:spacing w:after="0" w:line="240" w:lineRule="auto"/>
              <w:jc w:val="right"/>
            </w:pPr>
            <w:r/>
            <w:r>
              <w:rPr>
                <w:sz w:val="18"/>
              </w:rPr>
              <w:t>0.6x</w:t>
            </w:r>
          </w:p>
        </w:tc>
        <w:tc>
          <w:tcPr>
            <w:tcW w:type="dxa" w:w="2041"/>
          </w:tcPr>
          <w:p>
            <w:pPr>
              <w:spacing w:after="0" w:line="240" w:lineRule="auto"/>
              <w:jc w:val="right"/>
            </w:pPr>
            <w:r/>
            <w:r>
              <w:rPr>
                <w:sz w:val="18"/>
              </w:rPr>
              <w:t>2.9x</w:t>
            </w:r>
          </w:p>
        </w:tc>
      </w:tr>
      <w:tr>
        <w:trPr>
          <w:cantSplit/>
        </w:trPr>
        <w:tc>
          <w:tcPr>
            <w:tcW w:type="dxa" w:w="1134"/>
            <w:shd w:val="clear" w:color="auto" w:fill="F2F4F7"/>
          </w:tcPr>
          <w:p>
            <w:pPr>
              <w:spacing w:after="0" w:line="240" w:lineRule="auto"/>
            </w:pPr>
            <w:r/>
            <w:r>
              <w:rPr>
                <w:sz w:val="18"/>
              </w:rPr>
              <w:t>57</w:t>
            </w:r>
          </w:p>
        </w:tc>
        <w:tc>
          <w:tcPr>
            <w:tcW w:type="dxa" w:w="2268"/>
            <w:shd w:val="clear" w:color="auto" w:fill="F2F4F7"/>
          </w:tcPr>
          <w:p>
            <w:pPr>
              <w:spacing w:after="0" w:line="240" w:lineRule="auto"/>
              <w:jc w:val="right"/>
            </w:pPr>
            <w:r/>
            <w:r>
              <w:rPr>
                <w:sz w:val="18"/>
              </w:rPr>
              <w:t>8.7</w:t>
            </w:r>
          </w:p>
        </w:tc>
        <w:tc>
          <w:tcPr>
            <w:tcW w:type="dxa" w:w="1701"/>
            <w:shd w:val="clear" w:color="auto" w:fill="F2F4F7"/>
          </w:tcPr>
          <w:p>
            <w:pPr>
              <w:spacing w:after="0" w:line="240" w:lineRule="auto"/>
              <w:jc w:val="right"/>
            </w:pPr>
            <w:r/>
            <w:r>
              <w:rPr>
                <w:sz w:val="18"/>
              </w:rPr>
              <w:t>23.96</w:t>
            </w:r>
          </w:p>
        </w:tc>
        <w:tc>
          <w:tcPr>
            <w:tcW w:type="dxa" w:w="2098"/>
            <w:shd w:val="clear" w:color="auto" w:fill="F2F4F7"/>
          </w:tcPr>
          <w:p>
            <w:pPr>
              <w:spacing w:after="0" w:line="240" w:lineRule="auto"/>
              <w:jc w:val="right"/>
            </w:pPr>
            <w:r/>
            <w:r>
              <w:rPr>
                <w:sz w:val="18"/>
              </w:rPr>
              <w:t>0.4x</w:t>
            </w:r>
          </w:p>
        </w:tc>
        <w:tc>
          <w:tcPr>
            <w:tcW w:type="dxa" w:w="2041"/>
            <w:shd w:val="clear" w:color="auto" w:fill="F2F4F7"/>
          </w:tcPr>
          <w:p>
            <w:pPr>
              <w:spacing w:after="0" w:line="240" w:lineRule="auto"/>
              <w:jc w:val="right"/>
            </w:pPr>
            <w:r/>
            <w:r>
              <w:rPr>
                <w:sz w:val="18"/>
              </w:rPr>
              <w:t>2.2x</w:t>
            </w:r>
          </w:p>
        </w:tc>
      </w:tr>
      <w:tr>
        <w:trPr>
          <w:cantSplit/>
        </w:trPr>
        <w:tc>
          <w:tcPr>
            <w:tcW w:type="dxa" w:w="1134"/>
          </w:tcPr>
          <w:p>
            <w:pPr>
              <w:spacing w:after="0" w:line="240" w:lineRule="auto"/>
            </w:pPr>
            <w:r/>
            <w:r>
              <w:rPr>
                <w:sz w:val="18"/>
              </w:rPr>
              <w:t>60</w:t>
            </w:r>
          </w:p>
        </w:tc>
        <w:tc>
          <w:tcPr>
            <w:tcW w:type="dxa" w:w="2268"/>
          </w:tcPr>
          <w:p>
            <w:pPr>
              <w:spacing w:after="0" w:line="240" w:lineRule="auto"/>
              <w:jc w:val="right"/>
            </w:pPr>
            <w:r/>
            <w:r>
              <w:rPr>
                <w:sz w:val="18"/>
              </w:rPr>
              <w:t>4.4</w:t>
            </w:r>
          </w:p>
        </w:tc>
        <w:tc>
          <w:tcPr>
            <w:tcW w:type="dxa" w:w="1701"/>
          </w:tcPr>
          <w:p>
            <w:pPr>
              <w:spacing w:after="0" w:line="240" w:lineRule="auto"/>
              <w:jc w:val="right"/>
            </w:pPr>
            <w:r/>
            <w:r>
              <w:rPr>
                <w:sz w:val="18"/>
              </w:rPr>
              <w:t>23.96</w:t>
            </w:r>
          </w:p>
        </w:tc>
        <w:tc>
          <w:tcPr>
            <w:tcW w:type="dxa" w:w="2098"/>
          </w:tcPr>
          <w:p>
            <w:pPr>
              <w:spacing w:after="0" w:line="240" w:lineRule="auto"/>
              <w:jc w:val="right"/>
            </w:pPr>
            <w:r/>
            <w:r>
              <w:rPr>
                <w:sz w:val="18"/>
              </w:rPr>
              <w:t>0.2x</w:t>
            </w:r>
          </w:p>
        </w:tc>
        <w:tc>
          <w:tcPr>
            <w:tcW w:type="dxa" w:w="2041"/>
          </w:tcPr>
          <w:p>
            <w:pPr>
              <w:spacing w:after="0" w:line="240" w:lineRule="auto"/>
              <w:jc w:val="right"/>
            </w:pPr>
            <w:r/>
            <w:r>
              <w:rPr>
                <w:sz w:val="18"/>
              </w:rPr>
              <w:t>1.4x</w:t>
            </w:r>
          </w:p>
        </w:tc>
      </w:tr>
      <w:tr>
        <w:trPr>
          <w:cantSplit/>
        </w:trPr>
        <w:tc>
          <w:tcPr>
            <w:tcW w:type="dxa" w:w="1134"/>
            <w:shd w:val="clear" w:color="auto" w:fill="F2F4F7"/>
          </w:tcPr>
          <w:p>
            <w:pPr>
              <w:spacing w:after="0" w:line="240" w:lineRule="auto"/>
            </w:pPr>
            <w:r/>
            <w:r>
              <w:rPr>
                <w:sz w:val="18"/>
              </w:rPr>
              <w:t>63</w:t>
            </w:r>
          </w:p>
        </w:tc>
        <w:tc>
          <w:tcPr>
            <w:tcW w:type="dxa" w:w="2268"/>
            <w:shd w:val="clear" w:color="auto" w:fill="F2F4F7"/>
          </w:tcPr>
          <w:p>
            <w:pPr>
              <w:spacing w:after="0" w:line="240" w:lineRule="auto"/>
              <w:jc w:val="right"/>
            </w:pPr>
            <w:r/>
            <w:r>
              <w:rPr>
                <w:sz w:val="18"/>
              </w:rPr>
              <w:t>26.9</w:t>
            </w:r>
          </w:p>
        </w:tc>
        <w:tc>
          <w:tcPr>
            <w:tcW w:type="dxa" w:w="1701"/>
            <w:shd w:val="clear" w:color="auto" w:fill="F2F4F7"/>
          </w:tcPr>
          <w:p>
            <w:pPr>
              <w:spacing w:after="0" w:line="240" w:lineRule="auto"/>
              <w:jc w:val="right"/>
            </w:pPr>
            <w:r/>
            <w:r>
              <w:rPr>
                <w:sz w:val="18"/>
              </w:rPr>
              <w:t>23.96</w:t>
            </w:r>
          </w:p>
        </w:tc>
        <w:tc>
          <w:tcPr>
            <w:tcW w:type="dxa" w:w="2098"/>
            <w:shd w:val="clear" w:color="auto" w:fill="F2F4F7"/>
          </w:tcPr>
          <w:p>
            <w:pPr>
              <w:spacing w:after="0" w:line="240" w:lineRule="auto"/>
              <w:jc w:val="right"/>
            </w:pPr>
            <w:r/>
            <w:r>
              <w:rPr>
                <w:sz w:val="18"/>
              </w:rPr>
              <w:t>1.1x</w:t>
            </w:r>
          </w:p>
        </w:tc>
        <w:tc>
          <w:tcPr>
            <w:tcW w:type="dxa" w:w="2041"/>
            <w:shd w:val="clear" w:color="auto" w:fill="F2F4F7"/>
          </w:tcPr>
          <w:p>
            <w:pPr>
              <w:spacing w:after="0" w:line="240" w:lineRule="auto"/>
              <w:jc w:val="right"/>
            </w:pPr>
            <w:r/>
            <w:r>
              <w:rPr>
                <w:sz w:val="18"/>
              </w:rPr>
              <w:t>1.5x</w:t>
            </w:r>
          </w:p>
        </w:tc>
      </w:tr>
    </w:tbl>
    <w:p>
      <w:pPr>
        <w:spacing w:after="80"/>
      </w:pPr>
    </w:p>
    <w:p>
      <w:r>
        <w:rPr>
          <w:b w:val="0"/>
          <w:i w:val="0"/>
        </w:rPr>
        <w:t>Coverage on net cash flow alone is below the 1.5x threshold in 9 of 12 quarters, because instalments fall in the construction peak and in the quarters after handover when collections are thin. "Cash available" adds pooled project cash, including the ticket and earlier collections, and is at least 1.4x in every quarter. Because nothing is ring-fenced, pooled cash is available to the project company but is also exposed to construction spending and to Jalour's own funding capacity. The investor should read the net-cash-flow measure as the stricter test.</w:t>
      </w:r>
    </w:p>
    <w:p>
      <w:pPr>
        <w:pStyle w:val="Heading2"/>
      </w:pPr>
      <w:r>
        <w:t>13.4 Alternatives considered</w:t>
      </w:r>
    </w:p>
    <w:p>
      <w:pPr>
        <w:keepNext/>
        <w:spacing w:after="60"/>
      </w:pPr>
      <w:r>
        <w:rPr>
          <w:b/>
          <w:color w:val="17324D"/>
          <w:sz w:val="19"/>
        </w:rPr>
        <w:t>Table 26: Option B structures compared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515"/>
            <w:shd w:val="clear" w:color="auto" w:fill="17324D"/>
          </w:tcPr>
          <w:p>
            <w:pPr>
              <w:spacing w:after="0" w:line="240" w:lineRule="auto"/>
            </w:pPr>
            <w:r/>
            <w:r>
              <w:rPr>
                <w:b/>
                <w:color w:val="FFFFFF"/>
                <w:sz w:val="18"/>
              </w:rPr>
              <w:t>Structure</w:t>
            </w:r>
          </w:p>
        </w:tc>
        <w:tc>
          <w:tcPr>
            <w:tcW w:type="dxa" w:w="1417"/>
            <w:shd w:val="clear" w:color="auto" w:fill="17324D"/>
          </w:tcPr>
          <w:p>
            <w:pPr>
              <w:spacing w:after="0" w:line="240" w:lineRule="auto"/>
              <w:jc w:val="right"/>
            </w:pPr>
            <w:r/>
            <w:r>
              <w:rPr>
                <w:b/>
                <w:color w:val="FFFFFF"/>
                <w:sz w:val="18"/>
              </w:rPr>
              <w:t>Investor IRR (base)</w:t>
            </w:r>
          </w:p>
        </w:tc>
        <w:tc>
          <w:tcPr>
            <w:tcW w:type="dxa" w:w="1701"/>
            <w:shd w:val="clear" w:color="auto" w:fill="17324D"/>
          </w:tcPr>
          <w:p>
            <w:pPr>
              <w:spacing w:after="0" w:line="240" w:lineRule="auto"/>
              <w:jc w:val="right"/>
            </w:pPr>
            <w:r/>
            <w:r>
              <w:rPr>
                <w:b/>
                <w:color w:val="FFFFFF"/>
                <w:sz w:val="18"/>
              </w:rPr>
              <w:t>Quarters &lt; 1.5x (net cash flow)</w:t>
            </w:r>
          </w:p>
        </w:tc>
        <w:tc>
          <w:tcPr>
            <w:tcW w:type="dxa" w:w="1587"/>
            <w:shd w:val="clear" w:color="auto" w:fill="17324D"/>
          </w:tcPr>
          <w:p>
            <w:pPr>
              <w:spacing w:after="0" w:line="240" w:lineRule="auto"/>
              <w:jc w:val="right"/>
            </w:pPr>
            <w:r/>
            <w:r>
              <w:rPr>
                <w:b/>
                <w:color w:val="FFFFFF"/>
                <w:sz w:val="18"/>
              </w:rPr>
              <w:t>Lowest pooled cash, downside (EGP m)</w:t>
            </w:r>
          </w:p>
        </w:tc>
        <w:tc>
          <w:tcPr>
            <w:tcW w:type="dxa" w:w="1020"/>
            <w:shd w:val="clear" w:color="auto" w:fill="17324D"/>
          </w:tcPr>
          <w:p>
            <w:pPr>
              <w:spacing w:after="0" w:line="240" w:lineRule="auto"/>
              <w:jc w:val="right"/>
            </w:pPr>
            <w:r/>
            <w:r>
              <w:rPr>
                <w:b/>
                <w:color w:val="FFFFFF"/>
                <w:sz w:val="18"/>
              </w:rPr>
              <w:t>Last payment (month)</w:t>
            </w:r>
          </w:p>
        </w:tc>
      </w:tr>
      <w:tr>
        <w:trPr>
          <w:cantSplit/>
        </w:trPr>
        <w:tc>
          <w:tcPr>
            <w:tcW w:type="dxa" w:w="3515"/>
          </w:tcPr>
          <w:p>
            <w:pPr>
              <w:spacing w:after="0" w:line="240" w:lineRule="auto"/>
            </w:pPr>
            <w:r/>
            <w:r>
              <w:rPr>
                <w:sz w:val="18"/>
              </w:rPr>
              <w:t>S1 Fixed multiple, equal instalments (recommended)</w:t>
            </w:r>
          </w:p>
        </w:tc>
        <w:tc>
          <w:tcPr>
            <w:tcW w:type="dxa" w:w="1417"/>
          </w:tcPr>
          <w:p>
            <w:pPr>
              <w:spacing w:after="0" w:line="240" w:lineRule="auto"/>
              <w:jc w:val="right"/>
            </w:pPr>
            <w:r/>
            <w:r>
              <w:rPr>
                <w:sz w:val="18"/>
              </w:rPr>
              <w:t>26.5%</w:t>
            </w:r>
          </w:p>
        </w:tc>
        <w:tc>
          <w:tcPr>
            <w:tcW w:type="dxa" w:w="1701"/>
          </w:tcPr>
          <w:p>
            <w:pPr>
              <w:spacing w:after="0" w:line="240" w:lineRule="auto"/>
              <w:jc w:val="right"/>
            </w:pPr>
            <w:r/>
            <w:r>
              <w:rPr>
                <w:sz w:val="18"/>
              </w:rPr>
              <w:t>9 of 12</w:t>
            </w:r>
          </w:p>
        </w:tc>
        <w:tc>
          <w:tcPr>
            <w:tcW w:type="dxa" w:w="1587"/>
          </w:tcPr>
          <w:p>
            <w:pPr>
              <w:spacing w:after="0" w:line="240" w:lineRule="auto"/>
              <w:jc w:val="right"/>
            </w:pPr>
            <w:r/>
            <w:r>
              <w:rPr>
                <w:sz w:val="18"/>
              </w:rPr>
              <w:t>-412</w:t>
            </w:r>
          </w:p>
        </w:tc>
        <w:tc>
          <w:tcPr>
            <w:tcW w:type="dxa" w:w="1020"/>
          </w:tcPr>
          <w:p>
            <w:pPr>
              <w:spacing w:after="0" w:line="240" w:lineRule="auto"/>
              <w:jc w:val="right"/>
            </w:pPr>
            <w:r/>
            <w:r>
              <w:rPr>
                <w:sz w:val="18"/>
              </w:rPr>
              <w:t>63</w:t>
            </w:r>
          </w:p>
        </w:tc>
      </w:tr>
      <w:tr>
        <w:trPr>
          <w:cantSplit/>
        </w:trPr>
        <w:tc>
          <w:tcPr>
            <w:tcW w:type="dxa" w:w="3515"/>
            <w:shd w:val="clear" w:color="auto" w:fill="F2F4F7"/>
          </w:tcPr>
          <w:p>
            <w:pPr>
              <w:spacing w:after="0" w:line="240" w:lineRule="auto"/>
            </w:pPr>
            <w:r/>
            <w:r>
              <w:rPr>
                <w:sz w:val="18"/>
              </w:rPr>
              <w:t>S2 30.9% of collections, floor 0.4x, cap 1.5x of instalment</w:t>
            </w:r>
          </w:p>
        </w:tc>
        <w:tc>
          <w:tcPr>
            <w:tcW w:type="dxa" w:w="1417"/>
            <w:shd w:val="clear" w:color="auto" w:fill="F2F4F7"/>
          </w:tcPr>
          <w:p>
            <w:pPr>
              <w:spacing w:after="0" w:line="240" w:lineRule="auto"/>
              <w:jc w:val="right"/>
            </w:pPr>
            <w:r/>
            <w:r>
              <w:rPr>
                <w:sz w:val="18"/>
              </w:rPr>
              <w:t>29.0%</w:t>
            </w:r>
          </w:p>
        </w:tc>
        <w:tc>
          <w:tcPr>
            <w:tcW w:type="dxa" w:w="1701"/>
            <w:shd w:val="clear" w:color="auto" w:fill="F2F4F7"/>
          </w:tcPr>
          <w:p>
            <w:pPr>
              <w:spacing w:after="0" w:line="240" w:lineRule="auto"/>
              <w:jc w:val="right"/>
            </w:pPr>
            <w:r/>
            <w:r>
              <w:rPr>
                <w:sz w:val="18"/>
              </w:rPr>
              <w:t>8 of 12</w:t>
            </w:r>
          </w:p>
        </w:tc>
        <w:tc>
          <w:tcPr>
            <w:tcW w:type="dxa" w:w="1587"/>
            <w:shd w:val="clear" w:color="auto" w:fill="F2F4F7"/>
          </w:tcPr>
          <w:p>
            <w:pPr>
              <w:spacing w:after="0" w:line="240" w:lineRule="auto"/>
              <w:jc w:val="right"/>
            </w:pPr>
            <w:r/>
            <w:r>
              <w:rPr>
                <w:sz w:val="18"/>
              </w:rPr>
              <w:t>-391</w:t>
            </w:r>
          </w:p>
        </w:tc>
        <w:tc>
          <w:tcPr>
            <w:tcW w:type="dxa" w:w="1020"/>
            <w:shd w:val="clear" w:color="auto" w:fill="F2F4F7"/>
          </w:tcPr>
          <w:p>
            <w:pPr>
              <w:spacing w:after="0" w:line="240" w:lineRule="auto"/>
              <w:jc w:val="right"/>
            </w:pPr>
            <w:r/>
            <w:r>
              <w:rPr>
                <w:sz w:val="18"/>
              </w:rPr>
              <w:t>66</w:t>
            </w:r>
          </w:p>
        </w:tc>
      </w:tr>
      <w:tr>
        <w:trPr>
          <w:cantSplit/>
        </w:trPr>
        <w:tc>
          <w:tcPr>
            <w:tcW w:type="dxa" w:w="3515"/>
          </w:tcPr>
          <w:p>
            <w:pPr>
              <w:spacing w:after="0" w:line="240" w:lineRule="auto"/>
            </w:pPr>
            <w:r/>
            <w:r>
              <w:rPr>
                <w:sz w:val="18"/>
              </w:rPr>
              <w:t>S3 Fixed 1.8x plus 4.3% of collections, cap 2.8x</w:t>
            </w:r>
          </w:p>
        </w:tc>
        <w:tc>
          <w:tcPr>
            <w:tcW w:type="dxa" w:w="1417"/>
          </w:tcPr>
          <w:p>
            <w:pPr>
              <w:spacing w:after="0" w:line="240" w:lineRule="auto"/>
              <w:jc w:val="right"/>
            </w:pPr>
            <w:r/>
            <w:r>
              <w:rPr>
                <w:sz w:val="18"/>
              </w:rPr>
              <w:t>27.8%</w:t>
            </w:r>
          </w:p>
        </w:tc>
        <w:tc>
          <w:tcPr>
            <w:tcW w:type="dxa" w:w="1701"/>
          </w:tcPr>
          <w:p>
            <w:pPr>
              <w:spacing w:after="0" w:line="240" w:lineRule="auto"/>
              <w:jc w:val="right"/>
            </w:pPr>
            <w:r/>
            <w:r>
              <w:rPr>
                <w:sz w:val="18"/>
              </w:rPr>
              <w:t>9 of 12</w:t>
            </w:r>
          </w:p>
        </w:tc>
        <w:tc>
          <w:tcPr>
            <w:tcW w:type="dxa" w:w="1587"/>
          </w:tcPr>
          <w:p>
            <w:pPr>
              <w:spacing w:after="0" w:line="240" w:lineRule="auto"/>
              <w:jc w:val="right"/>
            </w:pPr>
            <w:r/>
            <w:r>
              <w:rPr>
                <w:sz w:val="18"/>
              </w:rPr>
              <w:t>-402</w:t>
            </w:r>
          </w:p>
        </w:tc>
        <w:tc>
          <w:tcPr>
            <w:tcW w:type="dxa" w:w="1020"/>
          </w:tcPr>
          <w:p>
            <w:pPr>
              <w:spacing w:after="0" w:line="240" w:lineRule="auto"/>
              <w:jc w:val="right"/>
            </w:pPr>
            <w:r/>
            <w:r>
              <w:rPr>
                <w:sz w:val="18"/>
              </w:rPr>
              <w:t>63</w:t>
            </w:r>
          </w:p>
        </w:tc>
      </w:tr>
    </w:tbl>
    <w:p>
      <w:pPr>
        <w:spacing w:after="80"/>
      </w:pPr>
    </w:p>
    <w:p>
      <w:r>
        <w:rPr>
          <w:b w:val="0"/>
          <w:i w:val="0"/>
        </w:rPr>
        <w:t>S2 and S3 front-load payments into the large delivery-payment quarter and so show a higher IRR, but they pay by taking a share of collections that are themselves needed for construction, and they do not improve coverage in the construction peak. S1 is recommended for simplicity and certainty of the schedule. None of the three meets a 1.5x net-cash-flow test in every quarter; this is disclosed rather than cured by reducing the return, and it is the reason for Jalour's funding undertaking and the payment priority covenant.</w:t>
      </w:r>
    </w:p>
    <w:p>
      <w:pPr>
        <w:pStyle w:val="Heading2"/>
      </w:pPr>
      <w:r>
        <w:t>13.5 Project sensitivities</w:t>
      </w:r>
    </w:p>
    <w:p>
      <w:pPr>
        <w:keepNext/>
        <w:spacing w:after="60"/>
      </w:pPr>
      <w:r>
        <w:rPr>
          <w:b/>
          <w:color w:val="17324D"/>
          <w:sz w:val="19"/>
        </w:rPr>
        <w:t>Table 27: Project sensitivities (Jalour net cash flow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402"/>
            <w:shd w:val="clear" w:color="auto" w:fill="17324D"/>
          </w:tcPr>
          <w:p>
            <w:pPr>
              <w:spacing w:after="0" w:line="240" w:lineRule="auto"/>
            </w:pPr>
            <w:r/>
            <w:r>
              <w:rPr>
                <w:b/>
                <w:color w:val="FFFFFF"/>
                <w:sz w:val="18"/>
              </w:rPr>
              <w:t>Case</w:t>
            </w:r>
          </w:p>
        </w:tc>
        <w:tc>
          <w:tcPr>
            <w:tcW w:type="dxa" w:w="1928"/>
            <w:shd w:val="clear" w:color="auto" w:fill="17324D"/>
          </w:tcPr>
          <w:p>
            <w:pPr>
              <w:spacing w:after="0" w:line="240" w:lineRule="auto"/>
              <w:jc w:val="right"/>
            </w:pPr>
            <w:r/>
            <w:r>
              <w:rPr>
                <w:b/>
                <w:color w:val="FFFFFF"/>
                <w:sz w:val="18"/>
              </w:rPr>
              <w:t>Net cash flow (EGP m)</w:t>
            </w:r>
          </w:p>
        </w:tc>
        <w:tc>
          <w:tcPr>
            <w:tcW w:type="dxa" w:w="1984"/>
            <w:shd w:val="clear" w:color="auto" w:fill="17324D"/>
          </w:tcPr>
          <w:p>
            <w:pPr>
              <w:spacing w:after="0" w:line="240" w:lineRule="auto"/>
              <w:jc w:val="right"/>
            </w:pPr>
            <w:r/>
            <w:r>
              <w:rPr>
                <w:b/>
                <w:color w:val="FFFFFF"/>
                <w:sz w:val="18"/>
              </w:rPr>
              <w:t>NPV at 14% (EGP m)</w:t>
            </w:r>
          </w:p>
        </w:tc>
        <w:tc>
          <w:tcPr>
            <w:tcW w:type="dxa" w:w="1928"/>
            <w:shd w:val="clear" w:color="auto" w:fill="17324D"/>
          </w:tcPr>
          <w:p>
            <w:pPr>
              <w:spacing w:after="0" w:line="240" w:lineRule="auto"/>
              <w:jc w:val="right"/>
            </w:pPr>
            <w:r/>
            <w:r>
              <w:rPr>
                <w:b/>
                <w:color w:val="FFFFFF"/>
                <w:sz w:val="18"/>
              </w:rPr>
              <w:t>Peak shortage (EGP m)</w:t>
            </w:r>
          </w:p>
        </w:tc>
      </w:tr>
      <w:tr>
        <w:trPr>
          <w:cantSplit/>
        </w:trPr>
        <w:tc>
          <w:tcPr>
            <w:tcW w:type="dxa" w:w="3402"/>
          </w:tcPr>
          <w:p>
            <w:pPr>
              <w:spacing w:after="0" w:line="240" w:lineRule="auto"/>
            </w:pPr>
            <w:r/>
            <w:r>
              <w:rPr>
                <w:sz w:val="18"/>
              </w:rPr>
              <w:t>Base</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215</w:t>
            </w:r>
          </w:p>
        </w:tc>
        <w:tc>
          <w:tcPr>
            <w:tcW w:type="dxa" w:w="1928"/>
          </w:tcPr>
          <w:p>
            <w:pPr>
              <w:spacing w:after="0" w:line="240" w:lineRule="auto"/>
              <w:jc w:val="right"/>
            </w:pPr>
            <w:r/>
            <w:r>
              <w:rPr>
                <w:sz w:val="18"/>
              </w:rPr>
              <w:t>102</w:t>
            </w:r>
          </w:p>
        </w:tc>
      </w:tr>
      <w:tr>
        <w:trPr>
          <w:cantSplit/>
        </w:trPr>
        <w:tc>
          <w:tcPr>
            <w:tcW w:type="dxa" w:w="3402"/>
            <w:shd w:val="clear" w:color="auto" w:fill="F2F4F7"/>
          </w:tcPr>
          <w:p>
            <w:pPr>
              <w:spacing w:after="0" w:line="240" w:lineRule="auto"/>
            </w:pPr>
            <w:r/>
            <w:r>
              <w:rPr>
                <w:sz w:val="18"/>
              </w:rPr>
              <w:t>Prices -19%</w:t>
            </w:r>
          </w:p>
        </w:tc>
        <w:tc>
          <w:tcPr>
            <w:tcW w:type="dxa" w:w="1928"/>
            <w:shd w:val="clear" w:color="auto" w:fill="F2F4F7"/>
          </w:tcPr>
          <w:p>
            <w:pPr>
              <w:spacing w:after="0" w:line="240" w:lineRule="auto"/>
              <w:jc w:val="right"/>
            </w:pPr>
            <w:r/>
            <w:r>
              <w:rPr>
                <w:sz w:val="18"/>
              </w:rPr>
              <w:t>129</w:t>
            </w:r>
          </w:p>
        </w:tc>
        <w:tc>
          <w:tcPr>
            <w:tcW w:type="dxa" w:w="1984"/>
            <w:shd w:val="clear" w:color="auto" w:fill="F2F4F7"/>
          </w:tcPr>
          <w:p>
            <w:pPr>
              <w:spacing w:after="0" w:line="240" w:lineRule="auto"/>
              <w:jc w:val="right"/>
            </w:pPr>
            <w:r/>
            <w:r>
              <w:rPr>
                <w:sz w:val="18"/>
              </w:rPr>
              <w:t>13</w:t>
            </w:r>
          </w:p>
        </w:tc>
        <w:tc>
          <w:tcPr>
            <w:tcW w:type="dxa" w:w="1928"/>
            <w:shd w:val="clear" w:color="auto" w:fill="F2F4F7"/>
          </w:tcPr>
          <w:p>
            <w:pPr>
              <w:spacing w:after="0" w:line="240" w:lineRule="auto"/>
              <w:jc w:val="right"/>
            </w:pPr>
            <w:r/>
            <w:r>
              <w:rPr>
                <w:sz w:val="18"/>
              </w:rPr>
              <w:t>184</w:t>
            </w:r>
          </w:p>
        </w:tc>
      </w:tr>
      <w:tr>
        <w:trPr>
          <w:cantSplit/>
        </w:trPr>
        <w:tc>
          <w:tcPr>
            <w:tcW w:type="dxa" w:w="3402"/>
          </w:tcPr>
          <w:p>
            <w:pPr>
              <w:spacing w:after="0" w:line="240" w:lineRule="auto"/>
            </w:pPr>
            <w:r/>
            <w:r>
              <w:rPr>
                <w:sz w:val="18"/>
              </w:rPr>
              <w:t>Prices -9%</w:t>
            </w:r>
          </w:p>
        </w:tc>
        <w:tc>
          <w:tcPr>
            <w:tcW w:type="dxa" w:w="1928"/>
          </w:tcPr>
          <w:p>
            <w:pPr>
              <w:spacing w:after="0" w:line="240" w:lineRule="auto"/>
              <w:jc w:val="right"/>
            </w:pPr>
            <w:r/>
            <w:r>
              <w:rPr>
                <w:sz w:val="18"/>
              </w:rPr>
              <w:t>258</w:t>
            </w:r>
          </w:p>
        </w:tc>
        <w:tc>
          <w:tcPr>
            <w:tcW w:type="dxa" w:w="1984"/>
          </w:tcPr>
          <w:p>
            <w:pPr>
              <w:spacing w:after="0" w:line="240" w:lineRule="auto"/>
              <w:jc w:val="right"/>
            </w:pPr>
            <w:r/>
            <w:r>
              <w:rPr>
                <w:sz w:val="18"/>
              </w:rPr>
              <w:t>116</w:t>
            </w:r>
          </w:p>
        </w:tc>
        <w:tc>
          <w:tcPr>
            <w:tcW w:type="dxa" w:w="1928"/>
          </w:tcPr>
          <w:p>
            <w:pPr>
              <w:spacing w:after="0" w:line="240" w:lineRule="auto"/>
              <w:jc w:val="right"/>
            </w:pPr>
            <w:r/>
            <w:r>
              <w:rPr>
                <w:sz w:val="18"/>
              </w:rPr>
              <w:t>114</w:t>
            </w:r>
          </w:p>
        </w:tc>
      </w:tr>
      <w:tr>
        <w:trPr>
          <w:cantSplit/>
        </w:trPr>
        <w:tc>
          <w:tcPr>
            <w:tcW w:type="dxa" w:w="3402"/>
            <w:shd w:val="clear" w:color="auto" w:fill="F2F4F7"/>
          </w:tcPr>
          <w:p>
            <w:pPr>
              <w:spacing w:after="0" w:line="240" w:lineRule="auto"/>
            </w:pPr>
            <w:r/>
            <w:r>
              <w:rPr>
                <w:sz w:val="18"/>
              </w:rPr>
              <w:t>Prices +10%</w:t>
            </w:r>
          </w:p>
        </w:tc>
        <w:tc>
          <w:tcPr>
            <w:tcW w:type="dxa" w:w="1928"/>
            <w:shd w:val="clear" w:color="auto" w:fill="F2F4F7"/>
          </w:tcPr>
          <w:p>
            <w:pPr>
              <w:spacing w:after="0" w:line="240" w:lineRule="auto"/>
              <w:jc w:val="right"/>
            </w:pPr>
            <w:r/>
            <w:r>
              <w:rPr>
                <w:sz w:val="18"/>
              </w:rPr>
              <w:t>493</w:t>
            </w:r>
          </w:p>
        </w:tc>
        <w:tc>
          <w:tcPr>
            <w:tcW w:type="dxa" w:w="1984"/>
            <w:shd w:val="clear" w:color="auto" w:fill="F2F4F7"/>
          </w:tcPr>
          <w:p>
            <w:pPr>
              <w:spacing w:after="0" w:line="240" w:lineRule="auto"/>
              <w:jc w:val="right"/>
            </w:pPr>
            <w:r/>
            <w:r>
              <w:rPr>
                <w:sz w:val="18"/>
              </w:rPr>
              <w:t>315</w:t>
            </w:r>
          </w:p>
        </w:tc>
        <w:tc>
          <w:tcPr>
            <w:tcW w:type="dxa" w:w="1928"/>
            <w:shd w:val="clear" w:color="auto" w:fill="F2F4F7"/>
          </w:tcPr>
          <w:p>
            <w:pPr>
              <w:spacing w:after="0" w:line="240" w:lineRule="auto"/>
              <w:jc w:val="right"/>
            </w:pPr>
            <w:r/>
            <w:r>
              <w:rPr>
                <w:sz w:val="18"/>
              </w:rPr>
              <w:t>102</w:t>
            </w:r>
          </w:p>
        </w:tc>
      </w:tr>
      <w:tr>
        <w:trPr>
          <w:cantSplit/>
        </w:trPr>
        <w:tc>
          <w:tcPr>
            <w:tcW w:type="dxa" w:w="3402"/>
          </w:tcPr>
          <w:p>
            <w:pPr>
              <w:spacing w:after="0" w:line="240" w:lineRule="auto"/>
            </w:pPr>
            <w:r/>
            <w:r>
              <w:rPr>
                <w:sz w:val="18"/>
              </w:rPr>
              <w:t>Prices +19%</w:t>
            </w:r>
          </w:p>
        </w:tc>
        <w:tc>
          <w:tcPr>
            <w:tcW w:type="dxa" w:w="1928"/>
          </w:tcPr>
          <w:p>
            <w:pPr>
              <w:spacing w:after="0" w:line="240" w:lineRule="auto"/>
              <w:jc w:val="right"/>
            </w:pPr>
            <w:r/>
            <w:r>
              <w:rPr>
                <w:sz w:val="18"/>
              </w:rPr>
              <w:t>611</w:t>
            </w:r>
          </w:p>
        </w:tc>
        <w:tc>
          <w:tcPr>
            <w:tcW w:type="dxa" w:w="1984"/>
          </w:tcPr>
          <w:p>
            <w:pPr>
              <w:spacing w:after="0" w:line="240" w:lineRule="auto"/>
              <w:jc w:val="right"/>
            </w:pPr>
            <w:r/>
            <w:r>
              <w:rPr>
                <w:sz w:val="18"/>
              </w:rPr>
              <w:t>414</w:t>
            </w:r>
          </w:p>
        </w:tc>
        <w:tc>
          <w:tcPr>
            <w:tcW w:type="dxa" w:w="1928"/>
          </w:tcPr>
          <w:p>
            <w:pPr>
              <w:spacing w:after="0" w:line="240" w:lineRule="auto"/>
              <w:jc w:val="right"/>
            </w:pPr>
            <w:r/>
            <w:r>
              <w:rPr>
                <w:sz w:val="18"/>
              </w:rPr>
              <w:t>102</w:t>
            </w:r>
          </w:p>
        </w:tc>
      </w:tr>
      <w:tr>
        <w:trPr>
          <w:cantSplit/>
        </w:trPr>
        <w:tc>
          <w:tcPr>
            <w:tcW w:type="dxa" w:w="3402"/>
            <w:shd w:val="clear" w:color="auto" w:fill="F2F4F7"/>
          </w:tcPr>
          <w:p>
            <w:pPr>
              <w:spacing w:after="0" w:line="240" w:lineRule="auto"/>
            </w:pPr>
            <w:r/>
            <w:r>
              <w:rPr>
                <w:sz w:val="18"/>
              </w:rPr>
              <w:t>Sales delayed 6 months</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129</w:t>
            </w:r>
          </w:p>
        </w:tc>
        <w:tc>
          <w:tcPr>
            <w:tcW w:type="dxa" w:w="1928"/>
            <w:shd w:val="clear" w:color="auto" w:fill="F2F4F7"/>
          </w:tcPr>
          <w:p>
            <w:pPr>
              <w:spacing w:after="0" w:line="240" w:lineRule="auto"/>
              <w:jc w:val="right"/>
            </w:pPr>
            <w:r/>
            <w:r>
              <w:rPr>
                <w:sz w:val="18"/>
              </w:rPr>
              <w:t>217</w:t>
            </w:r>
          </w:p>
        </w:tc>
      </w:tr>
      <w:tr>
        <w:trPr>
          <w:cantSplit/>
        </w:trPr>
        <w:tc>
          <w:tcPr>
            <w:tcW w:type="dxa" w:w="3402"/>
          </w:tcPr>
          <w:p>
            <w:pPr>
              <w:spacing w:after="0" w:line="240" w:lineRule="auto"/>
            </w:pPr>
            <w:r/>
            <w:r>
              <w:rPr>
                <w:sz w:val="18"/>
              </w:rPr>
              <w:t>Sales delayed 12 months</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49</w:t>
            </w:r>
          </w:p>
        </w:tc>
        <w:tc>
          <w:tcPr>
            <w:tcW w:type="dxa" w:w="1928"/>
          </w:tcPr>
          <w:p>
            <w:pPr>
              <w:spacing w:after="0" w:line="240" w:lineRule="auto"/>
              <w:jc w:val="right"/>
            </w:pPr>
            <w:r/>
            <w:r>
              <w:rPr>
                <w:sz w:val="18"/>
              </w:rPr>
              <w:t>408</w:t>
            </w:r>
          </w:p>
        </w:tc>
      </w:tr>
      <w:tr>
        <w:trPr>
          <w:cantSplit/>
        </w:trPr>
        <w:tc>
          <w:tcPr>
            <w:tcW w:type="dxa" w:w="3402"/>
            <w:shd w:val="clear" w:color="auto" w:fill="F2F4F7"/>
          </w:tcPr>
          <w:p>
            <w:pPr>
              <w:spacing w:after="0" w:line="240" w:lineRule="auto"/>
            </w:pPr>
            <w:r/>
            <w:r>
              <w:rPr>
                <w:sz w:val="18"/>
              </w:rPr>
              <w:t>Sales delayed 18 months</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-26</w:t>
            </w:r>
          </w:p>
        </w:tc>
        <w:tc>
          <w:tcPr>
            <w:tcW w:type="dxa" w:w="1928"/>
            <w:shd w:val="clear" w:color="auto" w:fill="F2F4F7"/>
          </w:tcPr>
          <w:p>
            <w:pPr>
              <w:spacing w:after="0" w:line="240" w:lineRule="auto"/>
              <w:jc w:val="right"/>
            </w:pPr>
            <w:r/>
            <w:r>
              <w:rPr>
                <w:sz w:val="18"/>
              </w:rPr>
              <w:t>825</w:t>
            </w:r>
          </w:p>
        </w:tc>
      </w:tr>
      <w:tr>
        <w:trPr>
          <w:cantSplit/>
        </w:trPr>
        <w:tc>
          <w:tcPr>
            <w:tcW w:type="dxa" w:w="3402"/>
          </w:tcPr>
          <w:p>
            <w:pPr>
              <w:spacing w:after="0" w:line="240" w:lineRule="auto"/>
            </w:pPr>
            <w:r/>
            <w:r>
              <w:rPr>
                <w:sz w:val="18"/>
              </w:rPr>
              <w:t>Sales delayed 24 months</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-97</w:t>
            </w:r>
          </w:p>
        </w:tc>
        <w:tc>
          <w:tcPr>
            <w:tcW w:type="dxa" w:w="1928"/>
          </w:tcPr>
          <w:p>
            <w:pPr>
              <w:spacing w:after="0" w:line="240" w:lineRule="auto"/>
              <w:jc w:val="right"/>
            </w:pPr>
            <w:r/>
            <w:r>
              <w:rPr>
                <w:sz w:val="18"/>
              </w:rPr>
              <w:t>1,075</w:t>
            </w:r>
          </w:p>
        </w:tc>
      </w:tr>
      <w:tr>
        <w:trPr>
          <w:cantSplit/>
        </w:trPr>
        <w:tc>
          <w:tcPr>
            <w:tcW w:type="dxa" w:w="3402"/>
            <w:shd w:val="clear" w:color="auto" w:fill="F2F4F7"/>
          </w:tcPr>
          <w:p>
            <w:pPr>
              <w:spacing w:after="0" w:line="240" w:lineRule="auto"/>
            </w:pPr>
            <w:r/>
            <w:r>
              <w:rPr>
                <w:sz w:val="18"/>
              </w:rPr>
              <w:t>Construction cost +10%</w:t>
            </w:r>
          </w:p>
        </w:tc>
        <w:tc>
          <w:tcPr>
            <w:tcW w:type="dxa" w:w="1928"/>
            <w:shd w:val="clear" w:color="auto" w:fill="F2F4F7"/>
          </w:tcPr>
          <w:p>
            <w:pPr>
              <w:spacing w:after="0" w:line="240" w:lineRule="auto"/>
              <w:jc w:val="right"/>
            </w:pPr>
            <w:r/>
            <w:r>
              <w:rPr>
                <w:sz w:val="18"/>
              </w:rPr>
              <w:t>295</w:t>
            </w:r>
          </w:p>
        </w:tc>
        <w:tc>
          <w:tcPr>
            <w:tcW w:type="dxa" w:w="1984"/>
            <w:shd w:val="clear" w:color="auto" w:fill="F2F4F7"/>
          </w:tcPr>
          <w:p>
            <w:pPr>
              <w:spacing w:after="0" w:line="240" w:lineRule="auto"/>
              <w:jc w:val="right"/>
            </w:pPr>
            <w:r/>
            <w:r>
              <w:rPr>
                <w:sz w:val="18"/>
              </w:rPr>
              <w:t>162</w:t>
            </w:r>
          </w:p>
        </w:tc>
        <w:tc>
          <w:tcPr>
            <w:tcW w:type="dxa" w:w="1928"/>
            <w:shd w:val="clear" w:color="auto" w:fill="F2F4F7"/>
          </w:tcPr>
          <w:p>
            <w:pPr>
              <w:spacing w:after="0" w:line="240" w:lineRule="auto"/>
              <w:jc w:val="right"/>
            </w:pPr>
            <w:r/>
            <w:r>
              <w:rPr>
                <w:sz w:val="18"/>
              </w:rPr>
              <w:t>102</w:t>
            </w:r>
          </w:p>
        </w:tc>
      </w:tr>
      <w:tr>
        <w:trPr>
          <w:cantSplit/>
        </w:trPr>
        <w:tc>
          <w:tcPr>
            <w:tcW w:type="dxa" w:w="3402"/>
          </w:tcPr>
          <w:p>
            <w:pPr>
              <w:spacing w:after="0" w:line="240" w:lineRule="auto"/>
            </w:pPr>
            <w:r/>
            <w:r>
              <w:rPr>
                <w:sz w:val="18"/>
              </w:rPr>
              <w:t>Construction cost +19%</w:t>
            </w:r>
          </w:p>
        </w:tc>
        <w:tc>
          <w:tcPr>
            <w:tcW w:type="dxa" w:w="1928"/>
          </w:tcPr>
          <w:p>
            <w:pPr>
              <w:spacing w:after="0" w:line="240" w:lineRule="auto"/>
              <w:jc w:val="right"/>
            </w:pPr>
            <w:r/>
            <w:r>
              <w:rPr>
                <w:sz w:val="18"/>
              </w:rPr>
              <w:t>215</w:t>
            </w:r>
          </w:p>
        </w:tc>
        <w:tc>
          <w:tcPr>
            <w:tcW w:type="dxa" w:w="1984"/>
          </w:tcPr>
          <w:p>
            <w:pPr>
              <w:spacing w:after="0" w:line="240" w:lineRule="auto"/>
              <w:jc w:val="right"/>
            </w:pPr>
            <w:r/>
            <w:r>
              <w:rPr>
                <w:sz w:val="18"/>
              </w:rPr>
              <w:t>109</w:t>
            </w:r>
          </w:p>
        </w:tc>
        <w:tc>
          <w:tcPr>
            <w:tcW w:type="dxa" w:w="1928"/>
          </w:tcPr>
          <w:p>
            <w:pPr>
              <w:spacing w:after="0" w:line="240" w:lineRule="auto"/>
              <w:jc w:val="right"/>
            </w:pPr>
            <w:r/>
            <w:r>
              <w:rPr>
                <w:sz w:val="18"/>
              </w:rPr>
              <w:t>114</w:t>
            </w:r>
          </w:p>
        </w:tc>
      </w:tr>
      <w:tr>
        <w:trPr>
          <w:cantSplit/>
        </w:trPr>
        <w:tc>
          <w:tcPr>
            <w:tcW w:type="dxa" w:w="3402"/>
            <w:shd w:val="clear" w:color="auto" w:fill="F2F4F7"/>
          </w:tcPr>
          <w:p>
            <w:pPr>
              <w:spacing w:after="0" w:line="240" w:lineRule="auto"/>
            </w:pPr>
            <w:r/>
            <w:r>
              <w:rPr>
                <w:sz w:val="18"/>
              </w:rPr>
              <w:t>Collections slip 1 quarter</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170</w:t>
            </w:r>
          </w:p>
        </w:tc>
        <w:tc>
          <w:tcPr>
            <w:tcW w:type="dxa" w:w="1928"/>
            <w:shd w:val="clear" w:color="auto" w:fill="F2F4F7"/>
          </w:tcPr>
          <w:p>
            <w:pPr>
              <w:spacing w:after="0" w:line="240" w:lineRule="auto"/>
              <w:jc w:val="right"/>
            </w:pPr>
            <w:r/>
            <w:r>
              <w:rPr>
                <w:sz w:val="18"/>
              </w:rPr>
              <w:t>162</w:t>
            </w:r>
          </w:p>
        </w:tc>
      </w:tr>
      <w:tr>
        <w:trPr>
          <w:cantSplit/>
        </w:trPr>
        <w:tc>
          <w:tcPr>
            <w:tcW w:type="dxa" w:w="3402"/>
          </w:tcPr>
          <w:p>
            <w:pPr>
              <w:spacing w:after="0" w:line="240" w:lineRule="auto"/>
            </w:pPr>
            <w:r/>
            <w:r>
              <w:rPr>
                <w:sz w:val="18"/>
              </w:rPr>
              <w:t>Collections slip 2 quarters</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125</w:t>
            </w:r>
          </w:p>
        </w:tc>
        <w:tc>
          <w:tcPr>
            <w:tcW w:type="dxa" w:w="1928"/>
          </w:tcPr>
          <w:p>
            <w:pPr>
              <w:spacing w:after="0" w:line="240" w:lineRule="auto"/>
              <w:jc w:val="right"/>
            </w:pPr>
            <w:r/>
            <w:r>
              <w:rPr>
                <w:sz w:val="18"/>
              </w:rPr>
              <w:t>236</w:t>
            </w:r>
          </w:p>
        </w:tc>
      </w:tr>
      <w:tr>
        <w:trPr>
          <w:cantSplit/>
        </w:trPr>
        <w:tc>
          <w:tcPr>
            <w:tcW w:type="dxa" w:w="3402"/>
            <w:shd w:val="clear" w:color="auto" w:fill="F2F4F7"/>
          </w:tcPr>
          <w:p>
            <w:pPr>
              <w:spacing w:after="0" w:line="240" w:lineRule="auto"/>
            </w:pPr>
            <w:r/>
            <w:r>
              <w:rPr>
                <w:sz w:val="18"/>
              </w:rPr>
              <w:t>Collections slip 4 quarters</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41</w:t>
            </w:r>
          </w:p>
        </w:tc>
        <w:tc>
          <w:tcPr>
            <w:tcW w:type="dxa" w:w="1928"/>
            <w:shd w:val="clear" w:color="auto" w:fill="F2F4F7"/>
          </w:tcPr>
          <w:p>
            <w:pPr>
              <w:spacing w:after="0" w:line="240" w:lineRule="auto"/>
              <w:jc w:val="right"/>
            </w:pPr>
            <w:r/>
            <w:r>
              <w:rPr>
                <w:sz w:val="18"/>
              </w:rPr>
              <w:t>440</w:t>
            </w:r>
          </w:p>
        </w:tc>
      </w:tr>
    </w:tbl>
    <w:p>
      <w:pPr>
        <w:spacing w:after="80"/>
      </w:pPr>
    </w:p>
    <w:p>
      <w:pPr>
        <w:keepNext/>
        <w:jc w:val="center"/>
      </w:pPr>
      <w:r>
        <w:drawing>
          <wp:inline xmlns:a="http://schemas.openxmlformats.org/drawingml/2006/main" xmlns:pic="http://schemas.openxmlformats.org/drawingml/2006/picture">
            <wp:extent cx="5580000" cy="2557500"/>
            <wp:docPr id="5" name="Picture 5"/>
            <wp:cNvGraphicFramePr>
              <a:graphicFrameLocks noChangeAspect="1"/>
            </wp:cNvGraphicFramePr>
            <a:graphic>
              <a:graphicData uri="http://schemas.openxmlformats.org/drawingml/2006/picture">
                <pic:pic>
                  <pic:nvPicPr>
                    <pic:cNvPr id="0" name="fig_sens.png"/>
                    <pic:cNvPicPr/>
                  </pic:nvPicPr>
                  <pic:blipFill>
                    <a:blip r:embed="rId15"/>
                    <a:stretch>
                      <a:fillRect/>
                    </a:stretch>
                  </pic:blipFill>
                  <pic:spPr>
                    <a:xfrm>
                      <a:off x="0" y="0"/>
                      <a:ext cx="5580000" cy="2557500"/>
                    </a:xfrm>
                    <a:prstGeom prst="rect"/>
                  </pic:spPr>
                </pic:pic>
              </a:graphicData>
            </a:graphic>
          </wp:inline>
        </w:drawing>
      </w:r>
    </w:p>
    <w:p>
      <w:pPr>
        <w:jc w:val="center"/>
      </w:pPr>
      <w:r>
        <w:rPr>
          <w:b/>
          <w:color w:val="17324D"/>
          <w:sz w:val="18"/>
        </w:rPr>
        <w:t xml:space="preserve">Figure 5: Project NPV by case. </w:t>
      </w:r>
      <w:r>
        <w:rPr>
          <w:i/>
          <w:color w:val="6B7280"/>
          <w:sz w:val="18"/>
        </w:rPr>
        <w:t>Source: Financial Annex, Scenarios and Sensitivity sheets</w:t>
      </w:r>
    </w:p>
    <w:p>
      <w:pPr>
        <w:pStyle w:val="Heading1"/>
        <w:pageBreakBefore/>
      </w:pPr>
      <w:r>
        <w:t>14. Security and ranking</w:t>
      </w:r>
    </w:p>
    <w:p>
      <w:pPr>
        <w:keepNext/>
      </w:pPr>
      <w:r>
        <w:rPr>
          <w:b w:val="0"/>
          <w:i w:val="0"/>
        </w:rPr>
        <w:t>This is a proposal for review by Jalour's lawyers and the investor's counsel. Nothing in the structure is ring-fenced: there is no restricted account, escrow or segregated collection account, and security is contractual or over specific units.</w:t>
      </w:r>
    </w:p>
    <w:p>
      <w:pPr>
        <w:pStyle w:val="Heading2"/>
      </w:pPr>
      <w:r>
        <w:t>14.1 Base package</w:t>
      </w:r>
    </w:p>
    <w:p>
      <w:pPr>
        <w:keepNext/>
        <w:spacing w:after="60"/>
      </w:pPr>
      <w:r>
        <w:rPr>
          <w:b/>
          <w:color w:val="17324D"/>
          <w:sz w:val="19"/>
        </w:rPr>
        <w:t>Table 28: Security and protections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Protection</w:t>
            </w:r>
          </w:p>
        </w:tc>
        <w:tc>
          <w:tcPr>
            <w:tcW w:type="dxa" w:w="3628"/>
            <w:shd w:val="clear" w:color="auto" w:fill="17324D"/>
          </w:tcPr>
          <w:p>
            <w:pPr>
              <w:spacing w:after="0" w:line="240" w:lineRule="auto"/>
            </w:pPr>
            <w:r/>
            <w:r>
              <w:rPr>
                <w:b/>
                <w:color w:val="FFFFFF"/>
                <w:sz w:val="18"/>
              </w:rPr>
              <w:t>Option A</w:t>
            </w:r>
          </w:p>
        </w:tc>
        <w:tc>
          <w:tcPr>
            <w:tcW w:type="dxa" w:w="3572"/>
            <w:shd w:val="clear" w:color="auto" w:fill="17324D"/>
          </w:tcPr>
          <w:p>
            <w:pPr>
              <w:spacing w:after="0" w:line="240" w:lineRule="auto"/>
            </w:pPr>
            <w:r/>
            <w:r>
              <w:rPr>
                <w:b/>
                <w:color w:val="FFFFFF"/>
                <w:sz w:val="18"/>
              </w:rPr>
              <w:t>Option B</w:t>
            </w:r>
          </w:p>
        </w:tc>
      </w:tr>
      <w:tr>
        <w:trPr>
          <w:cantSplit/>
        </w:trPr>
        <w:tc>
          <w:tcPr>
            <w:tcW w:type="dxa" w:w="2041"/>
          </w:tcPr>
          <w:p>
            <w:pPr>
              <w:spacing w:after="0" w:line="240" w:lineRule="auto"/>
            </w:pPr>
            <w:r/>
            <w:r>
              <w:rPr>
                <w:sz w:val="18"/>
              </w:rPr>
              <w:t>Specific units</w:t>
            </w:r>
          </w:p>
        </w:tc>
        <w:tc>
          <w:tcPr>
            <w:tcW w:type="dxa" w:w="3628"/>
          </w:tcPr>
          <w:p>
            <w:pPr>
              <w:spacing w:after="0" w:line="240" w:lineRule="auto"/>
            </w:pPr>
            <w:r/>
            <w:r>
              <w:rPr>
                <w:sz w:val="18"/>
              </w:rPr>
              <w:t>Registered allocation of identified units from the first two sales tranches; the units are the investor's asset</w:t>
            </w:r>
          </w:p>
        </w:tc>
        <w:tc>
          <w:tcPr>
            <w:tcW w:type="dxa" w:w="3572"/>
          </w:tcPr>
          <w:p>
            <w:pPr>
              <w:spacing w:after="0" w:line="240" w:lineRule="auto"/>
            </w:pPr>
            <w:r/>
            <w:r>
              <w:rPr>
                <w:sz w:val="18"/>
              </w:rPr>
              <w:t>Earmark of unsold units with a list value of at least the ticket (substitution of equal value allowed); Jalour retained units not used</w:t>
            </w:r>
          </w:p>
        </w:tc>
      </w:tr>
      <w:tr>
        <w:trPr>
          <w:cantSplit/>
        </w:trPr>
        <w:tc>
          <w:tcPr>
            <w:tcW w:type="dxa" w:w="2041"/>
            <w:shd w:val="clear" w:color="auto" w:fill="F2F4F7"/>
          </w:tcPr>
          <w:p>
            <w:pPr>
              <w:spacing w:after="0" w:line="240" w:lineRule="auto"/>
            </w:pPr>
            <w:r/>
            <w:r>
              <w:rPr>
                <w:sz w:val="18"/>
              </w:rPr>
              <w:t>Payment priority covenant</w:t>
            </w:r>
          </w:p>
        </w:tc>
        <w:tc>
          <w:tcPr>
            <w:tcW w:type="dxa" w:w="3628"/>
            <w:shd w:val="clear" w:color="auto" w:fill="F2F4F7"/>
          </w:tcPr>
          <w:p>
            <w:pPr>
              <w:spacing w:after="0" w:line="240" w:lineRule="auto"/>
            </w:pPr>
            <w:r/>
            <w:r>
              <w:rPr>
                <w:sz w:val="18"/>
              </w:rPr>
              <w:t>Not applicable</w:t>
            </w:r>
          </w:p>
        </w:tc>
        <w:tc>
          <w:tcPr>
            <w:tcW w:type="dxa" w:w="3572"/>
            <w:shd w:val="clear" w:color="auto" w:fill="F2F4F7"/>
          </w:tcPr>
          <w:p>
            <w:pPr>
              <w:spacing w:after="0" w:line="240" w:lineRule="auto"/>
            </w:pPr>
            <w:r/>
            <w:r>
              <w:rPr>
                <w:sz w:val="18"/>
              </w:rPr>
              <w:t>No shareholder distributions or repayment of shareholder loans while an instalment is overdue</w:t>
            </w:r>
          </w:p>
        </w:tc>
      </w:tr>
      <w:tr>
        <w:trPr>
          <w:cantSplit/>
        </w:trPr>
        <w:tc>
          <w:tcPr>
            <w:tcW w:type="dxa" w:w="2041"/>
          </w:tcPr>
          <w:p>
            <w:pPr>
              <w:spacing w:after="0" w:line="240" w:lineRule="auto"/>
            </w:pPr>
            <w:r/>
            <w:r>
              <w:rPr>
                <w:sz w:val="18"/>
              </w:rPr>
              <w:t>Negative pledge</w:t>
            </w:r>
          </w:p>
        </w:tc>
        <w:tc>
          <w:tcPr>
            <w:tcW w:type="dxa" w:w="3628"/>
          </w:tcPr>
          <w:p>
            <w:pPr>
              <w:spacing w:after="0" w:line="240" w:lineRule="auto"/>
            </w:pPr>
            <w:r/>
            <w:r>
              <w:rPr>
                <w:sz w:val="18"/>
              </w:rPr>
              <w:t>On the allocated units</w:t>
            </w:r>
          </w:p>
        </w:tc>
        <w:tc>
          <w:tcPr>
            <w:tcW w:type="dxa" w:w="3572"/>
          </w:tcPr>
          <w:p>
            <w:pPr>
              <w:spacing w:after="0" w:line="240" w:lineRule="auto"/>
            </w:pPr>
            <w:r/>
            <w:r>
              <w:rPr>
                <w:sz w:val="18"/>
              </w:rPr>
              <w:t>On the earmarked units</w:t>
            </w:r>
          </w:p>
        </w:tc>
      </w:tr>
      <w:tr>
        <w:trPr>
          <w:cantSplit/>
        </w:trPr>
        <w:tc>
          <w:tcPr>
            <w:tcW w:type="dxa" w:w="2041"/>
            <w:shd w:val="clear" w:color="auto" w:fill="F2F4F7"/>
          </w:tcPr>
          <w:p>
            <w:pPr>
              <w:spacing w:after="0" w:line="240" w:lineRule="auto"/>
            </w:pPr>
            <w:r/>
            <w:r>
              <w:rPr>
                <w:sz w:val="18"/>
              </w:rPr>
              <w:t>Information rights</w:t>
            </w:r>
          </w:p>
        </w:tc>
        <w:tc>
          <w:tcPr>
            <w:tcW w:type="dxa" w:w="3628"/>
            <w:shd w:val="clear" w:color="auto" w:fill="F2F4F7"/>
          </w:tcPr>
          <w:p>
            <w:pPr>
              <w:spacing w:after="0" w:line="240" w:lineRule="auto"/>
            </w:pPr>
            <w:r/>
            <w:r>
              <w:rPr>
                <w:sz w:val="18"/>
              </w:rPr>
              <w:t>Monthly report, annual audited accounts, audit right</w:t>
            </w:r>
          </w:p>
        </w:tc>
        <w:tc>
          <w:tcPr>
            <w:tcW w:type="dxa" w:w="3572"/>
            <w:shd w:val="clear" w:color="auto" w:fill="F2F4F7"/>
          </w:tcPr>
          <w:p>
            <w:pPr>
              <w:spacing w:after="0" w:line="240" w:lineRule="auto"/>
            </w:pPr>
            <w:r/>
            <w:r>
              <w:rPr>
                <w:sz w:val="18"/>
              </w:rPr>
              <w:t>Same</w:t>
            </w:r>
          </w:p>
        </w:tc>
      </w:tr>
      <w:tr>
        <w:trPr>
          <w:cantSplit/>
        </w:trPr>
        <w:tc>
          <w:tcPr>
            <w:tcW w:type="dxa" w:w="2041"/>
          </w:tcPr>
          <w:p>
            <w:pPr>
              <w:spacing w:after="0" w:line="240" w:lineRule="auto"/>
            </w:pPr>
            <w:r/>
            <w:r>
              <w:rPr>
                <w:sz w:val="18"/>
              </w:rPr>
              <w:t>Sponsor funding undertaking</w:t>
            </w:r>
          </w:p>
        </w:tc>
        <w:tc>
          <w:tcPr>
            <w:tcW w:type="dxa" w:w="3628"/>
          </w:tcPr>
          <w:p>
            <w:pPr>
              <w:spacing w:after="0" w:line="240" w:lineRule="auto"/>
            </w:pPr>
            <w:r/>
            <w:r>
              <w:rPr>
                <w:sz w:val="18"/>
              </w:rPr>
              <w:t>Funds project funding gaps; supports delivery</w:t>
            </w:r>
          </w:p>
        </w:tc>
        <w:tc>
          <w:tcPr>
            <w:tcW w:type="dxa" w:w="3572"/>
          </w:tcPr>
          <w:p>
            <w:pPr>
              <w:spacing w:after="0" w:line="240" w:lineRule="auto"/>
            </w:pPr>
            <w:r/>
            <w:r>
              <w:rPr>
                <w:sz w:val="18"/>
              </w:rPr>
              <w:t>Same; not a guarantee of the return</w:t>
            </w:r>
          </w:p>
        </w:tc>
      </w:tr>
      <w:tr>
        <w:trPr>
          <w:cantSplit/>
        </w:trPr>
        <w:tc>
          <w:tcPr>
            <w:tcW w:type="dxa" w:w="2041"/>
            <w:shd w:val="clear" w:color="auto" w:fill="F2F4F7"/>
          </w:tcPr>
          <w:p>
            <w:pPr>
              <w:spacing w:after="0" w:line="240" w:lineRule="auto"/>
            </w:pPr>
            <w:r/>
            <w:r>
              <w:rPr>
                <w:sz w:val="18"/>
              </w:rPr>
              <w:t>Landlord acknowledgement</w:t>
            </w:r>
          </w:p>
        </w:tc>
        <w:tc>
          <w:tcPr>
            <w:tcW w:type="dxa" w:w="3628"/>
            <w:shd w:val="clear" w:color="auto" w:fill="F2F4F7"/>
          </w:tcPr>
          <w:p>
            <w:pPr>
              <w:spacing w:after="0" w:line="240" w:lineRule="auto"/>
            </w:pPr>
            <w:r/>
            <w:r>
              <w:rPr>
                <w:sz w:val="18"/>
              </w:rPr>
              <w:t>Of the allocation and assignment rights</w:t>
            </w:r>
          </w:p>
        </w:tc>
        <w:tc>
          <w:tcPr>
            <w:tcW w:type="dxa" w:w="3572"/>
            <w:shd w:val="clear" w:color="auto" w:fill="F2F4F7"/>
          </w:tcPr>
          <w:p>
            <w:pPr>
              <w:spacing w:after="0" w:line="240" w:lineRule="auto"/>
            </w:pPr>
            <w:r/>
            <w:r>
              <w:rPr>
                <w:sz w:val="18"/>
              </w:rPr>
              <w:t>Of the earmark</w:t>
            </w:r>
          </w:p>
        </w:tc>
      </w:tr>
    </w:tbl>
    <w:p>
      <w:pPr>
        <w:spacing w:after="80"/>
      </w:pPr>
    </w:p>
    <w:p>
      <w:pPr>
        <w:pStyle w:val="Heading2"/>
      </w:pPr>
      <w:r>
        <w:t>14.2 Optional protections (for counsel)</w:t>
      </w:r>
    </w:p>
    <w:p>
      <w:pPr>
        <w:pStyle w:val="ListBullet"/>
        <w:spacing w:after="60"/>
      </w:pPr>
      <w:r>
        <w:rPr>
          <w:b w:val="0"/>
          <w:i w:val="0"/>
        </w:rPr>
        <w:t>Promissory note or post-dated cheques for each Option B instalment, common in Egyptian practice.</w:t>
      </w:r>
    </w:p>
    <w:p>
      <w:pPr>
        <w:pStyle w:val="ListBullet"/>
        <w:spacing w:after="60"/>
      </w:pPr>
      <w:r>
        <w:rPr>
          <w:b w:val="0"/>
          <w:i w:val="0"/>
        </w:rPr>
        <w:t>Independent engineer reporting on construction progress and cost to complete.</w:t>
      </w:r>
    </w:p>
    <w:p>
      <w:pPr>
        <w:pStyle w:val="ListBullet"/>
        <w:spacing w:after="60"/>
      </w:pPr>
      <w:r>
        <w:rPr>
          <w:b w:val="0"/>
          <w:i w:val="0"/>
        </w:rPr>
        <w:t>Step-in right to market the earmarked units after a payment default.</w:t>
      </w:r>
    </w:p>
    <w:p>
      <w:pPr>
        <w:pStyle w:val="ListBullet"/>
        <w:spacing w:after="60"/>
      </w:pPr>
      <w:r>
        <w:rPr>
          <w:b w:val="0"/>
          <w:i w:val="0"/>
        </w:rPr>
        <w:t>Parent guarantee: not offered. Jalour has chosen not to guarantee the return; the investor should price this.</w:t>
      </w:r>
    </w:p>
    <w:p>
      <w:pPr>
        <w:pStyle w:val="Heading2"/>
      </w:pPr>
      <w:r>
        <w:t>14.3 Ranking</w:t>
      </w:r>
    </w:p>
    <w:p>
      <w:r>
        <w:rPr>
          <w:b w:val="0"/>
          <w:i w:val="0"/>
        </w:rPr>
        <w:t>Proposed ranking, for counsel: the investor's entitlement ranks as an obligation of the project company. It ranks behind amounts owed to the landowner under its agreement (which are paid from collections and take the first 35%) and behind construction and operating creditors in the ordinary course, and ahead of distributions to shareholders only to the extent of the payment priority covenant. Further project-level financing, if any, requires the investor's consent where it would rank ahead of the investor or encumber the earmarked units.</w:t>
      </w:r>
    </w:p>
    <w:p>
      <w:pPr>
        <w:pStyle w:val="Heading1"/>
      </w:pPr>
      <w:r>
        <w:t>15. Governance and information rights</w:t>
      </w:r>
    </w:p>
    <w:p>
      <w:pPr>
        <w:pStyle w:val="ListBullet"/>
        <w:spacing w:after="60"/>
      </w:pPr>
      <w:r>
        <w:rPr>
          <w:b/>
          <w:i w:val="0"/>
        </w:rPr>
        <w:t>Monthly report</w:t>
      </w:r>
      <w:r>
        <w:rPr>
          <w:b w:val="0"/>
          <w:i w:val="0"/>
        </w:rPr>
        <w:t xml:space="preserve"> within 15 days of month-end: units sold and value, collections against plan, costs against budget, construction progress against programme, cash position, any payment overdue to the landlord.</w:t>
      </w:r>
    </w:p>
    <w:p>
      <w:pPr>
        <w:pStyle w:val="ListBullet"/>
        <w:spacing w:after="60"/>
      </w:pPr>
      <w:r>
        <w:rPr>
          <w:b/>
          <w:i w:val="0"/>
        </w:rPr>
        <w:t>Quarterly review</w:t>
      </w:r>
      <w:r>
        <w:rPr>
          <w:b w:val="0"/>
          <w:i w:val="0"/>
        </w:rPr>
        <w:t xml:space="preserve"> with the investor, including cost to complete and the sales pipeline.</w:t>
      </w:r>
    </w:p>
    <w:p>
      <w:pPr>
        <w:pStyle w:val="ListBullet"/>
        <w:spacing w:after="60"/>
      </w:pPr>
      <w:r>
        <w:rPr>
          <w:b/>
          <w:i w:val="0"/>
        </w:rPr>
        <w:t>Annual audited accounts</w:t>
      </w:r>
      <w:r>
        <w:rPr>
          <w:b w:val="0"/>
          <w:i w:val="0"/>
        </w:rPr>
        <w:t xml:space="preserve"> of the project company within 120 days of year-end.</w:t>
      </w:r>
    </w:p>
    <w:p>
      <w:pPr>
        <w:pStyle w:val="ListBullet"/>
        <w:spacing w:after="60"/>
      </w:pPr>
      <w:r>
        <w:rPr>
          <w:b/>
          <w:i w:val="0"/>
        </w:rPr>
        <w:t>Audit and inspection rights</w:t>
      </w:r>
      <w:r>
        <w:rPr>
          <w:b w:val="0"/>
          <w:i w:val="0"/>
        </w:rPr>
        <w:t xml:space="preserve"> on reasonable notice over books, the sales register and the site.</w:t>
      </w:r>
    </w:p>
    <w:p>
      <w:pPr>
        <w:pStyle w:val="ListBullet"/>
        <w:spacing w:after="60"/>
      </w:pPr>
      <w:r>
        <w:rPr>
          <w:b/>
          <w:i w:val="0"/>
        </w:rPr>
        <w:t>Consent matters:</w:t>
      </w:r>
      <w:r>
        <w:rPr>
          <w:b w:val="0"/>
          <w:i w:val="0"/>
        </w:rPr>
        <w:t xml:space="preserve"> changes to the unit allocation or earmarked units, new project-level debt or security that would rank ahead, related-party transactions above an agreed threshold, and amendment of the landlord agreement that changes payments.</w:t>
      </w:r>
    </w:p>
    <w:p>
      <w:pPr>
        <w:pStyle w:val="ListBullet"/>
        <w:spacing w:after="60"/>
      </w:pPr>
      <w:r>
        <w:rPr>
          <w:b/>
          <w:i w:val="0"/>
        </w:rPr>
        <w:t>Notice events:</w:t>
      </w:r>
      <w:r>
        <w:rPr>
          <w:b w:val="0"/>
          <w:i w:val="0"/>
        </w:rPr>
        <w:t xml:space="preserve"> landlord dispute or default, loss or change of a permit, delay of more than three months to the construction programme, any payment overdue to the investor.</w:t>
      </w:r>
    </w:p>
    <w:p>
      <w:r>
        <w:rPr>
          <w:b w:val="0"/>
          <w:i w:val="0"/>
        </w:rPr>
        <w:t>Reporting thresholds and timings are indicative. Because there is no restricted account, the investor's monitoring rests on reporting and audit rather than on control of cash.</w:t>
      </w:r>
    </w:p>
    <w:p>
      <w:pPr>
        <w:pStyle w:val="Heading1"/>
      </w:pPr>
      <w:r>
        <w:t>16. Exit and liquidity</w:t>
      </w:r>
    </w:p>
    <w:p>
      <w:pPr>
        <w:pStyle w:val="Heading2"/>
      </w:pPr>
      <w:r>
        <w:t>16.1 Option A</w:t>
      </w:r>
    </w:p>
    <w:p>
      <w:pPr>
        <w:pStyle w:val="ListBullet"/>
        <w:spacing w:after="60"/>
      </w:pPr>
      <w:r>
        <w:rPr>
          <w:b w:val="0"/>
          <w:i w:val="0"/>
        </w:rPr>
        <w:t>Handover is in project month 48; units can be registered and sold from handover. The base case assumes sale over four quarters from month 51.</w:t>
      </w:r>
    </w:p>
    <w:p>
      <w:pPr>
        <w:pStyle w:val="ListBullet"/>
        <w:spacing w:after="60"/>
      </w:pPr>
      <w:r>
        <w:rPr>
          <w:b w:val="0"/>
          <w:i w:val="0"/>
        </w:rPr>
        <w:t>Before handover the investor may assign the contract with Jalour's consent and the landlord's acknowledgement [transfer fee to be agreed]. The buyer takes handover risk and will price it.</w:t>
      </w:r>
    </w:p>
    <w:p>
      <w:pPr>
        <w:pStyle w:val="ListBullet"/>
        <w:spacing w:after="60"/>
      </w:pPr>
      <w:r>
        <w:rPr>
          <w:b w:val="0"/>
          <w:i w:val="0"/>
        </w:rPr>
        <w:t>Jalour continues to sell its own inventory; the investor's resale competes with it. The agreements may include an orderly-sales covenant (for example, no more than an agreed share of the allocated area marketed in any quarter).</w:t>
      </w:r>
    </w:p>
    <w:p>
      <w:pPr>
        <w:keepNext/>
        <w:spacing w:after="60"/>
      </w:pPr>
      <w:r>
        <w:rPr>
          <w:b/>
          <w:color w:val="17324D"/>
          <w:sz w:val="19"/>
        </w:rPr>
        <w:t>Table 29: Early assignment of the contract at month 27 (units valued at face, 3% cost)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969"/>
            <w:shd w:val="clear" w:color="auto" w:fill="17324D"/>
          </w:tcPr>
          <w:p>
            <w:pPr>
              <w:spacing w:after="0" w:line="240" w:lineRule="auto"/>
            </w:pPr>
            <w:r/>
            <w:r>
              <w:rPr>
                <w:b/>
                <w:color w:val="FFFFFF"/>
                <w:sz w:val="19"/>
              </w:rPr>
              <w:t>Assignment at month 27</w:t>
            </w:r>
          </w:p>
        </w:tc>
        <w:tc>
          <w:tcPr>
            <w:tcW w:type="dxa" w:w="2551"/>
            <w:shd w:val="clear" w:color="auto" w:fill="17324D"/>
          </w:tcPr>
          <w:p>
            <w:pPr>
              <w:spacing w:after="0" w:line="240" w:lineRule="auto"/>
              <w:jc w:val="right"/>
            </w:pPr>
            <w:r/>
            <w:r>
              <w:rPr>
                <w:b/>
                <w:color w:val="FFFFFF"/>
                <w:sz w:val="19"/>
              </w:rPr>
              <w:t>Investor IRR</w:t>
            </w:r>
          </w:p>
        </w:tc>
        <w:tc>
          <w:tcPr>
            <w:tcW w:type="dxa" w:w="2721"/>
            <w:shd w:val="clear" w:color="auto" w:fill="17324D"/>
          </w:tcPr>
          <w:p>
            <w:pPr>
              <w:spacing w:after="0" w:line="240" w:lineRule="auto"/>
              <w:jc w:val="right"/>
            </w:pPr>
            <w:r/>
            <w:r>
              <w:rPr>
                <w:b/>
                <w:color w:val="FFFFFF"/>
                <w:sz w:val="19"/>
              </w:rPr>
              <w:t>Investor MOIC</w:t>
            </w:r>
          </w:p>
        </w:tc>
      </w:tr>
      <w:tr>
        <w:trPr>
          <w:cantSplit/>
        </w:trPr>
        <w:tc>
          <w:tcPr>
            <w:tcW w:type="dxa" w:w="3969"/>
          </w:tcPr>
          <w:p>
            <w:pPr>
              <w:spacing w:after="0" w:line="240" w:lineRule="auto"/>
            </w:pPr>
            <w:r/>
            <w:r>
              <w:rPr>
                <w:sz w:val="19"/>
              </w:rPr>
              <w:t>Discount to face 0%</w:t>
            </w:r>
          </w:p>
        </w:tc>
        <w:tc>
          <w:tcPr>
            <w:tcW w:type="dxa" w:w="2551"/>
          </w:tcPr>
          <w:p>
            <w:pPr>
              <w:spacing w:after="0" w:line="240" w:lineRule="auto"/>
              <w:jc w:val="right"/>
            </w:pPr>
            <w:r/>
            <w:r>
              <w:rPr>
                <w:sz w:val="19"/>
              </w:rPr>
              <w:t>39.3%</w:t>
            </w:r>
          </w:p>
        </w:tc>
        <w:tc>
          <w:tcPr>
            <w:tcW w:type="dxa" w:w="2721"/>
          </w:tcPr>
          <w:p>
            <w:pPr>
              <w:spacing w:after="0" w:line="240" w:lineRule="auto"/>
              <w:jc w:val="right"/>
            </w:pPr>
            <w:r/>
            <w:r>
              <w:rPr>
                <w:sz w:val="19"/>
              </w:rPr>
              <w:t>1.94x</w:t>
            </w:r>
          </w:p>
        </w:tc>
      </w:tr>
      <w:tr>
        <w:trPr>
          <w:cantSplit/>
        </w:trPr>
        <w:tc>
          <w:tcPr>
            <w:tcW w:type="dxa" w:w="3969"/>
            <w:shd w:val="clear" w:color="auto" w:fill="F2F4F7"/>
          </w:tcPr>
          <w:p>
            <w:pPr>
              <w:spacing w:after="0" w:line="240" w:lineRule="auto"/>
            </w:pPr>
            <w:r/>
            <w:r>
              <w:rPr>
                <w:sz w:val="19"/>
              </w:rPr>
              <w:t>Discount to face 10%</w:t>
            </w:r>
          </w:p>
        </w:tc>
        <w:tc>
          <w:tcPr>
            <w:tcW w:type="dxa" w:w="2551"/>
            <w:shd w:val="clear" w:color="auto" w:fill="F2F4F7"/>
          </w:tcPr>
          <w:p>
            <w:pPr>
              <w:spacing w:after="0" w:line="240" w:lineRule="auto"/>
              <w:jc w:val="right"/>
            </w:pPr>
            <w:r/>
            <w:r>
              <w:rPr>
                <w:sz w:val="19"/>
              </w:rPr>
              <w:t>32.1%</w:t>
            </w:r>
          </w:p>
        </w:tc>
        <w:tc>
          <w:tcPr>
            <w:tcW w:type="dxa" w:w="2721"/>
            <w:shd w:val="clear" w:color="auto" w:fill="F2F4F7"/>
          </w:tcPr>
          <w:p>
            <w:pPr>
              <w:spacing w:after="0" w:line="240" w:lineRule="auto"/>
              <w:jc w:val="right"/>
            </w:pPr>
            <w:r/>
            <w:r>
              <w:rPr>
                <w:sz w:val="19"/>
              </w:rPr>
              <w:t>1.75x</w:t>
            </w:r>
          </w:p>
        </w:tc>
      </w:tr>
      <w:tr>
        <w:trPr>
          <w:cantSplit/>
        </w:trPr>
        <w:tc>
          <w:tcPr>
            <w:tcW w:type="dxa" w:w="3969"/>
          </w:tcPr>
          <w:p>
            <w:pPr>
              <w:spacing w:after="0" w:line="240" w:lineRule="auto"/>
            </w:pPr>
            <w:r/>
            <w:r>
              <w:rPr>
                <w:sz w:val="19"/>
              </w:rPr>
              <w:t>Discount to face 20%</w:t>
            </w:r>
          </w:p>
        </w:tc>
        <w:tc>
          <w:tcPr>
            <w:tcW w:type="dxa" w:w="2551"/>
          </w:tcPr>
          <w:p>
            <w:pPr>
              <w:spacing w:after="0" w:line="240" w:lineRule="auto"/>
              <w:jc w:val="right"/>
            </w:pPr>
            <w:r/>
            <w:r>
              <w:rPr>
                <w:sz w:val="19"/>
              </w:rPr>
              <w:t>24.6%</w:t>
            </w:r>
          </w:p>
        </w:tc>
        <w:tc>
          <w:tcPr>
            <w:tcW w:type="dxa" w:w="2721"/>
          </w:tcPr>
          <w:p>
            <w:pPr>
              <w:spacing w:after="0" w:line="240" w:lineRule="auto"/>
              <w:jc w:val="right"/>
            </w:pPr>
            <w:r/>
            <w:r>
              <w:rPr>
                <w:sz w:val="19"/>
              </w:rPr>
              <w:t>1.55x</w:t>
            </w:r>
          </w:p>
        </w:tc>
      </w:tr>
      <w:tr>
        <w:trPr>
          <w:cantSplit/>
        </w:trPr>
        <w:tc>
          <w:tcPr>
            <w:tcW w:type="dxa" w:w="3969"/>
            <w:shd w:val="clear" w:color="auto" w:fill="F2F4F7"/>
          </w:tcPr>
          <w:p>
            <w:pPr>
              <w:spacing w:after="0" w:line="240" w:lineRule="auto"/>
            </w:pPr>
            <w:r/>
            <w:r>
              <w:rPr>
                <w:sz w:val="19"/>
              </w:rPr>
              <w:t>Discount to face 30%</w:t>
            </w:r>
          </w:p>
        </w:tc>
        <w:tc>
          <w:tcPr>
            <w:tcW w:type="dxa" w:w="2551"/>
            <w:shd w:val="clear" w:color="auto" w:fill="F2F4F7"/>
          </w:tcPr>
          <w:p>
            <w:pPr>
              <w:spacing w:after="0" w:line="240" w:lineRule="auto"/>
              <w:jc w:val="right"/>
            </w:pPr>
            <w:r/>
            <w:r>
              <w:rPr>
                <w:sz w:val="19"/>
              </w:rPr>
              <w:t>16.5%</w:t>
            </w:r>
          </w:p>
        </w:tc>
        <w:tc>
          <w:tcPr>
            <w:tcW w:type="dxa" w:w="2721"/>
            <w:shd w:val="clear" w:color="auto" w:fill="F2F4F7"/>
          </w:tcPr>
          <w:p>
            <w:pPr>
              <w:spacing w:after="0" w:line="240" w:lineRule="auto"/>
              <w:jc w:val="right"/>
            </w:pPr>
            <w:r/>
            <w:r>
              <w:rPr>
                <w:sz w:val="19"/>
              </w:rPr>
              <w:t>1.36x</w:t>
            </w:r>
          </w:p>
        </w:tc>
      </w:tr>
    </w:tbl>
    <w:p>
      <w:pPr>
        <w:spacing w:after="80"/>
      </w:pPr>
    </w:p>
    <w:p>
      <w:pPr>
        <w:pStyle w:val="Heading2"/>
      </w:pPr>
      <w:r>
        <w:t>16.2 Option B</w:t>
      </w:r>
    </w:p>
    <w:p>
      <w:r>
        <w:rPr>
          <w:b w:val="0"/>
          <w:i w:val="0"/>
        </w:rPr>
        <w:t>Cash is returned through the instalments in section 12.2. There is no market for the entitlement. Transfer of the entitlement to a third party requires Jalour's consent. Payback (cumulative cash returned equals the ticket) occurs in month 45; for Option A, payback in the base case is month 54.</w:t>
      </w:r>
    </w:p>
    <w:p>
      <w:pPr>
        <w:pStyle w:val="Heading1"/>
        <w:pageBreakBefore/>
      </w:pPr>
      <w:r>
        <w:t>17. Risk factors</w:t>
      </w:r>
    </w:p>
    <w:p>
      <w:pPr>
        <w:keepNext/>
      </w:pPr>
      <w:r>
        <w:rPr>
          <w:b w:val="0"/>
          <w:i w:val="0"/>
        </w:rPr>
        <w:t>The following is not exhaustive. Each risk is stated with the main mitigant.</w:t>
      </w:r>
    </w:p>
    <w:p>
      <w:pPr>
        <w:pStyle w:val="Heading3"/>
      </w:pPr>
      <w:r>
        <w:t>Market and price risk</w:t>
      </w:r>
    </w:p>
    <w:p>
      <w:r>
        <w:rPr>
          <w:b w:val="0"/>
          <w:i w:val="0"/>
        </w:rPr>
        <w:t>Unit prices may rise less than the plan, or fall. The plan needs list prices to rise by 33% (retail) and 48% (offices). Option A returns depend on resale value; with no appreciation they fall to 1.94x. Mitigant: downside case shown; Option B has no unit price exposure.</w:t>
      </w:r>
    </w:p>
    <w:p>
      <w:pPr>
        <w:pStyle w:val="Heading3"/>
      </w:pPr>
      <w:r>
        <w:t>Sales pace and absorption</w:t>
      </w:r>
    </w:p>
    <w:p>
      <w:r>
        <w:rPr>
          <w:b w:val="0"/>
          <w:i w:val="0"/>
        </w:rPr>
        <w:t>The pipeline of Cairo offices equals 82% of current stock by 2029 (Knight Frank). If sales are delayed 12 months the project NPV falls to EGP 49 million and the peak funding need rises to EGP 408 million. Mitigant: Jalour funding undertaking; phased sales.</w:t>
      </w:r>
    </w:p>
    <w:p>
      <w:pPr>
        <w:pStyle w:val="Heading3"/>
      </w:pPr>
      <w:r>
        <w:t>Inflation and cost risk</w:t>
      </w:r>
    </w:p>
    <w:p>
      <w:r>
        <w:rPr>
          <w:b w:val="0"/>
          <w:i w:val="0"/>
        </w:rPr>
        <w:t>Construction cost is flat in the model. A 10% overrun lowers NPV by EGP 53 million. Mitigant: 5% contingency; contractor pricing in the data room; fixed-price contracting to be sought.</w:t>
      </w:r>
    </w:p>
    <w:p>
      <w:pPr>
        <w:pStyle w:val="Heading3"/>
      </w:pPr>
      <w:r>
        <w:t>Currency risk</w:t>
      </w:r>
    </w:p>
    <w:p>
      <w:r>
        <w:rPr>
          <w:b w:val="0"/>
          <w:i w:val="0"/>
        </w:rPr>
        <w:t>Returns are in EGP. USD value falls if the pound weakens; foreign investors should assess FX and repatriation (section 18). The USD equivalents shown use EGP 48 per USD; the market rate in September 2026 was about EGP 50 to 51.</w:t>
      </w:r>
    </w:p>
    <w:p>
      <w:pPr>
        <w:pStyle w:val="Heading3"/>
      </w:pPr>
      <w:r>
        <w:t>Delivery and construction risk</w:t>
      </w:r>
    </w:p>
    <w:p>
      <w:r>
        <w:rPr>
          <w:b w:val="0"/>
          <w:i w:val="0"/>
        </w:rPr>
        <w:t>The development must be built in 36 months from month 13. Delay delays resale of units and the collection of delivery payments. Mitigant: independent engineer (optional); reporting; Jalour funding undertaking.</w:t>
      </w:r>
    </w:p>
    <w:p>
      <w:pPr>
        <w:pStyle w:val="Heading3"/>
      </w:pPr>
      <w:r>
        <w:t>Delivery-payment timing</w:t>
      </w:r>
    </w:p>
    <w:p>
      <w:r>
        <w:rPr>
          <w:b w:val="0"/>
          <w:i w:val="0"/>
        </w:rPr>
        <w:t>The plan collects delivery payments ahead of handover under the sale contracts. If buyers do not pay until handover, the peak funding need is EGP 269 million. Mitigant: contractual milestone; Jalour funding.</w:t>
      </w:r>
    </w:p>
    <w:p>
      <w:pPr>
        <w:pStyle w:val="Heading3"/>
      </w:pPr>
      <w:r>
        <w:t>Landlord risk</w:t>
      </w:r>
    </w:p>
    <w:p>
      <w:r>
        <w:rPr>
          <w:b w:val="0"/>
          <w:i w:val="0"/>
        </w:rPr>
        <w:t>The landlord's guarantee is payable regardless of sales and its consent is required for allocations and encumbrances. A dispute could delay or prevent the allocation. Mitigant: consent as a condition precedent; guarantee schedule funded in the plan.</w:t>
      </w:r>
    </w:p>
    <w:p>
      <w:pPr>
        <w:pStyle w:val="Heading3"/>
      </w:pPr>
      <w:r>
        <w:t>Legal and regulatory risk</w:t>
      </w:r>
    </w:p>
    <w:p>
      <w:r>
        <w:rPr>
          <w:b w:val="0"/>
          <w:i w:val="0"/>
        </w:rPr>
        <w:t>Rules on off-plan sales (Jalour's position is that the state-land rules in Decree 2184 of 2022 do not apply to these plots), on assignment of contracts, on private placements and on foreign ownership may affect structure, timing or cost. Mitigant: counsel review before signing.</w:t>
      </w:r>
    </w:p>
    <w:p>
      <w:pPr>
        <w:pStyle w:val="Heading3"/>
      </w:pPr>
      <w:r>
        <w:t>Counterparty and credit risk (Option B)</w:t>
      </w:r>
    </w:p>
    <w:p>
      <w:r>
        <w:rPr>
          <w:b w:val="0"/>
          <w:i w:val="0"/>
        </w:rPr>
        <w:t>Instalments are an obligation of the project company without a parent guarantee. In the downside case pooled cash is negative and payment depends on Jalour's support. Mitigant: payment priority covenant; earmarked units; funding undertaking; optional promissory notes.</w:t>
      </w:r>
    </w:p>
    <w:p>
      <w:pPr>
        <w:pStyle w:val="Heading3"/>
      </w:pPr>
      <w:r>
        <w:t>Concentration</w:t>
      </w:r>
    </w:p>
    <w:p>
      <w:r>
        <w:rPr>
          <w:b w:val="0"/>
          <w:i w:val="0"/>
        </w:rPr>
        <w:t>The investment is exposed to a single project, in a single city, in two property types. There is no cross-collateral or cross-default with other projects.</w:t>
      </w:r>
    </w:p>
    <w:p>
      <w:pPr>
        <w:pStyle w:val="Heading3"/>
      </w:pPr>
      <w:r>
        <w:t>Model and information risk</w:t>
      </w:r>
    </w:p>
    <w:p>
      <w:r>
        <w:rPr>
          <w:b w:val="0"/>
          <w:i w:val="0"/>
        </w:rPr>
        <w:t>Figures derive from a Jalour model that has known simplifications: the admin sales area exceeds office built-up area, prices are stepped by assumption, costs are not inflated and pre-construction costs are not separately modelled. Mitigant: reconciliation and data room evidence.</w:t>
      </w:r>
    </w:p>
    <w:p>
      <w:pPr>
        <w:pStyle w:val="Heading3"/>
      </w:pPr>
      <w:r>
        <w:t>Liquidity risk</w:t>
      </w:r>
    </w:p>
    <w:p>
      <w:r>
        <w:rPr>
          <w:b w:val="0"/>
          <w:i w:val="0"/>
        </w:rPr>
        <w:t>There is no market for the Option B entitlement and Option A units cannot be sold in practice before handover without a discount.</w:t>
      </w:r>
    </w:p>
    <w:p>
      <w:pPr>
        <w:pStyle w:val="Heading1"/>
      </w:pPr>
      <w:r>
        <w:t>18. Tax and legal considerations</w:t>
      </w:r>
    </w:p>
    <w:p>
      <w:pPr>
        <w:keepNext/>
      </w:pPr>
      <w:r>
        <w:rPr>
          <w:b w:val="0"/>
          <w:i w:val="0"/>
        </w:rPr>
        <w:t>The following are issues for counsel and tax advisers. Jalour gives no legal or tax conclusion.</w:t>
      </w:r>
    </w:p>
    <w:p>
      <w:pPr>
        <w:pStyle w:val="ListBullet"/>
        <w:spacing w:after="60"/>
      </w:pPr>
      <w:r>
        <w:rPr>
          <w:b w:val="0"/>
          <w:i w:val="0"/>
        </w:rPr>
        <w:t>Nature of the instrument (equity, loan or contractual entitlement) and its tax, regulatory and enforceability consequences in Egypt.</w:t>
      </w:r>
    </w:p>
    <w:p>
      <w:pPr>
        <w:pStyle w:val="ListBullet"/>
        <w:spacing w:after="60"/>
      </w:pPr>
      <w:r>
        <w:rPr>
          <w:b w:val="0"/>
          <w:i w:val="0"/>
        </w:rPr>
        <w:t>Regulatory position of a private placement of this kind (Financial Regulatory Authority and any other body), including investor eligibility.</w:t>
      </w:r>
    </w:p>
    <w:p>
      <w:pPr>
        <w:pStyle w:val="ListBullet"/>
        <w:spacing w:after="60"/>
      </w:pPr>
      <w:r>
        <w:rPr>
          <w:b w:val="0"/>
          <w:i w:val="0"/>
        </w:rPr>
        <w:t>Tax on the investor's return under each option: withholding tax, corporate or personal income tax, and VAT on supplies.</w:t>
      </w:r>
    </w:p>
    <w:p>
      <w:pPr>
        <w:pStyle w:val="ListBullet"/>
        <w:spacing w:after="60"/>
      </w:pPr>
      <w:r>
        <w:rPr>
          <w:b w:val="0"/>
          <w:i w:val="0"/>
        </w:rPr>
        <w:t>Taxes and registration fees on the transfer of units (including real estate disposal tax and stamp duty) and who bears them on resale.</w:t>
      </w:r>
    </w:p>
    <w:p>
      <w:pPr>
        <w:pStyle w:val="ListBullet"/>
        <w:spacing w:after="60"/>
      </w:pPr>
      <w:r>
        <w:rPr>
          <w:b w:val="0"/>
          <w:i w:val="0"/>
        </w:rPr>
        <w:t>The basis on which the separate project-account rule for developers on state-allocated land does not apply to these plots (Jalour's position).</w:t>
      </w:r>
    </w:p>
    <w:p>
      <w:pPr>
        <w:pStyle w:val="ListBullet"/>
        <w:spacing w:after="60"/>
      </w:pPr>
      <w:r>
        <w:rPr>
          <w:b w:val="0"/>
          <w:i w:val="0"/>
        </w:rPr>
        <w:t>Foreign investor treatment: ownership of units, repatriation of proceeds, foreign-exchange availability and any central bank requirements.</w:t>
      </w:r>
    </w:p>
    <w:p>
      <w:pPr>
        <w:pStyle w:val="ListBullet"/>
        <w:spacing w:after="60"/>
      </w:pPr>
      <w:r>
        <w:rPr>
          <w:b w:val="0"/>
          <w:i w:val="0"/>
        </w:rPr>
        <w:t>Enforceability of security over unsold units, the earmark, negative pledge and any promissory notes; stamp duty on security documents.</w:t>
      </w:r>
    </w:p>
    <w:p>
      <w:pPr>
        <w:pStyle w:val="ListBullet"/>
        <w:spacing w:after="60"/>
      </w:pPr>
      <w:r>
        <w:rPr>
          <w:b w:val="0"/>
          <w:i w:val="0"/>
        </w:rPr>
        <w:t>Anti-money-laundering and know-your-customer requirements for the investor and for unit buyers.</w:t>
      </w:r>
    </w:p>
    <w:p>
      <w:pPr>
        <w:pStyle w:val="ListBullet"/>
        <w:spacing w:after="60"/>
      </w:pPr>
      <w:r>
        <w:rPr>
          <w:b w:val="0"/>
          <w:i w:val="0"/>
        </w:rPr>
        <w:t>Corporate approvals, project company formation and the effect of Jalour or Al Jalal Holding insolvency on the project company.</w:t>
      </w:r>
    </w:p>
    <w:p>
      <w:pPr>
        <w:pStyle w:val="Heading1"/>
        <w:pageBreakBefore/>
      </w:pPr>
      <w:r>
        <w:t>Appendices</w:t>
      </w:r>
    </w:p>
    <w:p>
      <w:pPr>
        <w:pStyle w:val="Heading2"/>
      </w:pPr>
      <w:r>
        <w:t>Appendix A: Definitions</w:t>
      </w:r>
    </w:p>
    <w:p>
      <w:pPr>
        <w:keepNext/>
        <w:spacing w:after="60"/>
      </w:pPr>
      <w:r>
        <w:rPr>
          <w:b/>
          <w:color w:val="17324D"/>
          <w:sz w:val="19"/>
        </w:rPr>
        <w:t>Table 30: Definitions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551"/>
            <w:shd w:val="clear" w:color="auto" w:fill="17324D"/>
          </w:tcPr>
          <w:p>
            <w:pPr>
              <w:spacing w:after="0" w:line="240" w:lineRule="auto"/>
            </w:pPr>
            <w:r/>
            <w:r>
              <w:rPr>
                <w:b/>
                <w:color w:val="FFFFFF"/>
                <w:sz w:val="19"/>
              </w:rPr>
              <w:t>Term</w:t>
            </w:r>
          </w:p>
        </w:tc>
        <w:tc>
          <w:tcPr>
            <w:tcW w:type="dxa" w:w="6690"/>
            <w:shd w:val="clear" w:color="auto" w:fill="17324D"/>
          </w:tcPr>
          <w:p>
            <w:pPr>
              <w:spacing w:after="0" w:line="240" w:lineRule="auto"/>
            </w:pPr>
            <w:r/>
            <w:r>
              <w:rPr>
                <w:b/>
                <w:color w:val="FFFFFF"/>
                <w:sz w:val="19"/>
              </w:rPr>
              <w:t>Meaning</w:t>
            </w:r>
          </w:p>
        </w:tc>
      </w:tr>
      <w:tr>
        <w:trPr>
          <w:cantSplit/>
        </w:trPr>
        <w:tc>
          <w:tcPr>
            <w:tcW w:type="dxa" w:w="2551"/>
          </w:tcPr>
          <w:p>
            <w:pPr>
              <w:spacing w:after="0" w:line="240" w:lineRule="auto"/>
            </w:pPr>
            <w:r/>
            <w:r>
              <w:rPr>
                <w:b/>
                <w:sz w:val="19"/>
              </w:rPr>
              <w:t>Launch list</w:t>
            </w:r>
          </w:p>
        </w:tc>
        <w:tc>
          <w:tcPr>
            <w:tcW w:type="dxa" w:w="6690"/>
          </w:tcPr>
          <w:p>
            <w:pPr>
              <w:spacing w:after="0" w:line="240" w:lineRule="auto"/>
            </w:pPr>
            <w:r/>
            <w:r>
              <w:rPr>
                <w:sz w:val="19"/>
              </w:rPr>
              <w:t>Price list in force at the first sales tranche: retail EGP 225,000, offices EGP 135,000 per m2</w:t>
            </w:r>
          </w:p>
        </w:tc>
      </w:tr>
      <w:tr>
        <w:trPr>
          <w:cantSplit/>
        </w:trPr>
        <w:tc>
          <w:tcPr>
            <w:tcW w:type="dxa" w:w="2551"/>
            <w:shd w:val="clear" w:color="auto" w:fill="F2F4F7"/>
          </w:tcPr>
          <w:p>
            <w:pPr>
              <w:spacing w:after="0" w:line="240" w:lineRule="auto"/>
            </w:pPr>
            <w:r/>
            <w:r>
              <w:rPr>
                <w:b/>
                <w:sz w:val="19"/>
              </w:rPr>
              <w:t>Face value</w:t>
            </w:r>
          </w:p>
        </w:tc>
        <w:tc>
          <w:tcPr>
            <w:tcW w:type="dxa" w:w="6690"/>
            <w:shd w:val="clear" w:color="auto" w:fill="F2F4F7"/>
          </w:tcPr>
          <w:p>
            <w:pPr>
              <w:spacing w:after="0" w:line="240" w:lineRule="auto"/>
            </w:pPr>
            <w:r/>
            <w:r>
              <w:rPr>
                <w:sz w:val="19"/>
              </w:rPr>
              <w:t>Units valued at the launch list</w:t>
            </w:r>
          </w:p>
        </w:tc>
      </w:tr>
      <w:tr>
        <w:trPr>
          <w:cantSplit/>
        </w:trPr>
        <w:tc>
          <w:tcPr>
            <w:tcW w:type="dxa" w:w="2551"/>
          </w:tcPr>
          <w:p>
            <w:pPr>
              <w:spacing w:after="0" w:line="240" w:lineRule="auto"/>
            </w:pPr>
            <w:r/>
            <w:r>
              <w:rPr>
                <w:b/>
                <w:sz w:val="19"/>
              </w:rPr>
              <w:t>Pooled cash</w:t>
            </w:r>
          </w:p>
        </w:tc>
        <w:tc>
          <w:tcPr>
            <w:tcW w:type="dxa" w:w="6690"/>
          </w:tcPr>
          <w:p>
            <w:pPr>
              <w:spacing w:after="0" w:line="240" w:lineRule="auto"/>
            </w:pPr>
            <w:r/>
            <w:r>
              <w:rPr>
                <w:sz w:val="19"/>
              </w:rPr>
              <w:t>Cumulative project net cash flow plus the ticket less payouts; not a restricted account</w:t>
            </w:r>
          </w:p>
        </w:tc>
      </w:tr>
      <w:tr>
        <w:trPr>
          <w:cantSplit/>
        </w:trPr>
        <w:tc>
          <w:tcPr>
            <w:tcW w:type="dxa" w:w="2551"/>
            <w:shd w:val="clear" w:color="auto" w:fill="F2F4F7"/>
          </w:tcPr>
          <w:p>
            <w:pPr>
              <w:spacing w:after="0" w:line="240" w:lineRule="auto"/>
            </w:pPr>
            <w:r/>
            <w:r>
              <w:rPr>
                <w:b/>
                <w:sz w:val="19"/>
              </w:rPr>
              <w:t>Coverage (net cash flow)</w:t>
            </w:r>
          </w:p>
        </w:tc>
        <w:tc>
          <w:tcPr>
            <w:tcW w:type="dxa" w:w="6690"/>
            <w:shd w:val="clear" w:color="auto" w:fill="F2F4F7"/>
          </w:tcPr>
          <w:p>
            <w:pPr>
              <w:spacing w:after="0" w:line="240" w:lineRule="auto"/>
            </w:pPr>
            <w:r/>
            <w:r>
              <w:rPr>
                <w:sz w:val="19"/>
              </w:rPr>
              <w:t>Quarterly project net cash flow before payouts divided by the instalment</w:t>
            </w:r>
          </w:p>
        </w:tc>
      </w:tr>
      <w:tr>
        <w:trPr>
          <w:cantSplit/>
        </w:trPr>
        <w:tc>
          <w:tcPr>
            <w:tcW w:type="dxa" w:w="2551"/>
          </w:tcPr>
          <w:p>
            <w:pPr>
              <w:spacing w:after="0" w:line="240" w:lineRule="auto"/>
            </w:pPr>
            <w:r/>
            <w:r>
              <w:rPr>
                <w:b/>
                <w:sz w:val="19"/>
              </w:rPr>
              <w:t>Coverage (cash available)</w:t>
            </w:r>
          </w:p>
        </w:tc>
        <w:tc>
          <w:tcPr>
            <w:tcW w:type="dxa" w:w="6690"/>
          </w:tcPr>
          <w:p>
            <w:pPr>
              <w:spacing w:after="0" w:line="240" w:lineRule="auto"/>
            </w:pPr>
            <w:r/>
            <w:r>
              <w:rPr>
                <w:sz w:val="19"/>
              </w:rPr>
              <w:t>Pooled cash at the start of the quarter plus the quarter's net cash flow, divided by the instalment</w:t>
            </w:r>
          </w:p>
        </w:tc>
      </w:tr>
      <w:tr>
        <w:trPr>
          <w:cantSplit/>
        </w:trPr>
        <w:tc>
          <w:tcPr>
            <w:tcW w:type="dxa" w:w="2551"/>
            <w:shd w:val="clear" w:color="auto" w:fill="F2F4F7"/>
          </w:tcPr>
          <w:p>
            <w:pPr>
              <w:spacing w:after="0" w:line="240" w:lineRule="auto"/>
            </w:pPr>
            <w:r/>
            <w:r>
              <w:rPr>
                <w:b/>
                <w:sz w:val="19"/>
              </w:rPr>
              <w:t>Peak shortage</w:t>
            </w:r>
          </w:p>
        </w:tc>
        <w:tc>
          <w:tcPr>
            <w:tcW w:type="dxa" w:w="6690"/>
            <w:shd w:val="clear" w:color="auto" w:fill="F2F4F7"/>
          </w:tcPr>
          <w:p>
            <w:pPr>
              <w:spacing w:after="0" w:line="240" w:lineRule="auto"/>
            </w:pPr>
            <w:r/>
            <w:r>
              <w:rPr>
                <w:sz w:val="19"/>
              </w:rPr>
              <w:t>Lowest cumulative net cash flow in the model, before the ticket</w:t>
            </w:r>
          </w:p>
        </w:tc>
      </w:tr>
      <w:tr>
        <w:trPr>
          <w:cantSplit/>
        </w:trPr>
        <w:tc>
          <w:tcPr>
            <w:tcW w:type="dxa" w:w="2551"/>
          </w:tcPr>
          <w:p>
            <w:pPr>
              <w:spacing w:after="0" w:line="240" w:lineRule="auto"/>
            </w:pPr>
            <w:r/>
            <w:r>
              <w:rPr>
                <w:b/>
                <w:sz w:val="19"/>
              </w:rPr>
              <w:t>MOIC</w:t>
            </w:r>
          </w:p>
        </w:tc>
        <w:tc>
          <w:tcPr>
            <w:tcW w:type="dxa" w:w="6690"/>
          </w:tcPr>
          <w:p>
            <w:pPr>
              <w:spacing w:after="0" w:line="240" w:lineRule="auto"/>
            </w:pPr>
            <w:r/>
            <w:r>
              <w:rPr>
                <w:sz w:val="19"/>
              </w:rPr>
              <w:t>Multiple of invested capital: cash received divided by cash invested</w:t>
            </w:r>
          </w:p>
        </w:tc>
      </w:tr>
    </w:tbl>
    <w:p>
      <w:pPr>
        <w:spacing w:after="80"/>
      </w:pPr>
    </w:p>
    <w:p>
      <w:pPr>
        <w:pStyle w:val="Heading2"/>
      </w:pPr>
      <w:r>
        <w:t>Appendix B: Reconciliation to the Financial Annex</w:t>
      </w:r>
    </w:p>
    <w:p>
      <w:r>
        <w:rPr>
          <w:b w:val="0"/>
          <w:i w:val="0"/>
        </w:rPr>
        <w:t>Each headline figure in this memorandum is computed in the Financial Annex (Summary sheet). The Reconciliation sheet of the annex ties the project cash flow to the Jalour model (net cash flow, NPV, peak shortage, collections, landlord payments and costs) and to an independent recomputation; all differences are zero.</w:t>
      </w:r>
    </w:p>
    <w:p>
      <w:pPr>
        <w:keepNext/>
        <w:spacing w:after="60"/>
      </w:pPr>
      <w:r>
        <w:rPr>
          <w:b/>
          <w:color w:val="17324D"/>
          <w:sz w:val="19"/>
        </w:rPr>
        <w:t>Table 31: Key figures and annex locations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252"/>
            <w:shd w:val="clear" w:color="auto" w:fill="17324D"/>
          </w:tcPr>
          <w:p>
            <w:pPr>
              <w:spacing w:after="0" w:line="240" w:lineRule="auto"/>
            </w:pPr>
            <w:r/>
            <w:r>
              <w:rPr>
                <w:b/>
                <w:color w:val="FFFFFF"/>
                <w:sz w:val="19"/>
              </w:rPr>
              <w:t>Figure</w:t>
            </w:r>
          </w:p>
        </w:tc>
        <w:tc>
          <w:tcPr>
            <w:tcW w:type="dxa" w:w="2268"/>
            <w:shd w:val="clear" w:color="auto" w:fill="17324D"/>
          </w:tcPr>
          <w:p>
            <w:pPr>
              <w:spacing w:after="0" w:line="240" w:lineRule="auto"/>
              <w:jc w:val="right"/>
            </w:pPr>
            <w:r/>
            <w:r>
              <w:rPr>
                <w:b/>
                <w:color w:val="FFFFFF"/>
                <w:sz w:val="19"/>
              </w:rPr>
              <w:t>Value</w:t>
            </w:r>
          </w:p>
        </w:tc>
        <w:tc>
          <w:tcPr>
            <w:tcW w:type="dxa" w:w="2721"/>
            <w:shd w:val="clear" w:color="auto" w:fill="17324D"/>
          </w:tcPr>
          <w:p>
            <w:pPr>
              <w:spacing w:after="0" w:line="240" w:lineRule="auto"/>
              <w:jc w:val="right"/>
            </w:pPr>
            <w:r/>
            <w:r>
              <w:rPr>
                <w:b/>
                <w:color w:val="FFFFFF"/>
                <w:sz w:val="19"/>
              </w:rPr>
              <w:t>Annex location</w:t>
            </w:r>
          </w:p>
        </w:tc>
      </w:tr>
      <w:tr>
        <w:trPr>
          <w:cantSplit/>
        </w:trPr>
        <w:tc>
          <w:tcPr>
            <w:tcW w:type="dxa" w:w="4252"/>
          </w:tcPr>
          <w:p>
            <w:pPr>
              <w:spacing w:after="0" w:line="240" w:lineRule="auto"/>
            </w:pPr>
            <w:r/>
            <w:r>
              <w:rPr>
                <w:sz w:val="19"/>
              </w:rPr>
              <w:t>Net cash flow, nominal (EGP m)</w:t>
            </w:r>
          </w:p>
        </w:tc>
        <w:tc>
          <w:tcPr>
            <w:tcW w:type="dxa" w:w="2268"/>
          </w:tcPr>
          <w:p>
            <w:pPr>
              <w:spacing w:after="0" w:line="240" w:lineRule="auto"/>
              <w:jc w:val="right"/>
            </w:pPr>
            <w:r/>
            <w:r>
              <w:rPr>
                <w:sz w:val="19"/>
              </w:rPr>
              <w:t>375.4</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NPV at 14% (EGP m)</w:t>
            </w:r>
          </w:p>
        </w:tc>
        <w:tc>
          <w:tcPr>
            <w:tcW w:type="dxa" w:w="2268"/>
            <w:shd w:val="clear" w:color="auto" w:fill="F2F4F7"/>
          </w:tcPr>
          <w:p>
            <w:pPr>
              <w:spacing w:after="0" w:line="240" w:lineRule="auto"/>
              <w:jc w:val="right"/>
            </w:pPr>
            <w:r/>
            <w:r>
              <w:rPr>
                <w:sz w:val="19"/>
              </w:rPr>
              <w:t>215.3</w:t>
            </w:r>
          </w:p>
        </w:tc>
        <w:tc>
          <w:tcPr>
            <w:tcW w:type="dxa" w:w="2721"/>
            <w:shd w:val="clear" w:color="auto" w:fill="F2F4F7"/>
          </w:tcPr>
          <w:p>
            <w:pPr>
              <w:spacing w:after="0" w:line="240" w:lineRule="auto"/>
              <w:jc w:val="right"/>
            </w:pPr>
            <w:r/>
            <w:r>
              <w:rPr>
                <w:sz w:val="19"/>
              </w:rPr>
              <w:t>Summary; Project_CF</w:t>
            </w:r>
          </w:p>
        </w:tc>
      </w:tr>
      <w:tr>
        <w:trPr>
          <w:cantSplit/>
        </w:trPr>
        <w:tc>
          <w:tcPr>
            <w:tcW w:type="dxa" w:w="4252"/>
          </w:tcPr>
          <w:p>
            <w:pPr>
              <w:spacing w:after="0" w:line="240" w:lineRule="auto"/>
            </w:pPr>
            <w:r/>
            <w:r>
              <w:rPr>
                <w:sz w:val="19"/>
              </w:rPr>
              <w:t>Peak shortage (EGP m)</w:t>
            </w:r>
          </w:p>
        </w:tc>
        <w:tc>
          <w:tcPr>
            <w:tcW w:type="dxa" w:w="2268"/>
          </w:tcPr>
          <w:p>
            <w:pPr>
              <w:spacing w:after="0" w:line="240" w:lineRule="auto"/>
              <w:jc w:val="right"/>
            </w:pPr>
            <w:r/>
            <w:r>
              <w:rPr>
                <w:sz w:val="19"/>
              </w:rPr>
              <w:t>102.5</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Total uses (EGP m)</w:t>
            </w:r>
          </w:p>
        </w:tc>
        <w:tc>
          <w:tcPr>
            <w:tcW w:type="dxa" w:w="2268"/>
            <w:shd w:val="clear" w:color="auto" w:fill="F2F4F7"/>
          </w:tcPr>
          <w:p>
            <w:pPr>
              <w:spacing w:after="0" w:line="240" w:lineRule="auto"/>
              <w:jc w:val="right"/>
            </w:pPr>
            <w:r/>
            <w:r>
              <w:rPr>
                <w:sz w:val="19"/>
              </w:rPr>
              <w:t>113.0</w:t>
            </w:r>
          </w:p>
        </w:tc>
        <w:tc>
          <w:tcPr>
            <w:tcW w:type="dxa" w:w="2721"/>
            <w:shd w:val="clear" w:color="auto" w:fill="F2F4F7"/>
          </w:tcPr>
          <w:p>
            <w:pPr>
              <w:spacing w:after="0" w:line="240" w:lineRule="auto"/>
              <w:jc w:val="right"/>
            </w:pPr>
            <w:r/>
            <w:r>
              <w:rPr>
                <w:sz w:val="19"/>
              </w:rPr>
              <w:t>Sources_Uses</w:t>
            </w:r>
          </w:p>
        </w:tc>
      </w:tr>
      <w:tr>
        <w:trPr>
          <w:cantSplit/>
        </w:trPr>
        <w:tc>
          <w:tcPr>
            <w:tcW w:type="dxa" w:w="4252"/>
          </w:tcPr>
          <w:p>
            <w:pPr>
              <w:spacing w:after="0" w:line="240" w:lineRule="auto"/>
            </w:pPr>
            <w:r/>
            <w:r>
              <w:rPr>
                <w:sz w:val="19"/>
              </w:rPr>
              <w:t>Option A investor IRR / MOIC</w:t>
            </w:r>
          </w:p>
        </w:tc>
        <w:tc>
          <w:tcPr>
            <w:tcW w:type="dxa" w:w="2268"/>
          </w:tcPr>
          <w:p>
            <w:pPr>
              <w:spacing w:after="0" w:line="240" w:lineRule="auto"/>
              <w:jc w:val="right"/>
            </w:pPr>
            <w:r/>
            <w:r>
              <w:rPr>
                <w:sz w:val="19"/>
              </w:rPr>
              <w:t>26.4% / 2.78x</w:t>
            </w:r>
          </w:p>
        </w:tc>
        <w:tc>
          <w:tcPr>
            <w:tcW w:type="dxa" w:w="2721"/>
          </w:tcPr>
          <w:p>
            <w:pPr>
              <w:spacing w:after="0" w:line="240" w:lineRule="auto"/>
              <w:jc w:val="right"/>
            </w:pPr>
            <w:r/>
            <w:r>
              <w:rPr>
                <w:sz w:val="19"/>
              </w:rPr>
              <w:t>Option_A</w:t>
            </w:r>
          </w:p>
        </w:tc>
      </w:tr>
      <w:tr>
        <w:trPr>
          <w:cantSplit/>
        </w:trPr>
        <w:tc>
          <w:tcPr>
            <w:tcW w:type="dxa" w:w="4252"/>
            <w:shd w:val="clear" w:color="auto" w:fill="F2F4F7"/>
          </w:tcPr>
          <w:p>
            <w:pPr>
              <w:spacing w:after="0" w:line="240" w:lineRule="auto"/>
            </w:pPr>
            <w:r/>
            <w:r>
              <w:rPr>
                <w:sz w:val="19"/>
              </w:rPr>
              <w:t>Option A Jalour cost of capital</w:t>
            </w:r>
          </w:p>
        </w:tc>
        <w:tc>
          <w:tcPr>
            <w:tcW w:type="dxa" w:w="2268"/>
            <w:shd w:val="clear" w:color="auto" w:fill="F2F4F7"/>
          </w:tcPr>
          <w:p>
            <w:pPr>
              <w:spacing w:after="0" w:line="240" w:lineRule="auto"/>
              <w:jc w:val="right"/>
            </w:pPr>
            <w:r/>
            <w:r>
              <w:rPr>
                <w:sz w:val="19"/>
              </w:rPr>
              <w:t>20.7%</w:t>
            </w:r>
          </w:p>
        </w:tc>
        <w:tc>
          <w:tcPr>
            <w:tcW w:type="dxa" w:w="2721"/>
            <w:shd w:val="clear" w:color="auto" w:fill="F2F4F7"/>
          </w:tcPr>
          <w:p>
            <w:pPr>
              <w:spacing w:after="0" w:line="240" w:lineRule="auto"/>
              <w:jc w:val="right"/>
            </w:pPr>
            <w:r/>
            <w:r>
              <w:rPr>
                <w:sz w:val="19"/>
              </w:rPr>
              <w:t>Option_A</w:t>
            </w:r>
          </w:p>
        </w:tc>
      </w:tr>
      <w:tr>
        <w:trPr>
          <w:cantSplit/>
        </w:trPr>
        <w:tc>
          <w:tcPr>
            <w:tcW w:type="dxa" w:w="4252"/>
          </w:tcPr>
          <w:p>
            <w:pPr>
              <w:spacing w:after="0" w:line="240" w:lineRule="auto"/>
            </w:pPr>
            <w:r/>
            <w:r>
              <w:rPr>
                <w:sz w:val="19"/>
              </w:rPr>
              <w:t>Option B investor IRR / MOIC</w:t>
            </w:r>
          </w:p>
        </w:tc>
        <w:tc>
          <w:tcPr>
            <w:tcW w:type="dxa" w:w="2268"/>
          </w:tcPr>
          <w:p>
            <w:pPr>
              <w:spacing w:after="0" w:line="240" w:lineRule="auto"/>
              <w:jc w:val="right"/>
            </w:pPr>
            <w:r/>
            <w:r>
              <w:rPr>
                <w:sz w:val="19"/>
              </w:rPr>
              <w:t>26.5% / 2.30x</w:t>
            </w:r>
          </w:p>
        </w:tc>
        <w:tc>
          <w:tcPr>
            <w:tcW w:type="dxa" w:w="2721"/>
          </w:tcPr>
          <w:p>
            <w:pPr>
              <w:spacing w:after="0" w:line="240" w:lineRule="auto"/>
              <w:jc w:val="right"/>
            </w:pPr>
            <w:r/>
            <w:r>
              <w:rPr>
                <w:sz w:val="19"/>
              </w:rPr>
              <w:t>Option_B</w:t>
            </w:r>
          </w:p>
        </w:tc>
      </w:tr>
      <w:tr>
        <w:trPr>
          <w:cantSplit/>
        </w:trPr>
        <w:tc>
          <w:tcPr>
            <w:tcW w:type="dxa" w:w="4252"/>
            <w:shd w:val="clear" w:color="auto" w:fill="F2F4F7"/>
          </w:tcPr>
          <w:p>
            <w:pPr>
              <w:spacing w:after="0" w:line="240" w:lineRule="auto"/>
            </w:pPr>
            <w:r/>
            <w:r>
              <w:rPr>
                <w:sz w:val="19"/>
              </w:rPr>
              <w:t>Option B lowest pooled cash, base (EGP m)</w:t>
            </w:r>
          </w:p>
        </w:tc>
        <w:tc>
          <w:tcPr>
            <w:tcW w:type="dxa" w:w="2268"/>
            <w:shd w:val="clear" w:color="auto" w:fill="F2F4F7"/>
          </w:tcPr>
          <w:p>
            <w:pPr>
              <w:spacing w:after="0" w:line="240" w:lineRule="auto"/>
              <w:jc w:val="right"/>
            </w:pPr>
            <w:r/>
            <w:r>
              <w:rPr>
                <w:sz w:val="19"/>
              </w:rPr>
              <w:t>9.8</w:t>
            </w:r>
          </w:p>
        </w:tc>
        <w:tc>
          <w:tcPr>
            <w:tcW w:type="dxa" w:w="2721"/>
            <w:shd w:val="clear" w:color="auto" w:fill="F2F4F7"/>
          </w:tcPr>
          <w:p>
            <w:pPr>
              <w:spacing w:after="0" w:line="240" w:lineRule="auto"/>
              <w:jc w:val="right"/>
            </w:pPr>
            <w:r/>
            <w:r>
              <w:rPr>
                <w:sz w:val="19"/>
              </w:rPr>
              <w:t>Option_B</w:t>
            </w:r>
          </w:p>
        </w:tc>
      </w:tr>
      <w:tr>
        <w:trPr>
          <w:cantSplit/>
        </w:trPr>
        <w:tc>
          <w:tcPr>
            <w:tcW w:type="dxa" w:w="4252"/>
          </w:tcPr>
          <w:p>
            <w:pPr>
              <w:spacing w:after="0" w:line="240" w:lineRule="auto"/>
            </w:pPr>
            <w:r/>
            <w:r>
              <w:rPr>
                <w:sz w:val="19"/>
              </w:rPr>
              <w:t>Downside peak shortage (EGP m)</w:t>
            </w:r>
          </w:p>
        </w:tc>
        <w:tc>
          <w:tcPr>
            <w:tcW w:type="dxa" w:w="2268"/>
          </w:tcPr>
          <w:p>
            <w:pPr>
              <w:spacing w:after="0" w:line="240" w:lineRule="auto"/>
              <w:jc w:val="right"/>
            </w:pPr>
            <w:r/>
            <w:r>
              <w:rPr>
                <w:sz w:val="19"/>
              </w:rPr>
              <w:t>441</w:t>
            </w:r>
          </w:p>
        </w:tc>
        <w:tc>
          <w:tcPr>
            <w:tcW w:type="dxa" w:w="2721"/>
          </w:tcPr>
          <w:p>
            <w:pPr>
              <w:spacing w:after="0" w:line="240" w:lineRule="auto"/>
              <w:jc w:val="right"/>
            </w:pPr>
            <w:r/>
            <w:r>
              <w:rPr>
                <w:sz w:val="19"/>
              </w:rPr>
              <w:t>Scenarios</w:t>
            </w:r>
          </w:p>
        </w:tc>
      </w:tr>
    </w:tbl>
    <w:p>
      <w:pPr>
        <w:spacing w:after="80"/>
      </w:pPr>
    </w:p>
    <w:p>
      <w:pPr>
        <w:pStyle w:val="Heading2"/>
      </w:pPr>
      <w:r>
        <w:t>Appendix C: Financial Annex contents</w:t>
      </w:r>
    </w:p>
    <w:p>
      <w:r>
        <w:rPr>
          <w:b w:val="0"/>
          <w:i w:val="0"/>
        </w:rPr>
        <w:t>Cover, Summary, Inputs, Source_Data, Project_CF, Sources_Uses, Option_A, Option_B, Scenarios, Sensitivity, Reconciliation. Inputs are in blue; every calculation is a formula.</w:t>
      </w:r>
    </w:p>
    <w:p>
      <w:pPr>
        <w:pStyle w:val="Heading2"/>
      </w:pPr>
      <w:r>
        <w:t>Appendix D: Market sources</w:t>
      </w:r>
    </w:p>
    <w:p>
      <w:pPr>
        <w:keepNext/>
        <w:spacing w:after="60"/>
      </w:pPr>
      <w:r>
        <w:rPr>
          <w:b/>
          <w:color w:val="17324D"/>
          <w:sz w:val="19"/>
        </w:rPr>
        <w:t>Table 32: Market sources (reported; not independently verified)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7"/>
              </w:rPr>
              <w:t>Source</w:t>
            </w:r>
          </w:p>
        </w:tc>
        <w:tc>
          <w:tcPr>
            <w:tcW w:type="dxa" w:w="5839"/>
            <w:shd w:val="clear" w:color="auto" w:fill="17324D"/>
          </w:tcPr>
          <w:p>
            <w:pPr>
              <w:spacing w:after="0" w:line="240" w:lineRule="auto"/>
            </w:pPr>
            <w:r/>
            <w:r>
              <w:rPr>
                <w:b/>
                <w:color w:val="FFFFFF"/>
                <w:sz w:val="17"/>
              </w:rPr>
              <w:t>Used for</w:t>
            </w:r>
          </w:p>
        </w:tc>
      </w:tr>
      <w:tr>
        <w:trPr>
          <w:cantSplit/>
        </w:trPr>
        <w:tc>
          <w:tcPr>
            <w:tcW w:type="dxa" w:w="3402"/>
          </w:tcPr>
          <w:p>
            <w:pPr>
              <w:spacing w:after="0" w:line="240" w:lineRule="auto"/>
            </w:pPr>
            <w:r/>
            <w:r>
              <w:rPr>
                <w:sz w:val="17"/>
              </w:rPr>
              <w:t>Knight Frank, Cairo office review H2 2025, via Arabian Business (July 2026)</w:t>
            </w:r>
          </w:p>
        </w:tc>
        <w:tc>
          <w:tcPr>
            <w:tcW w:type="dxa" w:w="5839"/>
          </w:tcPr>
          <w:p>
            <w:pPr>
              <w:spacing w:after="0" w:line="240" w:lineRule="auto"/>
            </w:pPr>
            <w:r/>
            <w:r>
              <w:rPr>
                <w:sz w:val="17"/>
              </w:rPr>
              <w:t>Cairo office stock of about 1.0 million m2 (Knight Frank definition), with a further 818,000 m2 in the pipelin...</w:t>
            </w:r>
          </w:p>
        </w:tc>
      </w:tr>
      <w:tr>
        <w:trPr>
          <w:cantSplit/>
        </w:trPr>
        <w:tc>
          <w:tcPr>
            <w:tcW w:type="dxa" w:w="3402"/>
            <w:shd w:val="clear" w:color="auto" w:fill="F2F4F7"/>
          </w:tcPr>
          <w:p>
            <w:pPr>
              <w:spacing w:after="0" w:line="240" w:lineRule="auto"/>
            </w:pPr>
            <w:r/>
            <w:r>
              <w:rPr>
                <w:sz w:val="17"/>
              </w:rPr>
              <w:t>Knight Frank via Arabian Business (July 2026)</w:t>
            </w:r>
          </w:p>
        </w:tc>
        <w:tc>
          <w:tcPr>
            <w:tcW w:type="dxa" w:w="5839"/>
            <w:shd w:val="clear" w:color="auto" w:fill="F2F4F7"/>
          </w:tcPr>
          <w:p>
            <w:pPr>
              <w:spacing w:after="0" w:line="240" w:lineRule="auto"/>
            </w:pPr>
            <w:r/>
            <w:r>
              <w:rPr>
                <w:sz w:val="17"/>
              </w:rPr>
              <w:t>New Cairo holds 73% of current and future Cairo office stock; Grade A occupancy is about 90%</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Office vacancy averaged about 9% and was stable in Q1 2026; over 100,000 m2 of Grade A and B space was deliver...</w:t>
            </w:r>
          </w:p>
        </w:tc>
      </w:tr>
      <w:tr>
        <w:trPr>
          <w:cantSplit/>
        </w:trPr>
        <w:tc>
          <w:tcPr>
            <w:tcW w:type="dxa" w:w="3402"/>
            <w:shd w:val="clear" w:color="auto" w:fill="F2F4F7"/>
          </w:tcPr>
          <w:p>
            <w:pPr>
              <w:spacing w:after="0" w:line="240" w:lineRule="auto"/>
            </w:pPr>
            <w:r/>
            <w:r>
              <w:rPr>
                <w:sz w:val="17"/>
              </w:rPr>
              <w:t>Knight Frank Q2 2026, via Enterprise (8 July 2026)</w:t>
            </w:r>
          </w:p>
        </w:tc>
        <w:tc>
          <w:tcPr>
            <w:tcW w:type="dxa" w:w="5839"/>
            <w:shd w:val="clear" w:color="auto" w:fill="F2F4F7"/>
          </w:tcPr>
          <w:p>
            <w:pPr>
              <w:spacing w:after="0" w:line="240" w:lineRule="auto"/>
            </w:pPr>
            <w:r/>
            <w:r>
              <w:rPr>
                <w:sz w:val="17"/>
              </w:rPr>
              <w:t>Grade A business-park rent in New Cairo of USD 348/m2/yr (market average USD 325); EGP rents up about 20% y/y ...</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Cairo retail stock above 3.3 million m2 after about 89,000 m2 delivered in Q1 2026, mostly small malls in New ...</w:t>
            </w:r>
          </w:p>
        </w:tc>
      </w:tr>
      <w:tr>
        <w:trPr>
          <w:cantSplit/>
        </w:trPr>
        <w:tc>
          <w:tcPr>
            <w:tcW w:type="dxa" w:w="3402"/>
            <w:shd w:val="clear" w:color="auto" w:fill="F2F4F7"/>
          </w:tcPr>
          <w:p>
            <w:pPr>
              <w:spacing w:after="0" w:line="240" w:lineRule="auto"/>
            </w:pPr>
            <w:r/>
            <w:r>
              <w:rPr>
                <w:sz w:val="17"/>
              </w:rPr>
              <w:t>MIDAR; Nawy</w:t>
            </w:r>
          </w:p>
        </w:tc>
        <w:tc>
          <w:tcPr>
            <w:tcW w:type="dxa" w:w="5839"/>
            <w:shd w:val="clear" w:color="auto" w:fill="F2F4F7"/>
          </w:tcPr>
          <w:p>
            <w:pPr>
              <w:spacing w:after="0" w:line="240" w:lineRule="auto"/>
            </w:pPr>
            <w:r/>
            <w:r>
              <w:rPr>
                <w:sz w:val="17"/>
              </w:rPr>
              <w:t>Mostakbal City covers about 11,000 feddans, with a planned population of about 1 million; master developer is ...</w:t>
            </w:r>
          </w:p>
        </w:tc>
      </w:tr>
      <w:tr>
        <w:trPr>
          <w:cantSplit/>
        </w:trPr>
        <w:tc>
          <w:tcPr>
            <w:tcW w:type="dxa" w:w="3402"/>
          </w:tcPr>
          <w:p>
            <w:pPr>
              <w:spacing w:after="0" w:line="240" w:lineRule="auto"/>
            </w:pPr>
            <w:r/>
            <w:r>
              <w:rPr>
                <w:sz w:val="17"/>
              </w:rPr>
              <w:t>Presidency of Egypt; Bayut guide</w:t>
            </w:r>
          </w:p>
        </w:tc>
        <w:tc>
          <w:tcPr>
            <w:tcW w:type="dxa" w:w="5839"/>
          </w:tcPr>
          <w:p>
            <w:pPr>
              <w:spacing w:after="0" w:line="240" w:lineRule="auto"/>
            </w:pPr>
            <w:r/>
            <w:r>
              <w:rPr>
                <w:sz w:val="17"/>
              </w:rPr>
              <w:t>Connected by the Regional (Middle) Ring Road and the East Cairo monorail corridor to Shorouk, Obour, Badr and ...</w:t>
            </w:r>
          </w:p>
        </w:tc>
      </w:tr>
      <w:tr>
        <w:trPr>
          <w:cantSplit/>
        </w:trPr>
        <w:tc>
          <w:tcPr>
            <w:tcW w:type="dxa" w:w="3402"/>
            <w:shd w:val="clear" w:color="auto" w:fill="F2F4F7"/>
          </w:tcPr>
          <w:p>
            <w:pPr>
              <w:spacing w:after="0" w:line="240" w:lineRule="auto"/>
            </w:pPr>
            <w:r/>
            <w:r>
              <w:rPr>
                <w:sz w:val="17"/>
              </w:rPr>
              <w:t>Invest-Gate</w:t>
            </w:r>
          </w:p>
        </w:tc>
        <w:tc>
          <w:tcPr>
            <w:tcW w:type="dxa" w:w="5839"/>
            <w:shd w:val="clear" w:color="auto" w:fill="F2F4F7"/>
          </w:tcPr>
          <w:p>
            <w:pPr>
              <w:spacing w:after="0" w:line="240" w:lineRule="auto"/>
            </w:pPr>
            <w:r/>
            <w:r>
              <w:rPr>
                <w:sz w:val="17"/>
              </w:rPr>
              <w:t>Comparable commercial schemes are under way: Hassan Allam's HAPTOWN (offices G+1 to G+4, retail, healthcare) i...</w:t>
            </w:r>
          </w:p>
        </w:tc>
      </w:tr>
      <w:tr>
        <w:trPr>
          <w:cantSplit/>
        </w:trPr>
        <w:tc>
          <w:tcPr>
            <w:tcW w:type="dxa" w:w="3402"/>
          </w:tcPr>
          <w:p>
            <w:pPr>
              <w:spacing w:after="0" w:line="240" w:lineRule="auto"/>
            </w:pPr>
            <w:r/>
            <w:r>
              <w:rPr>
                <w:sz w:val="17"/>
              </w:rPr>
              <w:t>Property Finder listings, Sumou Boulevard and Zizinia (2026)</w:t>
            </w:r>
          </w:p>
        </w:tc>
        <w:tc>
          <w:tcPr>
            <w:tcW w:type="dxa" w:w="5839"/>
          </w:tcPr>
          <w:p>
            <w:pPr>
              <w:spacing w:after="0" w:line="240" w:lineRule="auto"/>
            </w:pPr>
            <w:r/>
            <w:r>
              <w:rPr>
                <w:sz w:val="17"/>
              </w:rPr>
              <w:t>Office asking prices in Mostakbal City listings: about EGP 106,000 to 120,000 per m2</w:t>
            </w:r>
          </w:p>
        </w:tc>
      </w:tr>
      <w:tr>
        <w:trPr>
          <w:cantSplit/>
        </w:trPr>
        <w:tc>
          <w:tcPr>
            <w:tcW w:type="dxa" w:w="3402"/>
            <w:shd w:val="clear" w:color="auto" w:fill="F2F4F7"/>
          </w:tcPr>
          <w:p>
            <w:pPr>
              <w:spacing w:after="0" w:line="240" w:lineRule="auto"/>
            </w:pPr>
            <w:r/>
            <w:r>
              <w:rPr>
                <w:sz w:val="17"/>
              </w:rPr>
              <w:t>Property Finder listings (August 2026)</w:t>
            </w:r>
          </w:p>
        </w:tc>
        <w:tc>
          <w:tcPr>
            <w:tcW w:type="dxa" w:w="5839"/>
            <w:shd w:val="clear" w:color="auto" w:fill="F2F4F7"/>
          </w:tcPr>
          <w:p>
            <w:pPr>
              <w:spacing w:after="0" w:line="240" w:lineRule="auto"/>
            </w:pPr>
            <w:r/>
            <w:r>
              <w:rPr>
                <w:sz w:val="17"/>
              </w:rPr>
              <w:t>Retail unit asking prices in New Cairo (Fifth Settlement) listings range from about EGP 139,000 to 325,000 per...</w:t>
            </w:r>
          </w:p>
        </w:tc>
      </w:tr>
      <w:tr>
        <w:trPr>
          <w:cantSplit/>
        </w:trPr>
        <w:tc>
          <w:tcPr>
            <w:tcW w:type="dxa" w:w="3402"/>
          </w:tcPr>
          <w:p>
            <w:pPr>
              <w:spacing w:after="0" w:line="240" w:lineRule="auto"/>
            </w:pPr>
            <w:r/>
            <w:r>
              <w:rPr>
                <w:sz w:val="17"/>
              </w:rPr>
              <w:t>JLL via Enterprise (2026)</w:t>
            </w:r>
          </w:p>
        </w:tc>
        <w:tc>
          <w:tcPr>
            <w:tcW w:type="dxa" w:w="5839"/>
          </w:tcPr>
          <w:p>
            <w:pPr>
              <w:spacing w:after="0" w:line="240" w:lineRule="auto"/>
            </w:pPr>
            <w:r/>
            <w:r>
              <w:rPr>
                <w:sz w:val="17"/>
              </w:rPr>
              <w:t>New Cairo secondary-market sale prices rose 3.1% y/y in Q1 2026, while asking rents rose 10.0%</w:t>
            </w:r>
          </w:p>
        </w:tc>
      </w:tr>
      <w:tr>
        <w:trPr>
          <w:cantSplit/>
        </w:trPr>
        <w:tc>
          <w:tcPr>
            <w:tcW w:type="dxa" w:w="3402"/>
            <w:shd w:val="clear" w:color="auto" w:fill="F2F4F7"/>
          </w:tcPr>
          <w:p>
            <w:pPr>
              <w:spacing w:after="0" w:line="240" w:lineRule="auto"/>
            </w:pPr>
            <w:r/>
            <w:r>
              <w:rPr>
                <w:sz w:val="17"/>
              </w:rPr>
              <w:t>Sands of Wealth, drawing on Aqarmap data (2026)</w:t>
            </w:r>
          </w:p>
        </w:tc>
        <w:tc>
          <w:tcPr>
            <w:tcW w:type="dxa" w:w="5839"/>
            <w:shd w:val="clear" w:color="auto" w:fill="F2F4F7"/>
          </w:tcPr>
          <w:p>
            <w:pPr>
              <w:spacing w:after="0" w:line="240" w:lineRule="auto"/>
            </w:pPr>
            <w:r/>
            <w:r>
              <w:rPr>
                <w:sz w:val="17"/>
              </w:rPr>
              <w:t>Broker estimates put 2026 price growth at 10 to 15% in New Cairo and 12 to 16% in Mostakbal City (blog estimat...</w:t>
            </w:r>
          </w:p>
        </w:tc>
      </w:tr>
      <w:tr>
        <w:trPr>
          <w:cantSplit/>
        </w:trPr>
        <w:tc>
          <w:tcPr>
            <w:tcW w:type="dxa" w:w="3402"/>
          </w:tcPr>
          <w:p>
            <w:pPr>
              <w:spacing w:after="0" w:line="240" w:lineRule="auto"/>
            </w:pPr>
            <w:r/>
            <w:r>
              <w:rPr>
                <w:sz w:val="17"/>
              </w:rPr>
              <w:t>CBE via Bnok24; CAPMAS via Ahram Online</w:t>
            </w:r>
          </w:p>
        </w:tc>
        <w:tc>
          <w:tcPr>
            <w:tcW w:type="dxa" w:w="5839"/>
          </w:tcPr>
          <w:p>
            <w:pPr>
              <w:spacing w:after="0" w:line="240" w:lineRule="auto"/>
            </w:pPr>
            <w:r/>
            <w:r>
              <w:rPr>
                <w:sz w:val="17"/>
              </w:rPr>
              <w:t>CBE overnight deposit rate 19.00%, unchanged at the September 2026 meeting; urban headline inflation 14.5% in ...</w:t>
            </w:r>
          </w:p>
        </w:tc>
      </w:tr>
      <w:tr>
        <w:trPr>
          <w:cantSplit/>
        </w:trPr>
        <w:tc>
          <w:tcPr>
            <w:tcW w:type="dxa" w:w="3402"/>
            <w:shd w:val="clear" w:color="auto" w:fill="F2F4F7"/>
          </w:tcPr>
          <w:p>
            <w:pPr>
              <w:spacing w:after="0" w:line="240" w:lineRule="auto"/>
            </w:pPr>
            <w:r/>
            <w:r>
              <w:rPr>
                <w:sz w:val="17"/>
              </w:rPr>
              <w:t>Daily News Egypt (2026)</w:t>
            </w:r>
          </w:p>
        </w:tc>
        <w:tc>
          <w:tcPr>
            <w:tcW w:type="dxa" w:w="5839"/>
            <w:shd w:val="clear" w:color="auto" w:fill="F2F4F7"/>
          </w:tcPr>
          <w:p>
            <w:pPr>
              <w:spacing w:after="0" w:line="240" w:lineRule="auto"/>
            </w:pPr>
            <w:r/>
            <w:r>
              <w:rPr>
                <w:sz w:val="17"/>
              </w:rPr>
              <w:t>Top 10 developers' sales reached EGP 670 bn in H1 2026 against EGP 651 bn in H1 2025 (+2.9%), with units sold ...</w:t>
            </w:r>
          </w:p>
        </w:tc>
      </w:tr>
      <w:tr>
        <w:trPr>
          <w:cantSplit/>
        </w:trPr>
        <w:tc>
          <w:tcPr>
            <w:tcW w:type="dxa" w:w="3402"/>
          </w:tcPr>
          <w:p>
            <w:pPr>
              <w:spacing w:after="0" w:line="240" w:lineRule="auto"/>
            </w:pPr>
            <w:r/>
            <w:r>
              <w:rPr>
                <w:sz w:val="17"/>
              </w:rPr>
              <w:t>Invest-Gate; Mondaq</w:t>
            </w:r>
          </w:p>
        </w:tc>
        <w:tc>
          <w:tcPr>
            <w:tcW w:type="dxa" w:w="5839"/>
          </w:tcPr>
          <w:p>
            <w:pPr>
              <w:spacing w:after="0" w:line="240" w:lineRule="auto"/>
            </w:pPr>
            <w:r/>
            <w:r>
              <w:rPr>
                <w:sz w:val="17"/>
              </w:rPr>
              <w:t>Prime Minister Decree 2184 of 2022 requires developers on state-allocated land to hold a separate project bank...</w:t>
            </w:r>
          </w:p>
        </w:tc>
      </w:tr>
      <w:tr>
        <w:trPr>
          <w:cantSplit/>
        </w:trPr>
        <w:tc>
          <w:tcPr>
            <w:tcW w:type="dxa" w:w="3402"/>
            <w:shd w:val="clear" w:color="auto" w:fill="F2F4F7"/>
          </w:tcPr>
          <w:p>
            <w:pPr>
              <w:spacing w:after="0" w:line="240" w:lineRule="auto"/>
            </w:pPr>
            <w:r/>
            <w:r>
              <w:rPr>
                <w:sz w:val="17"/>
              </w:rPr>
              <w:t>Bayut and Property Finder listings (2026)</w:t>
            </w:r>
          </w:p>
        </w:tc>
        <w:tc>
          <w:tcPr>
            <w:tcW w:type="dxa" w:w="5839"/>
            <w:shd w:val="clear" w:color="auto" w:fill="F2F4F7"/>
          </w:tcPr>
          <w:p>
            <w:pPr>
              <w:spacing w:after="0" w:line="240" w:lineRule="auto"/>
            </w:pPr>
            <w:r/>
            <w:r>
              <w:rPr>
                <w:sz w:val="17"/>
              </w:rPr>
              <w:t>Typical off-plan payment plans run 8 to 12 years with 1.5% to 10% down payments</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Green Square Investment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Square - Investment Memorandum (EGP 125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