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125 million (USD 2.6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19</w:t>
      </w:r>
    </w:p>
    <w:p>
      <w:pPr>
        <w:tabs>
          <w:tab w:pos="9241" w:val="right" w:leader="dot"/>
        </w:tabs>
        <w:spacing w:after="60"/>
      </w:pPr>
      <w:r>
        <w:rPr>
          <w:sz w:val="22"/>
        </w:rPr>
        <w:t>13. Returns analysis and sensitivities</w:t>
        <w:tab/>
        <w:t>21</w:t>
      </w:r>
    </w:p>
    <w:p>
      <w:pPr>
        <w:tabs>
          <w:tab w:pos="9241" w:val="right" w:leader="dot"/>
        </w:tabs>
        <w:spacing w:after="60"/>
      </w:pPr>
      <w:r>
        <w:rPr>
          <w:sz w:val="22"/>
        </w:rPr>
        <w:t>14. Security and ranking</w:t>
        <w:tab/>
        <w:t>25</w:t>
      </w:r>
    </w:p>
    <w:p>
      <w:pPr>
        <w:tabs>
          <w:tab w:pos="9241" w:val="right" w:leader="dot"/>
        </w:tabs>
        <w:spacing w:after="60"/>
      </w:pPr>
      <w:r>
        <w:rPr>
          <w:sz w:val="22"/>
        </w:rPr>
        <w:t>15. Governance and information rights</w:t>
        <w:tab/>
        <w:t>25</w:t>
      </w:r>
    </w:p>
    <w:p>
      <w:pPr>
        <w:tabs>
          <w:tab w:pos="9241" w:val="right" w:leader="dot"/>
        </w:tabs>
        <w:spacing w:after="60"/>
      </w:pPr>
      <w:r>
        <w:rPr>
          <w:sz w:val="22"/>
        </w:rPr>
        <w:t>16. Exit and liquidity</w:t>
        <w:tab/>
        <w:t>26</w:t>
      </w:r>
    </w:p>
    <w:p>
      <w:pPr>
        <w:tabs>
          <w:tab w:pos="9241" w:val="right" w:leader="dot"/>
        </w:tabs>
        <w:spacing w:after="60"/>
      </w:pPr>
      <w:r>
        <w:rPr>
          <w:sz w:val="22"/>
        </w:rPr>
        <w:t>17. Risk factors</w:t>
        <w:tab/>
        <w:t>27</w:t>
      </w:r>
    </w:p>
    <w:p>
      <w:pPr>
        <w:tabs>
          <w:tab w:pos="9241" w:val="right" w:leader="dot"/>
        </w:tabs>
        <w:spacing w:after="60"/>
      </w:pPr>
      <w:r>
        <w:rPr>
          <w:sz w:val="22"/>
        </w:rPr>
        <w:t>18. Tax and legal considerations</w:t>
        <w:tab/>
        <w:t>28</w:t>
      </w:r>
    </w:p>
    <w:p>
      <w:pPr>
        <w:tabs>
          <w:tab w:pos="9241" w:val="right" w:leader="dot"/>
        </w:tabs>
        <w:spacing w:after="60"/>
      </w:pPr>
      <w:r>
        <w:rPr>
          <w:sz w:val="22"/>
        </w:rPr>
        <w:t>Appendices</w:t>
        <w:tab/>
        <w:t>29</w:t>
      </w:r>
    </w:p>
    <w:p>
      <w:pPr>
        <w:pStyle w:val="Heading1"/>
        <w:pageBreakBefore/>
      </w:pPr>
      <w:r>
        <w:t>1. Executive summary</w:t>
      </w:r>
    </w:p>
    <w:p>
      <w:r>
        <w:rPr>
          <w:b w:val="0"/>
          <w:i w:val="0"/>
        </w:rPr>
        <w:t>Jalour is raising EGP 125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250 million, twice the ticket, priced at the launch list (retail EGP 250,000 per m2, offices EGP 160,000 per m2), allocated from the first two sales tranches. At the model's delivery list prices the units are worth EGP 370 million. Projected investor IRR: 29.2% base, 20.4% downside, 32.3% upside.</w:t>
      </w:r>
    </w:p>
    <w:p>
      <w:pPr>
        <w:pStyle w:val="ListBullet"/>
        <w:spacing w:after="60"/>
      </w:pPr>
      <w:r>
        <w:rPr>
          <w:b/>
          <w:i w:val="0"/>
        </w:rPr>
        <w:t>Option B, cash.</w:t>
      </w:r>
      <w:r>
        <w:rPr>
          <w:b w:val="0"/>
          <w:i w:val="0"/>
        </w:rPr>
        <w:t xml:space="preserve"> EGP 288 million (2.3x the ticket) in 12 equal quarterly instalments of EGP 23.96 million after a 24-month grace period, from month 39 to month 72.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125.0</w:t>
            </w:r>
          </w:p>
        </w:tc>
      </w:tr>
      <w:tr>
        <w:trPr>
          <w:cantSplit/>
        </w:trPr>
        <w:tc>
          <w:tcPr>
            <w:tcW w:type="dxa" w:w="6236"/>
            <w:shd w:val="clear" w:color="auto" w:fill="F2F4F7"/>
          </w:tcPr>
          <w:p>
            <w:pPr>
              <w:spacing w:after="0" w:line="240" w:lineRule="auto"/>
            </w:pPr>
            <w:r/>
            <w:r>
              <w:rPr>
                <w:sz w:val="19"/>
              </w:rPr>
              <w:t>Modelled peak cumulative cash shortage (month 30)</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307.5</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54</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288</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48 to 54, inside the payout window), so quarter-by-quarter coverage of instalments is below 1.5x in 5 of 12 quarters. Pooled cash including the ticket covers every instalment at least 3.8x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125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12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 before the value of retained units.</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160,000</w:t>
            </w:r>
          </w:p>
        </w:tc>
        <w:tc>
          <w:tcPr>
            <w:tcW w:type="dxa" w:w="964"/>
          </w:tcPr>
          <w:p>
            <w:pPr>
              <w:spacing w:after="0" w:line="240" w:lineRule="auto"/>
              <w:jc w:val="right"/>
            </w:pPr>
            <w:r/>
            <w:r>
              <w:rPr>
                <w:sz w:val="16"/>
              </w:rPr>
              <w:t>191,250</w:t>
            </w:r>
          </w:p>
        </w:tc>
        <w:tc>
          <w:tcPr>
            <w:tcW w:type="dxa" w:w="907"/>
          </w:tcPr>
          <w:p>
            <w:pPr>
              <w:spacing w:after="0" w:line="240" w:lineRule="auto"/>
              <w:jc w:val="right"/>
            </w:pPr>
            <w:r/>
            <w:r>
              <w:rPr>
                <w:sz w:val="16"/>
              </w:rPr>
              <w:t>240,000</w:t>
            </w:r>
          </w:p>
        </w:tc>
        <w:tc>
          <w:tcPr>
            <w:tcW w:type="dxa" w:w="964"/>
          </w:tcPr>
          <w:p>
            <w:pPr>
              <w:spacing w:after="0" w:line="240" w:lineRule="auto"/>
              <w:jc w:val="right"/>
            </w:pPr>
            <w:r/>
            <w:r>
              <w:rPr>
                <w:sz w:val="16"/>
              </w:rPr>
              <w:t>+50%</w:t>
            </w:r>
          </w:p>
        </w:tc>
        <w:tc>
          <w:tcPr>
            <w:tcW w:type="dxa" w:w="964"/>
          </w:tcPr>
          <w:p>
            <w:pPr>
              <w:spacing w:after="0" w:line="240" w:lineRule="auto"/>
              <w:jc w:val="right"/>
            </w:pPr>
            <w:r/>
            <w:r>
              <w:rPr>
                <w:sz w:val="16"/>
              </w:rPr>
              <w:t>+20%</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+112% (mid-point 113,000)</w:t>
            </w:r>
          </w:p>
        </w:tc>
        <w:tc>
          <w:tcPr>
            <w:tcW w:type="dxa" w:w="907"/>
          </w:tcPr>
          <w:p>
            <w:pPr>
              <w:spacing w:after="0" w:line="240" w:lineRule="auto"/>
              <w:jc w:val="right"/>
            </w:pPr>
            <w:r/>
            <w:r>
              <w:rPr>
                <w:sz w:val="16"/>
              </w:rPr>
              <w:t>17.5%</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250,000</w:t>
            </w:r>
          </w:p>
        </w:tc>
        <w:tc>
          <w:tcPr>
            <w:tcW w:type="dxa" w:w="964"/>
            <w:shd w:val="clear" w:color="auto" w:fill="F2F4F7"/>
          </w:tcPr>
          <w:p>
            <w:pPr>
              <w:spacing w:after="0" w:line="240" w:lineRule="auto"/>
              <w:jc w:val="right"/>
            </w:pPr>
            <w:r/>
            <w:r>
              <w:rPr>
                <w:sz w:val="16"/>
              </w:rPr>
              <w:t>300,938</w:t>
            </w:r>
          </w:p>
        </w:tc>
        <w:tc>
          <w:tcPr>
            <w:tcW w:type="dxa" w:w="907"/>
            <w:shd w:val="clear" w:color="auto" w:fill="F2F4F7"/>
          </w:tcPr>
          <w:p>
            <w:pPr>
              <w:spacing w:after="0" w:line="240" w:lineRule="auto"/>
              <w:jc w:val="right"/>
            </w:pPr>
            <w:r/>
            <w:r>
              <w:rPr>
                <w:sz w:val="16"/>
              </w:rPr>
              <w:t>360,000</w:t>
            </w:r>
          </w:p>
        </w:tc>
        <w:tc>
          <w:tcPr>
            <w:tcW w:type="dxa" w:w="964"/>
            <w:shd w:val="clear" w:color="auto" w:fill="F2F4F7"/>
          </w:tcPr>
          <w:p>
            <w:pPr>
              <w:spacing w:after="0" w:line="240" w:lineRule="auto"/>
              <w:jc w:val="right"/>
            </w:pPr>
            <w:r/>
            <w:r>
              <w:rPr>
                <w:sz w:val="16"/>
              </w:rPr>
              <w:t>+44%</w:t>
            </w:r>
          </w:p>
        </w:tc>
        <w:tc>
          <w:tcPr>
            <w:tcW w:type="dxa" w:w="964"/>
            <w:shd w:val="clear" w:color="auto" w:fill="F2F4F7"/>
          </w:tcPr>
          <w:p>
            <w:pPr>
              <w:spacing w:after="0" w:line="240" w:lineRule="auto"/>
              <w:jc w:val="right"/>
            </w:pPr>
            <w:r/>
            <w:r>
              <w:rPr>
                <w:sz w:val="16"/>
              </w:rPr>
              <w:t>+20%</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54). Measured from launch it is +44% for retail and +50% for offices (48% weighted by the launch tranches), against the 40% to 60% range Jalour expects. Measured from today's office asking prices, the delivery list is +112%, or about 18% a year over 4.7 years if the model timeline starts in December 2026.</w:t>
      </w: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13</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19 to 54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54</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The area schedule that reconciles the two is provided after the investor signs a non-disclosure agreement; the investor should require it in due diligence.</w:t>
      </w:r>
    </w:p>
    <w:p>
      <w:r>
        <w:rPr>
          <w:b w:val="0"/>
          <w:i w:val="0"/>
        </w:rPr>
        <w:t>Phasing: sales launch in project month 13, construction starts in month 19 and runs 36 months to handover in month 54.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54</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equal to 35% of the value of all units at modelled prices, including the 20% retained by Jalour. EGP 320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13 to 48</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12</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39</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42</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45</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3,342 million at modelled prices; the plan sells 80%, EGP 2,674 million. The first two tranches (months 15 and 18) carry the launch list and total EGP 725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2,673.7</w:t>
            </w:r>
          </w:p>
        </w:tc>
        <w:tc>
          <w:tcPr>
            <w:tcW w:type="dxa" w:w="1644"/>
            <w:shd w:val="clear" w:color="auto" w:fill="F2F4F7"/>
          </w:tcPr>
          <w:p>
            <w:pPr>
              <w:spacing w:after="0" w:line="240" w:lineRule="auto"/>
              <w:jc w:val="right"/>
            </w:pPr>
            <w:r/>
            <w:r>
              <w:rPr>
                <w:b/>
                <w:sz w:val="18"/>
              </w:rPr>
              <w:t>-1,169.8</w:t>
            </w:r>
          </w:p>
        </w:tc>
        <w:tc>
          <w:tcPr>
            <w:tcW w:type="dxa" w:w="2041"/>
            <w:shd w:val="clear" w:color="auto" w:fill="F2F4F7"/>
          </w:tcPr>
          <w:p>
            <w:pPr>
              <w:spacing w:after="0" w:line="240" w:lineRule="auto"/>
              <w:jc w:val="right"/>
            </w:pPr>
            <w:r/>
            <w:r>
              <w:rPr>
                <w:b/>
                <w:sz w:val="18"/>
              </w:rPr>
              <w:t>-908.7</w:t>
            </w:r>
          </w:p>
        </w:tc>
        <w:tc>
          <w:tcPr>
            <w:tcW w:type="dxa" w:w="1417"/>
            <w:shd w:val="clear" w:color="auto" w:fill="F2F4F7"/>
          </w:tcPr>
          <w:p>
            <w:pPr>
              <w:spacing w:after="0" w:line="240" w:lineRule="auto"/>
              <w:jc w:val="right"/>
            </w:pPr>
            <w:r/>
            <w:r>
              <w:rPr>
                <w:b/>
                <w:sz w:val="18"/>
              </w:rPr>
              <w:t>595.3</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45.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308 million to EGP 258 million; a 20% overrun to EGP 208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 (applied to uses)</w:t>
            </w:r>
          </w:p>
        </w:tc>
        <w:tc>
          <w:tcPr>
            <w:tcW w:type="dxa" w:w="2041"/>
          </w:tcPr>
          <w:p>
            <w:pPr>
              <w:spacing w:after="0" w:line="240" w:lineRule="auto"/>
              <w:jc w:val="right"/>
            </w:pPr>
            <w:r/>
            <w:r>
              <w:rPr>
                <w:sz w:val="19"/>
              </w:rPr>
              <w:t>112.5</w:t>
            </w:r>
          </w:p>
        </w:tc>
        <w:tc>
          <w:tcPr>
            <w:tcW w:type="dxa" w:w="2098"/>
          </w:tcPr>
          <w:p>
            <w:pPr>
              <w:spacing w:after="0" w:line="240" w:lineRule="auto"/>
              <w:jc w:val="right"/>
            </w:pPr>
            <w:r/>
            <w:r>
              <w:rPr>
                <w:sz w:val="19"/>
              </w:rPr>
              <w:t>100%</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0.0</w:t>
            </w:r>
          </w:p>
        </w:tc>
        <w:tc>
          <w:tcPr>
            <w:tcW w:type="dxa" w:w="2098"/>
            <w:shd w:val="clear" w:color="auto" w:fill="F2F4F7"/>
          </w:tcPr>
          <w:p>
            <w:pPr>
              <w:spacing w:after="0" w:line="240" w:lineRule="auto"/>
              <w:jc w:val="right"/>
            </w:pPr>
            <w:r/>
            <w:r>
              <w:rPr>
                <w:sz w:val="19"/>
              </w:rPr>
              <w:t>0%</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12.5</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125.0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123% of the modelled peak cumulative shortage of EGP 102.0 million (month 30).</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Ticket above the modelled peak.</w:t>
            </w:r>
            <w:r>
              <w:rPr>
                <w:b w:val="0"/>
                <w:i w:val="0"/>
                <w:sz w:val="20"/>
              </w:rPr>
              <w:t xml:space="preserve"> The ticket exceeds the modelled peak shortage by EGP 23.0 million (12.5 million above total modelled uses). The excess is general project liquidity, not held in a restricted account. It is available for the timing risk on delivery payments (peak shortage EGP 244 million if they arrive at handover) and for pre-construction cost overruns. Returns are contractual on the full ticket, so Jalour's cost of capital is measured on the full amount.</w:t>
            </w:r>
          </w:p>
        </w:tc>
      </w:tr>
    </w:tbl>
    <w:p>
      <w:pPr>
        <w:spacing w:after="80"/>
      </w:pP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308</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40</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412</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258</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209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275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14</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2"/>
      </w:pPr>
      <w:r>
        <w:t>11.2 Sponsor-level view: both projects together</w:t>
      </w:r>
    </w:p>
    <w:p>
      <w:r>
        <w:rPr>
          <w:b w:val="0"/>
          <w:i w:val="0"/>
        </w:rPr>
        <w:t>Jalour has said it will cover project funding gaps from its cash reserves and from cash generated by other projects it is constructing. To show what that means in numbers, this section sets L'avenir beside Green Square, Jalour's other project in this model, before any investor instrument. The figures are projections from the same Jalour model. They cover these two projects only; Jalour's cash reserves and its other projects are not included.</w:t>
      </w:r>
    </w:p>
    <w:p>
      <w:pPr>
        <w:keepNext/>
        <w:spacing w:after="60"/>
      </w:pPr>
      <w:r>
        <w:rPr>
          <w:b/>
          <w:color w:val="17324D"/>
          <w:sz w:val="19"/>
        </w:rPr>
        <w:t>Table 17: The two projects side by side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EGP million</w:t>
            </w:r>
          </w:p>
        </w:tc>
        <w:tc>
          <w:tcPr>
            <w:tcW w:type="dxa" w:w="2381"/>
            <w:shd w:val="clear" w:color="auto" w:fill="17324D"/>
          </w:tcPr>
          <w:p>
            <w:pPr>
              <w:spacing w:after="0" w:line="240" w:lineRule="auto"/>
              <w:jc w:val="right"/>
            </w:pPr>
            <w:r/>
            <w:r>
              <w:rPr>
                <w:b/>
                <w:color w:val="FFFFFF"/>
                <w:sz w:val="19"/>
              </w:rPr>
              <w:t>L'avenir</w:t>
            </w:r>
          </w:p>
        </w:tc>
        <w:tc>
          <w:tcPr>
            <w:tcW w:type="dxa" w:w="2324"/>
            <w:shd w:val="clear" w:color="auto" w:fill="17324D"/>
          </w:tcPr>
          <w:p>
            <w:pPr>
              <w:spacing w:after="0" w:line="240" w:lineRule="auto"/>
              <w:jc w:val="right"/>
            </w:pPr>
            <w:r/>
            <w:r>
              <w:rPr>
                <w:b/>
                <w:color w:val="FFFFFF"/>
                <w:sz w:val="19"/>
              </w:rPr>
              <w:t>Green Square</w:t>
            </w:r>
          </w:p>
        </w:tc>
      </w:tr>
      <w:tr>
        <w:trPr>
          <w:cantSplit/>
        </w:trPr>
        <w:tc>
          <w:tcPr>
            <w:tcW w:type="dxa" w:w="4535"/>
          </w:tcPr>
          <w:p>
            <w:pPr>
              <w:spacing w:after="0" w:line="240" w:lineRule="auto"/>
            </w:pPr>
            <w:r/>
            <w:r>
              <w:rPr>
                <w:sz w:val="19"/>
              </w:rPr>
              <w:t>Handover (project month)</w:t>
            </w:r>
          </w:p>
        </w:tc>
        <w:tc>
          <w:tcPr>
            <w:tcW w:type="dxa" w:w="2381"/>
          </w:tcPr>
          <w:p>
            <w:pPr>
              <w:spacing w:after="0" w:line="240" w:lineRule="auto"/>
              <w:jc w:val="right"/>
            </w:pPr>
            <w:r/>
            <w:r>
              <w:rPr>
                <w:sz w:val="19"/>
              </w:rPr>
              <w:t>54</w:t>
            </w:r>
          </w:p>
        </w:tc>
        <w:tc>
          <w:tcPr>
            <w:tcW w:type="dxa" w:w="2324"/>
          </w:tcPr>
          <w:p>
            <w:pPr>
              <w:spacing w:after="0" w:line="240" w:lineRule="auto"/>
              <w:jc w:val="right"/>
            </w:pPr>
            <w:r/>
            <w:r>
              <w:rPr>
                <w:sz w:val="19"/>
              </w:rPr>
              <w:t>48</w:t>
            </w:r>
          </w:p>
        </w:tc>
      </w:tr>
      <w:tr>
        <w:trPr>
          <w:cantSplit/>
        </w:trPr>
        <w:tc>
          <w:tcPr>
            <w:tcW w:type="dxa" w:w="4535"/>
            <w:shd w:val="clear" w:color="auto" w:fill="F2F4F7"/>
          </w:tcPr>
          <w:p>
            <w:pPr>
              <w:spacing w:after="0" w:line="240" w:lineRule="auto"/>
            </w:pPr>
            <w:r/>
            <w:r>
              <w:rPr>
                <w:sz w:val="19"/>
              </w:rPr>
              <w:t>Landlord minimum guarantee</w:t>
            </w:r>
          </w:p>
        </w:tc>
        <w:tc>
          <w:tcPr>
            <w:tcW w:type="dxa" w:w="2381"/>
            <w:shd w:val="clear" w:color="auto" w:fill="F2F4F7"/>
          </w:tcPr>
          <w:p>
            <w:pPr>
              <w:spacing w:after="0" w:line="240" w:lineRule="auto"/>
              <w:jc w:val="right"/>
            </w:pPr>
            <w:r/>
            <w:r>
              <w:rPr>
                <w:sz w:val="19"/>
              </w:rPr>
              <w:t>850</w:t>
            </w:r>
          </w:p>
        </w:tc>
        <w:tc>
          <w:tcPr>
            <w:tcW w:type="dxa" w:w="2324"/>
            <w:shd w:val="clear" w:color="auto" w:fill="F2F4F7"/>
          </w:tcPr>
          <w:p>
            <w:pPr>
              <w:spacing w:after="0" w:line="240" w:lineRule="auto"/>
              <w:jc w:val="right"/>
            </w:pPr>
            <w:r/>
            <w:r>
              <w:rPr>
                <w:sz w:val="19"/>
              </w:rPr>
              <w:t>800</w:t>
            </w:r>
          </w:p>
        </w:tc>
      </w:tr>
      <w:tr>
        <w:trPr>
          <w:cantSplit/>
        </w:trPr>
        <w:tc>
          <w:tcPr>
            <w:tcW w:type="dxa" w:w="4535"/>
          </w:tcPr>
          <w:p>
            <w:pPr>
              <w:spacing w:after="0" w:line="240" w:lineRule="auto"/>
            </w:pPr>
            <w:r/>
            <w:r>
              <w:rPr>
                <w:sz w:val="19"/>
              </w:rPr>
              <w:t>Sales plan, 80% of units</w:t>
            </w:r>
          </w:p>
        </w:tc>
        <w:tc>
          <w:tcPr>
            <w:tcW w:type="dxa" w:w="2381"/>
          </w:tcPr>
          <w:p>
            <w:pPr>
              <w:spacing w:after="0" w:line="240" w:lineRule="auto"/>
              <w:jc w:val="right"/>
            </w:pPr>
            <w:r/>
            <w:r>
              <w:rPr>
                <w:sz w:val="19"/>
              </w:rPr>
              <w:t>2,674</w:t>
            </w:r>
          </w:p>
        </w:tc>
        <w:tc>
          <w:tcPr>
            <w:tcW w:type="dxa" w:w="2324"/>
          </w:tcPr>
          <w:p>
            <w:pPr>
              <w:spacing w:after="0" w:line="240" w:lineRule="auto"/>
              <w:jc w:val="right"/>
            </w:pPr>
            <w:r/>
            <w:r>
              <w:rPr>
                <w:sz w:val="19"/>
              </w:rPr>
              <w:t>2,253</w:t>
            </w:r>
          </w:p>
        </w:tc>
      </w:tr>
      <w:tr>
        <w:trPr>
          <w:cantSplit/>
        </w:trPr>
        <w:tc>
          <w:tcPr>
            <w:tcW w:type="dxa" w:w="4535"/>
            <w:shd w:val="clear" w:color="auto" w:fill="F2F4F7"/>
          </w:tcPr>
          <w:p>
            <w:pPr>
              <w:spacing w:after="0" w:line="240" w:lineRule="auto"/>
            </w:pPr>
            <w:r/>
            <w:r>
              <w:rPr>
                <w:sz w:val="19"/>
              </w:rPr>
              <w:t>Collections</w:t>
            </w:r>
          </w:p>
        </w:tc>
        <w:tc>
          <w:tcPr>
            <w:tcW w:type="dxa" w:w="2381"/>
            <w:shd w:val="clear" w:color="auto" w:fill="F2F4F7"/>
          </w:tcPr>
          <w:p>
            <w:pPr>
              <w:spacing w:after="0" w:line="240" w:lineRule="auto"/>
              <w:jc w:val="right"/>
            </w:pPr>
            <w:r/>
            <w:r>
              <w:rPr>
                <w:sz w:val="19"/>
              </w:rPr>
              <w:t>2,673.7</w:t>
            </w:r>
          </w:p>
        </w:tc>
        <w:tc>
          <w:tcPr>
            <w:tcW w:type="dxa" w:w="2324"/>
            <w:shd w:val="clear" w:color="auto" w:fill="F2F4F7"/>
          </w:tcPr>
          <w:p>
            <w:pPr>
              <w:spacing w:after="0" w:line="240" w:lineRule="auto"/>
              <w:jc w:val="right"/>
            </w:pPr>
            <w:r/>
            <w:r>
              <w:rPr>
                <w:sz w:val="19"/>
              </w:rPr>
              <w:t>2,253.0</w:t>
            </w:r>
          </w:p>
        </w:tc>
      </w:tr>
      <w:tr>
        <w:trPr>
          <w:cantSplit/>
        </w:trPr>
        <w:tc>
          <w:tcPr>
            <w:tcW w:type="dxa" w:w="4535"/>
          </w:tcPr>
          <w:p>
            <w:pPr>
              <w:spacing w:after="0" w:line="240" w:lineRule="auto"/>
            </w:pPr>
            <w:r/>
            <w:r>
              <w:rPr>
                <w:sz w:val="19"/>
              </w:rPr>
              <w:t>Landlord payments</w:t>
            </w:r>
          </w:p>
        </w:tc>
        <w:tc>
          <w:tcPr>
            <w:tcW w:type="dxa" w:w="2381"/>
          </w:tcPr>
          <w:p>
            <w:pPr>
              <w:spacing w:after="0" w:line="240" w:lineRule="auto"/>
              <w:jc w:val="right"/>
            </w:pPr>
            <w:r/>
            <w:r>
              <w:rPr>
                <w:sz w:val="19"/>
              </w:rPr>
              <w:t>1,169.8</w:t>
            </w:r>
          </w:p>
        </w:tc>
        <w:tc>
          <w:tcPr>
            <w:tcW w:type="dxa" w:w="2324"/>
          </w:tcPr>
          <w:p>
            <w:pPr>
              <w:spacing w:after="0" w:line="240" w:lineRule="auto"/>
              <w:jc w:val="right"/>
            </w:pPr>
            <w:r/>
            <w:r>
              <w:rPr>
                <w:sz w:val="19"/>
              </w:rPr>
              <w:t>985.7</w:t>
            </w:r>
          </w:p>
        </w:tc>
      </w:tr>
      <w:tr>
        <w:trPr>
          <w:cantSplit/>
        </w:trPr>
        <w:tc>
          <w:tcPr>
            <w:tcW w:type="dxa" w:w="4535"/>
            <w:shd w:val="clear" w:color="auto" w:fill="F2F4F7"/>
          </w:tcPr>
          <w:p>
            <w:pPr>
              <w:spacing w:after="0" w:line="240" w:lineRule="auto"/>
            </w:pPr>
            <w:r/>
            <w:r>
              <w:rPr>
                <w:sz w:val="19"/>
              </w:rPr>
              <w:t>Construction, commission and SG&amp;A</w:t>
            </w:r>
          </w:p>
        </w:tc>
        <w:tc>
          <w:tcPr>
            <w:tcW w:type="dxa" w:w="2381"/>
            <w:shd w:val="clear" w:color="auto" w:fill="F2F4F7"/>
          </w:tcPr>
          <w:p>
            <w:pPr>
              <w:spacing w:after="0" w:line="240" w:lineRule="auto"/>
              <w:jc w:val="right"/>
            </w:pPr>
            <w:r/>
            <w:r>
              <w:rPr>
                <w:sz w:val="19"/>
              </w:rPr>
              <w:t>908.7</w:t>
            </w:r>
          </w:p>
        </w:tc>
        <w:tc>
          <w:tcPr>
            <w:tcW w:type="dxa" w:w="2324"/>
            <w:shd w:val="clear" w:color="auto" w:fill="F2F4F7"/>
          </w:tcPr>
          <w:p>
            <w:pPr>
              <w:spacing w:after="0" w:line="240" w:lineRule="auto"/>
              <w:jc w:val="right"/>
            </w:pPr>
            <w:r/>
            <w:r>
              <w:rPr>
                <w:sz w:val="19"/>
              </w:rPr>
              <w:t>891.9</w:t>
            </w:r>
          </w:p>
        </w:tc>
      </w:tr>
      <w:tr>
        <w:trPr>
          <w:cantSplit/>
        </w:trPr>
        <w:tc>
          <w:tcPr>
            <w:tcW w:type="dxa" w:w="4535"/>
          </w:tcPr>
          <w:p>
            <w:pPr>
              <w:spacing w:after="0" w:line="240" w:lineRule="auto"/>
            </w:pPr>
            <w:r/>
            <w:r>
              <w:rPr>
                <w:sz w:val="19"/>
              </w:rPr>
              <w:t>Net cash flow, nominal</w:t>
            </w:r>
          </w:p>
        </w:tc>
        <w:tc>
          <w:tcPr>
            <w:tcW w:type="dxa" w:w="2381"/>
          </w:tcPr>
          <w:p>
            <w:pPr>
              <w:spacing w:after="0" w:line="240" w:lineRule="auto"/>
              <w:jc w:val="right"/>
            </w:pPr>
            <w:r/>
            <w:r>
              <w:rPr>
                <w:sz w:val="19"/>
              </w:rPr>
              <w:t>595.3</w:t>
            </w:r>
          </w:p>
        </w:tc>
        <w:tc>
          <w:tcPr>
            <w:tcW w:type="dxa" w:w="2324"/>
          </w:tcPr>
          <w:p>
            <w:pPr>
              <w:spacing w:after="0" w:line="240" w:lineRule="auto"/>
              <w:jc w:val="right"/>
            </w:pPr>
            <w:r/>
            <w:r>
              <w:rPr>
                <w:sz w:val="19"/>
              </w:rPr>
              <w:t>375.4</w:t>
            </w:r>
          </w:p>
        </w:tc>
      </w:tr>
      <w:tr>
        <w:trPr>
          <w:cantSplit/>
        </w:trPr>
        <w:tc>
          <w:tcPr>
            <w:tcW w:type="dxa" w:w="4535"/>
            <w:shd w:val="clear" w:color="auto" w:fill="F2F4F7"/>
          </w:tcPr>
          <w:p>
            <w:pPr>
              <w:spacing w:after="0" w:line="240" w:lineRule="auto"/>
            </w:pPr>
            <w:r/>
            <w:r>
              <w:rPr>
                <w:sz w:val="19"/>
              </w:rPr>
              <w:t>NPV at 14%</w:t>
            </w:r>
          </w:p>
        </w:tc>
        <w:tc>
          <w:tcPr>
            <w:tcW w:type="dxa" w:w="2381"/>
            <w:shd w:val="clear" w:color="auto" w:fill="F2F4F7"/>
          </w:tcPr>
          <w:p>
            <w:pPr>
              <w:spacing w:after="0" w:line="240" w:lineRule="auto"/>
              <w:jc w:val="right"/>
            </w:pPr>
            <w:r/>
            <w:r>
              <w:rPr>
                <w:sz w:val="19"/>
              </w:rPr>
              <w:t>307.5</w:t>
            </w:r>
          </w:p>
        </w:tc>
        <w:tc>
          <w:tcPr>
            <w:tcW w:type="dxa" w:w="2324"/>
            <w:shd w:val="clear" w:color="auto" w:fill="F2F4F7"/>
          </w:tcPr>
          <w:p>
            <w:pPr>
              <w:spacing w:after="0" w:line="240" w:lineRule="auto"/>
              <w:jc w:val="right"/>
            </w:pPr>
            <w:r/>
            <w:r>
              <w:rPr>
                <w:sz w:val="19"/>
              </w:rPr>
              <w:t>215.3</w:t>
            </w:r>
          </w:p>
        </w:tc>
      </w:tr>
      <w:tr>
        <w:trPr>
          <w:cantSplit/>
        </w:trPr>
        <w:tc>
          <w:tcPr>
            <w:tcW w:type="dxa" w:w="4535"/>
          </w:tcPr>
          <w:p>
            <w:pPr>
              <w:spacing w:after="0" w:line="240" w:lineRule="auto"/>
            </w:pPr>
            <w:r/>
            <w:r>
              <w:rPr>
                <w:sz w:val="19"/>
              </w:rPr>
              <w:t>Peak cumulative shortage (month)</w:t>
            </w:r>
          </w:p>
        </w:tc>
        <w:tc>
          <w:tcPr>
            <w:tcW w:type="dxa" w:w="2381"/>
          </w:tcPr>
          <w:p>
            <w:pPr>
              <w:spacing w:after="0" w:line="240" w:lineRule="auto"/>
              <w:jc w:val="right"/>
            </w:pPr>
            <w:r/>
            <w:r>
              <w:rPr>
                <w:sz w:val="19"/>
              </w:rPr>
              <w:t>102.0 (30)</w:t>
            </w:r>
          </w:p>
        </w:tc>
        <w:tc>
          <w:tcPr>
            <w:tcW w:type="dxa" w:w="2324"/>
          </w:tcPr>
          <w:p>
            <w:pPr>
              <w:spacing w:after="0" w:line="240" w:lineRule="auto"/>
              <w:jc w:val="right"/>
            </w:pPr>
            <w:r/>
            <w:r>
              <w:rPr>
                <w:sz w:val="19"/>
              </w:rPr>
              <w:t>102.5 (6)</w:t>
            </w:r>
          </w:p>
        </w:tc>
      </w:tr>
    </w:tbl>
    <w:p>
      <w:pPr>
        <w:spacing w:after="80"/>
      </w:pP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comb.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net cash flow of the two projects and combined. </w:t>
      </w:r>
      <w:r>
        <w:rPr>
          <w:i/>
          <w:color w:val="6B7280"/>
          <w:sz w:val="18"/>
        </w:rPr>
        <w:t>Source: Jalour financial model; Financial Annex, Combined_Position sheet</w:t>
      </w:r>
    </w:p>
    <w:p>
      <w:pPr>
        <w:keepNext/>
        <w:spacing w:after="60"/>
      </w:pPr>
      <w:r>
        <w:rPr>
          <w:b/>
          <w:color w:val="17324D"/>
          <w:sz w:val="19"/>
        </w:rPr>
        <w:t>Table 18: Peak shortage by case, each project and combined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4082"/>
            <w:shd w:val="clear" w:color="auto" w:fill="17324D"/>
          </w:tcPr>
          <w:p>
            <w:pPr>
              <w:spacing w:after="0" w:line="240" w:lineRule="auto"/>
            </w:pPr>
            <w:r/>
            <w:r>
              <w:rPr>
                <w:b/>
                <w:color w:val="FFFFFF"/>
                <w:sz w:val="18"/>
              </w:rPr>
              <w:t>Peak cumulative shortage (EGP million)</w:t>
            </w:r>
          </w:p>
        </w:tc>
        <w:tc>
          <w:tcPr>
            <w:tcW w:type="dxa" w:w="1361"/>
            <w:shd w:val="clear" w:color="auto" w:fill="17324D"/>
          </w:tcPr>
          <w:p>
            <w:pPr>
              <w:spacing w:after="0" w:line="240" w:lineRule="auto"/>
              <w:jc w:val="right"/>
            </w:pPr>
            <w:r/>
            <w:r>
              <w:rPr>
                <w:b/>
                <w:color w:val="FFFFFF"/>
                <w:sz w:val="18"/>
              </w:rPr>
              <w:t>L'avenir</w:t>
            </w:r>
          </w:p>
        </w:tc>
        <w:tc>
          <w:tcPr>
            <w:tcW w:type="dxa" w:w="1361"/>
            <w:shd w:val="clear" w:color="auto" w:fill="17324D"/>
          </w:tcPr>
          <w:p>
            <w:pPr>
              <w:spacing w:after="0" w:line="240" w:lineRule="auto"/>
              <w:jc w:val="right"/>
            </w:pPr>
            <w:r/>
            <w:r>
              <w:rPr>
                <w:b/>
                <w:color w:val="FFFFFF"/>
                <w:sz w:val="18"/>
              </w:rPr>
              <w:t>Green Square</w:t>
            </w:r>
          </w:p>
        </w:tc>
        <w:tc>
          <w:tcPr>
            <w:tcW w:type="dxa" w:w="1247"/>
            <w:shd w:val="clear" w:color="auto" w:fill="17324D"/>
          </w:tcPr>
          <w:p>
            <w:pPr>
              <w:spacing w:after="0" w:line="240" w:lineRule="auto"/>
              <w:jc w:val="right"/>
            </w:pPr>
            <w:r/>
            <w:r>
              <w:rPr>
                <w:b/>
                <w:color w:val="FFFFFF"/>
                <w:sz w:val="18"/>
              </w:rPr>
              <w:t>Combined</w:t>
            </w:r>
          </w:p>
        </w:tc>
        <w:tc>
          <w:tcPr>
            <w:tcW w:type="dxa" w:w="1191"/>
            <w:shd w:val="clear" w:color="auto" w:fill="17324D"/>
          </w:tcPr>
          <w:p>
            <w:pPr>
              <w:spacing w:after="0" w:line="240" w:lineRule="auto"/>
              <w:jc w:val="right"/>
            </w:pPr>
            <w:r/>
            <w:r>
              <w:rPr>
                <w:b/>
                <w:color w:val="FFFFFF"/>
                <w:sz w:val="18"/>
              </w:rPr>
              <w:t>Month of combined peak</w:t>
            </w:r>
          </w:p>
        </w:tc>
      </w:tr>
      <w:tr>
        <w:trPr>
          <w:cantSplit/>
        </w:trPr>
        <w:tc>
          <w:tcPr>
            <w:tcW w:type="dxa" w:w="4082"/>
          </w:tcPr>
          <w:p>
            <w:pPr>
              <w:spacing w:after="0" w:line="240" w:lineRule="auto"/>
            </w:pPr>
            <w:r/>
            <w:r>
              <w:rPr>
                <w:sz w:val="18"/>
              </w:rPr>
              <w:t>Base case</w:t>
            </w:r>
          </w:p>
        </w:tc>
        <w:tc>
          <w:tcPr>
            <w:tcW w:type="dxa" w:w="1361"/>
          </w:tcPr>
          <w:p>
            <w:pPr>
              <w:spacing w:after="0" w:line="240" w:lineRule="auto"/>
              <w:jc w:val="right"/>
            </w:pPr>
            <w:r/>
            <w:r>
              <w:rPr>
                <w:sz w:val="18"/>
              </w:rPr>
              <w:t>102</w:t>
            </w:r>
          </w:p>
        </w:tc>
        <w:tc>
          <w:tcPr>
            <w:tcW w:type="dxa" w:w="1361"/>
          </w:tcPr>
          <w:p>
            <w:pPr>
              <w:spacing w:after="0" w:line="240" w:lineRule="auto"/>
              <w:jc w:val="right"/>
            </w:pPr>
            <w:r/>
            <w:r>
              <w:rPr>
                <w:sz w:val="18"/>
              </w:rPr>
              <w:t>102</w:t>
            </w:r>
          </w:p>
        </w:tc>
        <w:tc>
          <w:tcPr>
            <w:tcW w:type="dxa" w:w="1247"/>
          </w:tcPr>
          <w:p>
            <w:pPr>
              <w:spacing w:after="0" w:line="240" w:lineRule="auto"/>
              <w:jc w:val="right"/>
            </w:pPr>
            <w:r/>
            <w:r>
              <w:rPr>
                <w:sz w:val="18"/>
              </w:rPr>
              <w:t>168</w:t>
            </w:r>
          </w:p>
        </w:tc>
        <w:tc>
          <w:tcPr>
            <w:tcW w:type="dxa" w:w="1191"/>
          </w:tcPr>
          <w:p>
            <w:pPr>
              <w:spacing w:after="0" w:line="240" w:lineRule="auto"/>
              <w:jc w:val="right"/>
            </w:pPr>
            <w:r/>
            <w:r>
              <w:rPr>
                <w:sz w:val="18"/>
              </w:rPr>
              <w:t>15</w:t>
            </w:r>
          </w:p>
        </w:tc>
      </w:tr>
      <w:tr>
        <w:trPr>
          <w:cantSplit/>
        </w:trPr>
        <w:tc>
          <w:tcPr>
            <w:tcW w:type="dxa" w:w="4082"/>
            <w:shd w:val="clear" w:color="auto" w:fill="F2F4F7"/>
          </w:tcPr>
          <w:p>
            <w:pPr>
              <w:spacing w:after="0" w:line="240" w:lineRule="auto"/>
            </w:pPr>
            <w:r/>
            <w:r>
              <w:rPr>
                <w:sz w:val="18"/>
              </w:rPr>
              <w:t>Downside: sales +12 months, prices -10%</w:t>
            </w:r>
          </w:p>
        </w:tc>
        <w:tc>
          <w:tcPr>
            <w:tcW w:type="dxa" w:w="1361"/>
            <w:shd w:val="clear" w:color="auto" w:fill="F2F4F7"/>
          </w:tcPr>
          <w:p>
            <w:pPr>
              <w:spacing w:after="0" w:line="240" w:lineRule="auto"/>
              <w:jc w:val="right"/>
            </w:pPr>
            <w:r/>
            <w:r>
              <w:rPr>
                <w:sz w:val="18"/>
              </w:rPr>
              <w:t>849</w:t>
            </w:r>
          </w:p>
        </w:tc>
        <w:tc>
          <w:tcPr>
            <w:tcW w:type="dxa" w:w="1361"/>
            <w:shd w:val="clear" w:color="auto" w:fill="F2F4F7"/>
          </w:tcPr>
          <w:p>
            <w:pPr>
              <w:spacing w:after="0" w:line="240" w:lineRule="auto"/>
              <w:jc w:val="right"/>
            </w:pPr>
            <w:r/>
            <w:r>
              <w:rPr>
                <w:sz w:val="18"/>
              </w:rPr>
              <w:t>441</w:t>
            </w:r>
          </w:p>
        </w:tc>
        <w:tc>
          <w:tcPr>
            <w:tcW w:type="dxa" w:w="1247"/>
            <w:shd w:val="clear" w:color="auto" w:fill="F2F4F7"/>
          </w:tcPr>
          <w:p>
            <w:pPr>
              <w:spacing w:after="0" w:line="240" w:lineRule="auto"/>
              <w:jc w:val="right"/>
            </w:pPr>
            <w:r/>
            <w:r>
              <w:rPr>
                <w:sz w:val="18"/>
              </w:rPr>
              <w:t>1,089</w:t>
            </w:r>
          </w:p>
        </w:tc>
        <w:tc>
          <w:tcPr>
            <w:tcW w:type="dxa" w:w="1191"/>
            <w:shd w:val="clear" w:color="auto" w:fill="F2F4F7"/>
          </w:tcPr>
          <w:p>
            <w:pPr>
              <w:spacing w:after="0" w:line="240" w:lineRule="auto"/>
              <w:jc w:val="right"/>
            </w:pPr>
            <w:r/>
            <w:r>
              <w:rPr>
                <w:sz w:val="18"/>
              </w:rPr>
              <w:t>54</w:t>
            </w:r>
          </w:p>
        </w:tc>
      </w:tr>
      <w:tr>
        <w:trPr>
          <w:cantSplit/>
        </w:trPr>
        <w:tc>
          <w:tcPr>
            <w:tcW w:type="dxa" w:w="4082"/>
          </w:tcPr>
          <w:p>
            <w:pPr>
              <w:spacing w:after="0" w:line="240" w:lineRule="auto"/>
            </w:pPr>
            <w:r/>
            <w:r>
              <w:rPr>
                <w:sz w:val="18"/>
              </w:rPr>
              <w:t>Upside: prices +10%</w:t>
            </w:r>
          </w:p>
        </w:tc>
        <w:tc>
          <w:tcPr>
            <w:tcW w:type="dxa" w:w="1361"/>
          </w:tcPr>
          <w:p>
            <w:pPr>
              <w:spacing w:after="0" w:line="240" w:lineRule="auto"/>
              <w:jc w:val="right"/>
            </w:pPr>
            <w:r/>
            <w:r>
              <w:rPr>
                <w:sz w:val="18"/>
              </w:rPr>
              <w:t>88</w:t>
            </w:r>
          </w:p>
        </w:tc>
        <w:tc>
          <w:tcPr>
            <w:tcW w:type="dxa" w:w="1361"/>
          </w:tcPr>
          <w:p>
            <w:pPr>
              <w:spacing w:after="0" w:line="240" w:lineRule="auto"/>
              <w:jc w:val="right"/>
            </w:pPr>
            <w:r/>
            <w:r>
              <w:rPr>
                <w:sz w:val="18"/>
              </w:rPr>
              <w:t>102</w:t>
            </w:r>
          </w:p>
        </w:tc>
        <w:tc>
          <w:tcPr>
            <w:tcW w:type="dxa" w:w="1247"/>
          </w:tcPr>
          <w:p>
            <w:pPr>
              <w:spacing w:after="0" w:line="240" w:lineRule="auto"/>
              <w:jc w:val="right"/>
            </w:pPr>
            <w:r/>
            <w:r>
              <w:rPr>
                <w:sz w:val="18"/>
              </w:rPr>
              <w:t>160</w:t>
            </w:r>
          </w:p>
        </w:tc>
        <w:tc>
          <w:tcPr>
            <w:tcW w:type="dxa" w:w="1191"/>
          </w:tcPr>
          <w:p>
            <w:pPr>
              <w:spacing w:after="0" w:line="240" w:lineRule="auto"/>
              <w:jc w:val="right"/>
            </w:pPr>
            <w:r/>
            <w:r>
              <w:rPr>
                <w:sz w:val="18"/>
              </w:rPr>
              <w:t>12</w:t>
            </w:r>
          </w:p>
        </w:tc>
      </w:tr>
      <w:tr>
        <w:trPr>
          <w:cantSplit/>
        </w:trPr>
        <w:tc>
          <w:tcPr>
            <w:tcW w:type="dxa" w:w="4082"/>
            <w:shd w:val="clear" w:color="auto" w:fill="F2F4F7"/>
          </w:tcPr>
          <w:p>
            <w:pPr>
              <w:spacing w:after="0" w:line="240" w:lineRule="auto"/>
            </w:pPr>
            <w:r/>
            <w:r>
              <w:rPr>
                <w:sz w:val="18"/>
              </w:rPr>
              <w:t>Construction cost +10%</w:t>
            </w:r>
          </w:p>
        </w:tc>
        <w:tc>
          <w:tcPr>
            <w:tcW w:type="dxa" w:w="1361"/>
            <w:shd w:val="clear" w:color="auto" w:fill="F2F4F7"/>
          </w:tcPr>
          <w:p>
            <w:pPr>
              <w:spacing w:after="0" w:line="240" w:lineRule="auto"/>
              <w:jc w:val="right"/>
            </w:pPr>
            <w:r/>
            <w:r>
              <w:rPr>
                <w:sz w:val="18"/>
              </w:rPr>
              <w:t>117</w:t>
            </w:r>
          </w:p>
        </w:tc>
        <w:tc>
          <w:tcPr>
            <w:tcW w:type="dxa" w:w="1361"/>
            <w:shd w:val="clear" w:color="auto" w:fill="F2F4F7"/>
          </w:tcPr>
          <w:p>
            <w:pPr>
              <w:spacing w:after="0" w:line="240" w:lineRule="auto"/>
              <w:jc w:val="right"/>
            </w:pPr>
            <w:r/>
            <w:r>
              <w:rPr>
                <w:sz w:val="18"/>
              </w:rPr>
              <w:t>102</w:t>
            </w:r>
          </w:p>
        </w:tc>
        <w:tc>
          <w:tcPr>
            <w:tcW w:type="dxa" w:w="1247"/>
            <w:shd w:val="clear" w:color="auto" w:fill="F2F4F7"/>
          </w:tcPr>
          <w:p>
            <w:pPr>
              <w:spacing w:after="0" w:line="240" w:lineRule="auto"/>
              <w:jc w:val="right"/>
            </w:pPr>
            <w:r/>
            <w:r>
              <w:rPr>
                <w:sz w:val="18"/>
              </w:rPr>
              <w:t>193</w:t>
            </w:r>
          </w:p>
        </w:tc>
        <w:tc>
          <w:tcPr>
            <w:tcW w:type="dxa" w:w="1191"/>
            <w:shd w:val="clear" w:color="auto" w:fill="F2F4F7"/>
          </w:tcPr>
          <w:p>
            <w:pPr>
              <w:spacing w:after="0" w:line="240" w:lineRule="auto"/>
              <w:jc w:val="right"/>
            </w:pPr>
            <w:r/>
            <w:r>
              <w:rPr>
                <w:sz w:val="18"/>
              </w:rPr>
              <w:t>27</w:t>
            </w:r>
          </w:p>
        </w:tc>
      </w:tr>
      <w:tr>
        <w:trPr>
          <w:cantSplit/>
        </w:trPr>
        <w:tc>
          <w:tcPr>
            <w:tcW w:type="dxa" w:w="4082"/>
          </w:tcPr>
          <w:p>
            <w:pPr>
              <w:spacing w:after="0" w:line="240" w:lineRule="auto"/>
            </w:pPr>
            <w:r/>
            <w:r>
              <w:rPr>
                <w:sz w:val="18"/>
              </w:rPr>
              <w:t>Collections slip 2 quarters</w:t>
            </w:r>
          </w:p>
        </w:tc>
        <w:tc>
          <w:tcPr>
            <w:tcW w:type="dxa" w:w="1361"/>
          </w:tcPr>
          <w:p>
            <w:pPr>
              <w:spacing w:after="0" w:line="240" w:lineRule="auto"/>
              <w:jc w:val="right"/>
            </w:pPr>
            <w:r/>
            <w:r>
              <w:rPr>
                <w:sz w:val="18"/>
              </w:rPr>
              <w:t>381</w:t>
            </w:r>
          </w:p>
        </w:tc>
        <w:tc>
          <w:tcPr>
            <w:tcW w:type="dxa" w:w="1361"/>
          </w:tcPr>
          <w:p>
            <w:pPr>
              <w:spacing w:after="0" w:line="240" w:lineRule="auto"/>
              <w:jc w:val="right"/>
            </w:pPr>
            <w:r/>
            <w:r>
              <w:rPr>
                <w:sz w:val="18"/>
              </w:rPr>
              <w:t>236</w:t>
            </w:r>
          </w:p>
        </w:tc>
        <w:tc>
          <w:tcPr>
            <w:tcW w:type="dxa" w:w="1247"/>
          </w:tcPr>
          <w:p>
            <w:pPr>
              <w:spacing w:after="0" w:line="240" w:lineRule="auto"/>
              <w:jc w:val="right"/>
            </w:pPr>
            <w:r/>
            <w:r>
              <w:rPr>
                <w:sz w:val="18"/>
              </w:rPr>
              <w:t>478</w:t>
            </w:r>
          </w:p>
        </w:tc>
        <w:tc>
          <w:tcPr>
            <w:tcW w:type="dxa" w:w="1191"/>
          </w:tcPr>
          <w:p>
            <w:pPr>
              <w:spacing w:after="0" w:line="240" w:lineRule="auto"/>
              <w:jc w:val="right"/>
            </w:pPr>
            <w:r/>
            <w:r>
              <w:rPr>
                <w:sz w:val="18"/>
              </w:rPr>
              <w:t>30</w:t>
            </w:r>
          </w:p>
        </w:tc>
      </w:tr>
      <w:tr>
        <w:trPr>
          <w:cantSplit/>
        </w:trPr>
        <w:tc>
          <w:tcPr>
            <w:tcW w:type="dxa" w:w="4082"/>
            <w:shd w:val="clear" w:color="auto" w:fill="F2F4F7"/>
          </w:tcPr>
          <w:p>
            <w:pPr>
              <w:spacing w:after="0" w:line="240" w:lineRule="auto"/>
            </w:pPr>
            <w:r/>
            <w:r>
              <w:rPr>
                <w:sz w:val="18"/>
              </w:rPr>
              <w:t>Delivery payments at handover</w:t>
            </w:r>
          </w:p>
        </w:tc>
        <w:tc>
          <w:tcPr>
            <w:tcW w:type="dxa" w:w="1361"/>
            <w:shd w:val="clear" w:color="auto" w:fill="F2F4F7"/>
          </w:tcPr>
          <w:p>
            <w:pPr>
              <w:spacing w:after="0" w:line="240" w:lineRule="auto"/>
              <w:jc w:val="right"/>
            </w:pPr>
            <w:r/>
            <w:r>
              <w:rPr>
                <w:sz w:val="18"/>
              </w:rPr>
              <w:t>244</w:t>
            </w:r>
          </w:p>
        </w:tc>
        <w:tc>
          <w:tcPr>
            <w:tcW w:type="dxa" w:w="1361"/>
            <w:shd w:val="clear" w:color="auto" w:fill="F2F4F7"/>
          </w:tcPr>
          <w:p>
            <w:pPr>
              <w:spacing w:after="0" w:line="240" w:lineRule="auto"/>
              <w:jc w:val="right"/>
            </w:pPr>
            <w:r/>
            <w:r>
              <w:rPr>
                <w:sz w:val="18"/>
              </w:rPr>
              <w:t>269</w:t>
            </w:r>
          </w:p>
        </w:tc>
        <w:tc>
          <w:tcPr>
            <w:tcW w:type="dxa" w:w="1247"/>
            <w:shd w:val="clear" w:color="auto" w:fill="F2F4F7"/>
          </w:tcPr>
          <w:p>
            <w:pPr>
              <w:spacing w:after="0" w:line="240" w:lineRule="auto"/>
              <w:jc w:val="right"/>
            </w:pPr>
            <w:r/>
            <w:r>
              <w:rPr>
                <w:sz w:val="18"/>
              </w:rPr>
              <w:t>318</w:t>
            </w:r>
          </w:p>
        </w:tc>
        <w:tc>
          <w:tcPr>
            <w:tcW w:type="dxa" w:w="1191"/>
            <w:shd w:val="clear" w:color="auto" w:fill="F2F4F7"/>
          </w:tcPr>
          <w:p>
            <w:pPr>
              <w:spacing w:after="0" w:line="240" w:lineRule="auto"/>
              <w:jc w:val="right"/>
            </w:pPr>
            <w:r/>
            <w:r>
              <w:rPr>
                <w:sz w:val="18"/>
              </w:rPr>
              <w:t>45</w:t>
            </w:r>
          </w:p>
        </w:tc>
      </w:tr>
      <w:tr>
        <w:trPr>
          <w:cantSplit/>
        </w:trPr>
        <w:tc>
          <w:tcPr>
            <w:tcW w:type="dxa" w:w="4082"/>
          </w:tcPr>
          <w:p>
            <w:pPr>
              <w:spacing w:after="0" w:line="240" w:lineRule="auto"/>
            </w:pPr>
            <w:r/>
            <w:r>
              <w:rPr>
                <w:sz w:val="18"/>
              </w:rPr>
              <w:t>Handover payments and downside combined</w:t>
            </w:r>
          </w:p>
        </w:tc>
        <w:tc>
          <w:tcPr>
            <w:tcW w:type="dxa" w:w="1361"/>
          </w:tcPr>
          <w:p>
            <w:pPr>
              <w:spacing w:after="0" w:line="240" w:lineRule="auto"/>
              <w:jc w:val="right"/>
            </w:pPr>
            <w:r/>
            <w:r>
              <w:rPr>
                <w:sz w:val="18"/>
              </w:rPr>
              <w:t>849</w:t>
            </w:r>
          </w:p>
        </w:tc>
        <w:tc>
          <w:tcPr>
            <w:tcW w:type="dxa" w:w="1361"/>
          </w:tcPr>
          <w:p>
            <w:pPr>
              <w:spacing w:after="0" w:line="240" w:lineRule="auto"/>
              <w:jc w:val="right"/>
            </w:pPr>
            <w:r/>
            <w:r>
              <w:rPr>
                <w:sz w:val="18"/>
              </w:rPr>
              <w:t>729</w:t>
            </w:r>
          </w:p>
        </w:tc>
        <w:tc>
          <w:tcPr>
            <w:tcW w:type="dxa" w:w="1247"/>
          </w:tcPr>
          <w:p>
            <w:pPr>
              <w:spacing w:after="0" w:line="240" w:lineRule="auto"/>
              <w:jc w:val="right"/>
            </w:pPr>
            <w:r/>
            <w:r>
              <w:rPr>
                <w:sz w:val="18"/>
              </w:rPr>
              <w:t>1,531</w:t>
            </w:r>
          </w:p>
        </w:tc>
        <w:tc>
          <w:tcPr>
            <w:tcW w:type="dxa" w:w="1191"/>
          </w:tcPr>
          <w:p>
            <w:pPr>
              <w:spacing w:after="0" w:line="240" w:lineRule="auto"/>
              <w:jc w:val="right"/>
            </w:pPr>
            <w:r/>
            <w:r>
              <w:rPr>
                <w:sz w:val="18"/>
              </w:rPr>
              <w:t>54</w:t>
            </w:r>
          </w:p>
        </w:tc>
      </w:tr>
    </w:tbl>
    <w:p>
      <w:pPr>
        <w:spacing w:after="80"/>
      </w:pPr>
    </w:p>
    <w:p>
      <w:r>
        <w:rPr>
          <w:b w:val="0"/>
          <w:i w:val="0"/>
        </w:rPr>
        <w:t>In the base case the combined position is lowest at EGP 168.0 million in month 15 and is positive from month 30. At the month 54 peak of L'avenir's own downside, Green Square's base-case cumulative position is EGP 135 million.</w:t>
      </w:r>
    </w:p>
    <w:p>
      <w:r>
        <w:rPr>
          <w:b w:val="0"/>
          <w:i w:val="0"/>
        </w:rPr>
        <w:t>The stress cases matter more than the base case. When sales slip or delivery payments arrive late, both projects are short at the same time, and the combined need is the sum of the two, not the offset of one against the other. Jalour's ability to cover gaps therefore rests mainly on its cash reserves and on its other projects' cash outside these two, which are not shown here. Showing the two projects together does not create any cross-collateral or cross-default; the investor's claim is on this project's company only.</w:t>
      </w:r>
    </w:p>
    <w:p>
      <w:pPr>
        <w:pStyle w:val="Heading1"/>
        <w:pageBreakBefore/>
      </w:pPr>
      <w:r>
        <w:t>12. Investment terms</w:t>
      </w:r>
    </w:p>
    <w:p>
      <w:pPr>
        <w:pStyle w:val="Heading2"/>
      </w:pPr>
      <w:r>
        <w:t>12.1 Option A: units</w:t>
      </w:r>
    </w:p>
    <w:p>
      <w:pPr>
        <w:keepNext/>
        <w:spacing w:after="60"/>
      </w:pPr>
      <w:r>
        <w:rPr>
          <w:b/>
          <w:color w:val="17324D"/>
          <w:sz w:val="19"/>
        </w:rPr>
        <w:t>Table 19: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15 and 18), EGP 725 million at list; the investor receives 34.5%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77.2 million (309 m2) and offices EGP 172.8 million (1,080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370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88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54; resale over four quarters from month 57;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20: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288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23.96 million in months 39 to 72</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21: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23.96</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47.92</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119.79</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167.71</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63</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215.62</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66</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239.58</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69</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263.54</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72</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287.50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12.</w:t>
      </w:r>
    </w:p>
    <w:p>
      <w:pPr>
        <w:pStyle w:val="Heading2"/>
      </w:pPr>
      <w:r>
        <w:t>13.1 Option A</w:t>
      </w:r>
    </w:p>
    <w:p>
      <w:pPr>
        <w:keepNext/>
        <w:spacing w:after="60"/>
      </w:pPr>
      <w:r>
        <w:rPr>
          <w:b/>
          <w:color w:val="17324D"/>
          <w:sz w:val="19"/>
        </w:rPr>
        <w:t>Table 22: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delivery list price before the investor loses money on the ticket. The base case relies on list prices rising by 44% (retail) and 50% (offices); with no appreciation the units return 1.94x.</w:t>
      </w:r>
    </w:p>
    <w:p>
      <w:pPr>
        <w:keepNext/>
        <w:spacing w:after="60"/>
      </w:pPr>
      <w:r>
        <w:rPr>
          <w:b/>
          <w:color w:val="17324D"/>
          <w:sz w:val="19"/>
        </w:rPr>
        <w:t>Table 23: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35% of those tranches' collections. Jalour receives the ticket at funding and forgoes those collections (the units' face value of EGP 250 million at list) as they would have been received, partly offset by commission saved. The landlord share is unchanged. On this basis Jalour's cost of capital is 22.6%; the NPV effect at 14% is EGP -26.0 million and the project NPV after the deal is EGP 282 million (before: 308). Peak cumulative shortage before the ticket rises to EGP 146.6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4" name="Picture 4"/>
            <wp:cNvGraphicFramePr>
              <a:graphicFrameLocks noChangeAspect="1"/>
            </wp:cNvGraphicFramePr>
            <a:graphic>
              <a:graphicData uri="http://schemas.openxmlformats.org/drawingml/2006/picture">
                <pic:pic>
                  <pic:nvPicPr>
                    <pic:cNvPr id="0" name="fig_inv.png"/>
                    <pic:cNvPicPr/>
                  </pic:nvPicPr>
                  <pic:blipFill>
                    <a:blip r:embed="rId14"/>
                    <a:stretch>
                      <a:fillRect/>
                    </a:stretch>
                  </pic:blipFill>
                  <pic:spPr>
                    <a:xfrm>
                      <a:off x="0" y="0"/>
                      <a:ext cx="5580000" cy="2635000"/>
                    </a:xfrm>
                    <a:prstGeom prst="rect"/>
                  </pic:spPr>
                </pic:pic>
              </a:graphicData>
            </a:graphic>
          </wp:inline>
        </w:drawing>
      </w:r>
    </w:p>
    <w:p>
      <w:pPr>
        <w:jc w:val="center"/>
      </w:pPr>
      <w:r>
        <w:rPr>
          <w:b/>
          <w:color w:val="17324D"/>
          <w:sz w:val="18"/>
        </w:rPr>
        <w:t xml:space="preserve">Figure 4: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24: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0</w:t>
            </w:r>
          </w:p>
        </w:tc>
        <w:tc>
          <w:tcPr>
            <w:tcW w:type="dxa" w:w="1474"/>
            <w:shd w:val="clear" w:color="auto" w:fill="F2F4F7"/>
          </w:tcPr>
          <w:p>
            <w:pPr>
              <w:spacing w:after="0" w:line="240" w:lineRule="auto"/>
              <w:jc w:val="right"/>
            </w:pPr>
            <w:r/>
            <w:r>
              <w:rPr>
                <w:sz w:val="19"/>
              </w:rPr>
              <w:t>-867</w:t>
            </w:r>
          </w:p>
        </w:tc>
        <w:tc>
          <w:tcPr>
            <w:tcW w:type="dxa" w:w="1474"/>
            <w:shd w:val="clear" w:color="auto" w:fill="F2F4F7"/>
          </w:tcPr>
          <w:p>
            <w:pPr>
              <w:spacing w:after="0" w:line="240" w:lineRule="auto"/>
              <w:jc w:val="right"/>
            </w:pPr>
            <w:r/>
            <w:r>
              <w:rPr>
                <w:sz w:val="19"/>
              </w:rPr>
              <w:t>0</w:t>
            </w:r>
          </w:p>
        </w:tc>
        <w:tc>
          <w:tcPr>
            <w:tcW w:type="dxa" w:w="1474"/>
            <w:shd w:val="clear" w:color="auto" w:fill="F2F4F7"/>
          </w:tcPr>
          <w:p>
            <w:pPr>
              <w:spacing w:after="0" w:line="240" w:lineRule="auto"/>
              <w:jc w:val="right"/>
            </w:pPr>
            <w:r/>
            <w:r>
              <w:rPr>
                <w:sz w:val="19"/>
              </w:rPr>
              <w:t>-239</w:t>
            </w:r>
          </w:p>
        </w:tc>
      </w:tr>
    </w:tbl>
    <w:p>
      <w:pPr>
        <w:spacing w:after="80"/>
      </w:pPr>
    </w:p>
    <w:p>
      <w:r>
        <w:rPr>
          <w:b w:val="0"/>
          <w:i w:val="0"/>
        </w:rPr>
        <w:t>In the base case the lowest pooled cash of EGP 0.0 million arises in month 3,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25: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1.9x</w:t>
            </w:r>
          </w:p>
        </w:tc>
        <w:tc>
          <w:tcPr>
            <w:tcW w:type="dxa" w:w="2041"/>
          </w:tcPr>
          <w:p>
            <w:pPr>
              <w:spacing w:after="0" w:line="240" w:lineRule="auto"/>
              <w:jc w:val="right"/>
            </w:pPr>
            <w:r/>
            <w:r>
              <w:rPr>
                <w:sz w:val="18"/>
              </w:rPr>
              <w:t>3.8x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2.3x</w:t>
            </w:r>
          </w:p>
        </w:tc>
        <w:tc>
          <w:tcPr>
            <w:tcW w:type="dxa" w:w="2041"/>
            <w:shd w:val="clear" w:color="auto" w:fill="F2F4F7"/>
          </w:tcPr>
          <w:p>
            <w:pPr>
              <w:spacing w:after="0" w:line="240" w:lineRule="auto"/>
              <w:jc w:val="right"/>
            </w:pPr>
            <w:r/>
            <w:r>
              <w:rPr>
                <w:sz w:val="18"/>
              </w:rPr>
              <w:t>5.1x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20.1x</w:t>
            </w:r>
          </w:p>
        </w:tc>
        <w:tc>
          <w:tcPr>
            <w:tcW w:type="dxa" w:w="2041"/>
          </w:tcPr>
          <w:p>
            <w:pPr>
              <w:spacing w:after="0" w:line="240" w:lineRule="auto"/>
              <w:jc w:val="right"/>
            </w:pPr>
            <w:r/>
            <w:r>
              <w:rPr>
                <w:sz w:val="18"/>
              </w:rPr>
              <w:t>24.2x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-1.3x</w:t>
            </w:r>
          </w:p>
        </w:tc>
        <w:tc>
          <w:tcPr>
            <w:tcW w:type="dxa" w:w="2041"/>
            <w:shd w:val="clear" w:color="auto" w:fill="F2F4F7"/>
          </w:tcPr>
          <w:p>
            <w:pPr>
              <w:spacing w:after="0" w:line="240" w:lineRule="auto"/>
              <w:jc w:val="right"/>
            </w:pPr>
            <w:r/>
            <w:r>
              <w:rPr>
                <w:sz w:val="18"/>
              </w:rPr>
              <w:t>22.0x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-5.4x</w:t>
            </w:r>
          </w:p>
        </w:tc>
        <w:tc>
          <w:tcPr>
            <w:tcW w:type="dxa" w:w="2041"/>
          </w:tcPr>
          <w:p>
            <w:pPr>
              <w:spacing w:after="0" w:line="240" w:lineRule="auto"/>
              <w:jc w:val="right"/>
            </w:pPr>
            <w:r/>
            <w:r>
              <w:rPr>
                <w:sz w:val="18"/>
              </w:rPr>
              <w:t>15.6x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-4.1x</w:t>
            </w:r>
          </w:p>
        </w:tc>
        <w:tc>
          <w:tcPr>
            <w:tcW w:type="dxa" w:w="2041"/>
            <w:shd w:val="clear" w:color="auto" w:fill="F2F4F7"/>
          </w:tcPr>
          <w:p>
            <w:pPr>
              <w:spacing w:after="0" w:line="240" w:lineRule="auto"/>
              <w:jc w:val="right"/>
            </w:pPr>
            <w:r/>
            <w:r>
              <w:rPr>
                <w:sz w:val="18"/>
              </w:rPr>
              <w:t>10.5x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1.5x</w:t>
            </w:r>
          </w:p>
        </w:tc>
        <w:tc>
          <w:tcPr>
            <w:tcW w:type="dxa" w:w="2041"/>
          </w:tcPr>
          <w:p>
            <w:pPr>
              <w:spacing w:after="0" w:line="240" w:lineRule="auto"/>
              <w:jc w:val="right"/>
            </w:pPr>
            <w:r/>
            <w:r>
              <w:rPr>
                <w:sz w:val="18"/>
              </w:rPr>
              <w:t>11.0x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1.5x</w:t>
            </w:r>
          </w:p>
        </w:tc>
        <w:tc>
          <w:tcPr>
            <w:tcW w:type="dxa" w:w="2041"/>
            <w:shd w:val="clear" w:color="auto" w:fill="F2F4F7"/>
          </w:tcPr>
          <w:p>
            <w:pPr>
              <w:spacing w:after="0" w:line="240" w:lineRule="auto"/>
              <w:jc w:val="right"/>
            </w:pPr>
            <w:r/>
            <w:r>
              <w:rPr>
                <w:sz w:val="18"/>
              </w:rPr>
              <w:t>11.5x</w:t>
            </w:r>
          </w:p>
        </w:tc>
      </w:tr>
      <w:tr>
        <w:trPr>
          <w:cantSplit/>
        </w:trPr>
        <w:tc>
          <w:tcPr>
            <w:tcW w:type="dxa" w:w="1134"/>
          </w:tcPr>
          <w:p>
            <w:pPr>
              <w:spacing w:after="0" w:line="240" w:lineRule="auto"/>
            </w:pPr>
            <w:r/>
            <w:r>
              <w:rPr>
                <w:sz w:val="18"/>
              </w:rPr>
              <w:t>63</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2.3x</w:t>
            </w:r>
          </w:p>
        </w:tc>
        <w:tc>
          <w:tcPr>
            <w:tcW w:type="dxa" w:w="2041"/>
          </w:tcPr>
          <w:p>
            <w:pPr>
              <w:spacing w:after="0" w:line="240" w:lineRule="auto"/>
              <w:jc w:val="right"/>
            </w:pPr>
            <w:r/>
            <w:r>
              <w:rPr>
                <w:sz w:val="18"/>
              </w:rPr>
              <w:t>12.8x</w:t>
            </w:r>
          </w:p>
        </w:tc>
      </w:tr>
      <w:tr>
        <w:trPr>
          <w:cantSplit/>
        </w:trPr>
        <w:tc>
          <w:tcPr>
            <w:tcW w:type="dxa" w:w="1134"/>
            <w:shd w:val="clear" w:color="auto" w:fill="F2F4F7"/>
          </w:tcPr>
          <w:p>
            <w:pPr>
              <w:spacing w:after="0" w:line="240" w:lineRule="auto"/>
            </w:pPr>
            <w:r/>
            <w:r>
              <w:rPr>
                <w:sz w:val="18"/>
              </w:rPr>
              <w:t>66</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2.0x</w:t>
            </w:r>
          </w:p>
        </w:tc>
        <w:tc>
          <w:tcPr>
            <w:tcW w:type="dxa" w:w="2041"/>
            <w:shd w:val="clear" w:color="auto" w:fill="F2F4F7"/>
          </w:tcPr>
          <w:p>
            <w:pPr>
              <w:spacing w:after="0" w:line="240" w:lineRule="auto"/>
              <w:jc w:val="right"/>
            </w:pPr>
            <w:r/>
            <w:r>
              <w:rPr>
                <w:sz w:val="18"/>
              </w:rPr>
              <w:t>13.7x</w:t>
            </w:r>
          </w:p>
        </w:tc>
      </w:tr>
      <w:tr>
        <w:trPr>
          <w:cantSplit/>
        </w:trPr>
        <w:tc>
          <w:tcPr>
            <w:tcW w:type="dxa" w:w="1134"/>
          </w:tcPr>
          <w:p>
            <w:pPr>
              <w:spacing w:after="0" w:line="240" w:lineRule="auto"/>
            </w:pPr>
            <w:r/>
            <w:r>
              <w:rPr>
                <w:sz w:val="18"/>
              </w:rPr>
              <w:t>69</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1.6x</w:t>
            </w:r>
          </w:p>
        </w:tc>
        <w:tc>
          <w:tcPr>
            <w:tcW w:type="dxa" w:w="2041"/>
          </w:tcPr>
          <w:p>
            <w:pPr>
              <w:spacing w:after="0" w:line="240" w:lineRule="auto"/>
              <w:jc w:val="right"/>
            </w:pPr>
            <w:r/>
            <w:r>
              <w:rPr>
                <w:sz w:val="18"/>
              </w:rPr>
              <w:t>14.4x</w:t>
            </w:r>
          </w:p>
        </w:tc>
      </w:tr>
      <w:tr>
        <w:trPr>
          <w:cantSplit/>
        </w:trPr>
        <w:tc>
          <w:tcPr>
            <w:tcW w:type="dxa" w:w="1134"/>
            <w:shd w:val="clear" w:color="auto" w:fill="F2F4F7"/>
          </w:tcPr>
          <w:p>
            <w:pPr>
              <w:spacing w:after="0" w:line="240" w:lineRule="auto"/>
            </w:pPr>
            <w:r/>
            <w:r>
              <w:rPr>
                <w:sz w:val="18"/>
              </w:rPr>
              <w:t>72</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1.2x</w:t>
            </w:r>
          </w:p>
        </w:tc>
        <w:tc>
          <w:tcPr>
            <w:tcW w:type="dxa" w:w="2041"/>
            <w:shd w:val="clear" w:color="auto" w:fill="F2F4F7"/>
          </w:tcPr>
          <w:p>
            <w:pPr>
              <w:spacing w:after="0" w:line="240" w:lineRule="auto"/>
              <w:jc w:val="right"/>
            </w:pPr>
            <w:r/>
            <w:r>
              <w:rPr>
                <w:sz w:val="18"/>
              </w:rPr>
              <w:t>14.6x</w:t>
            </w:r>
          </w:p>
        </w:tc>
      </w:tr>
    </w:tbl>
    <w:p>
      <w:pPr>
        <w:spacing w:after="80"/>
      </w:pPr>
    </w:p>
    <w:p>
      <w:r>
        <w:rPr>
          <w:b w:val="0"/>
          <w:i w:val="0"/>
        </w:rPr>
        <w:t>Coverage on net cash flow alone is below the 1.5x threshold in 5 of 12 quarters, because instalments fall in the construction peak and in the quarters after handover when collections are thin. "Cash available" adds pooled project cash, including the ticket and earlier collections, and is at least 3.8x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26: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5 of 12</w:t>
            </w:r>
          </w:p>
        </w:tc>
        <w:tc>
          <w:tcPr>
            <w:tcW w:type="dxa" w:w="1587"/>
          </w:tcPr>
          <w:p>
            <w:pPr>
              <w:spacing w:after="0" w:line="240" w:lineRule="auto"/>
              <w:jc w:val="right"/>
            </w:pPr>
            <w:r/>
            <w:r>
              <w:rPr>
                <w:sz w:val="18"/>
              </w:rPr>
              <w:t>-867</w:t>
            </w:r>
          </w:p>
        </w:tc>
        <w:tc>
          <w:tcPr>
            <w:tcW w:type="dxa" w:w="1020"/>
          </w:tcPr>
          <w:p>
            <w:pPr>
              <w:spacing w:after="0" w:line="240" w:lineRule="auto"/>
              <w:jc w:val="right"/>
            </w:pPr>
            <w:r/>
            <w:r>
              <w:rPr>
                <w:sz w:val="18"/>
              </w:rPr>
              <w:t>72</w:t>
            </w:r>
          </w:p>
        </w:tc>
      </w:tr>
      <w:tr>
        <w:trPr>
          <w:cantSplit/>
        </w:trPr>
        <w:tc>
          <w:tcPr>
            <w:tcW w:type="dxa" w:w="3515"/>
            <w:shd w:val="clear" w:color="auto" w:fill="F2F4F7"/>
          </w:tcPr>
          <w:p>
            <w:pPr>
              <w:spacing w:after="0" w:line="240" w:lineRule="auto"/>
            </w:pPr>
            <w:r/>
            <w:r>
              <w:rPr>
                <w:sz w:val="18"/>
              </w:rPr>
              <w:t>S2 24.6%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-851</w:t>
            </w:r>
          </w:p>
        </w:tc>
        <w:tc>
          <w:tcPr>
            <w:tcW w:type="dxa" w:w="1020"/>
            <w:shd w:val="clear" w:color="auto" w:fill="F2F4F7"/>
          </w:tcPr>
          <w:p>
            <w:pPr>
              <w:spacing w:after="0" w:line="240" w:lineRule="auto"/>
              <w:jc w:val="right"/>
            </w:pPr>
            <w:r/>
            <w:r>
              <w:rPr>
                <w:sz w:val="18"/>
              </w:rPr>
              <w:t>75</w:t>
            </w:r>
          </w:p>
        </w:tc>
      </w:tr>
      <w:tr>
        <w:trPr>
          <w:cantSplit/>
        </w:trPr>
        <w:tc>
          <w:tcPr>
            <w:tcW w:type="dxa" w:w="3515"/>
          </w:tcPr>
          <w:p>
            <w:pPr>
              <w:spacing w:after="0" w:line="240" w:lineRule="auto"/>
            </w:pPr>
            <w:r/>
            <w:r>
              <w:rPr>
                <w:sz w:val="18"/>
              </w:rPr>
              <w:t>S3 Fixed 1.8x plus 3.6%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4 of 12</w:t>
            </w:r>
          </w:p>
        </w:tc>
        <w:tc>
          <w:tcPr>
            <w:tcW w:type="dxa" w:w="1587"/>
          </w:tcPr>
          <w:p>
            <w:pPr>
              <w:spacing w:after="0" w:line="240" w:lineRule="auto"/>
              <w:jc w:val="right"/>
            </w:pPr>
            <w:r/>
            <w:r>
              <w:rPr>
                <w:sz w:val="18"/>
              </w:rPr>
              <w:t>-855</w:t>
            </w:r>
          </w:p>
        </w:tc>
        <w:tc>
          <w:tcPr>
            <w:tcW w:type="dxa" w:w="1020"/>
          </w:tcPr>
          <w:p>
            <w:pPr>
              <w:spacing w:after="0" w:line="240" w:lineRule="auto"/>
              <w:jc w:val="right"/>
            </w:pPr>
            <w:r/>
            <w:r>
              <w:rPr>
                <w:sz w:val="18"/>
              </w:rPr>
              <w:t>72</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27: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308</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100</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204</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412</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516</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214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126</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43</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-34</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208</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209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117</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5" name="Picture 5"/>
            <wp:cNvGraphicFramePr>
              <a:graphicFrameLocks noChangeAspect="1"/>
            </wp:cNvGraphicFramePr>
            <a:graphic>
              <a:graphicData uri="http://schemas.openxmlformats.org/drawingml/2006/picture">
                <pic:pic>
                  <pic:nvPicPr>
                    <pic:cNvPr id="0" name="fig_sens.png"/>
                    <pic:cNvPicPr/>
                  </pic:nvPicPr>
                  <pic:blipFill>
                    <a:blip r:embed="rId15"/>
                    <a:stretch>
                      <a:fillRect/>
                    </a:stretch>
                  </pic:blipFill>
                  <pic:spPr>
                    <a:xfrm>
                      <a:off x="0" y="0"/>
                      <a:ext cx="5580000" cy="2557500"/>
                    </a:xfrm>
                    <a:prstGeom prst="rect"/>
                  </pic:spPr>
                </pic:pic>
              </a:graphicData>
            </a:graphic>
          </wp:inline>
        </w:drawing>
      </w:r>
    </w:p>
    <w:p>
      <w:pPr>
        <w:jc w:val="center"/>
      </w:pPr>
      <w:r>
        <w:rPr>
          <w:b/>
          <w:color w:val="17324D"/>
          <w:sz w:val="18"/>
        </w:rPr>
        <w:t xml:space="preserve">Figure 5: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28: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54; units can be registered and sold from handover. The base case assumes sale over four quarters from month 57.</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29: Early assignment of the contract at month 36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36</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54; for Option A, payback in the base case is month 60.</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126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50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19.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30: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31: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307.5</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0.0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32: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125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