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75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250,000 per m2, offices EGP 160,000 per m2), allocated from the first two sales tranches. At the model's delivery list prices the units are worth EGP 222 million. Projected investor IRR: 29.2% base, 20.4% downside, 32.3%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3 of 12 quarters. Pooled cash including the ticket covers every instalment at least 2.9x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54). Measured from launch it is +44% for retail and +50% for offices (48% weighted by the launch tranches), against the 40% to 60% range Jalour expects. Measured from today's office asking prices, the delivery list is +112%, or about 18% a year over 4.7 years if the model timeline starts in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13, construction starts in month 19 and runs 36 months to handover in month 54.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67%</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37.5</w:t>
            </w:r>
          </w:p>
        </w:tc>
        <w:tc>
          <w:tcPr>
            <w:tcW w:type="dxa" w:w="2098"/>
            <w:shd w:val="clear" w:color="auto" w:fill="F2F4F7"/>
          </w:tcPr>
          <w:p>
            <w:pPr>
              <w:spacing w:after="0" w:line="240" w:lineRule="auto"/>
              <w:jc w:val="right"/>
            </w:pPr>
            <w:r/>
            <w:r>
              <w:rPr>
                <w:sz w:val="19"/>
              </w:rPr>
              <w:t>33%</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74% of the modelled peak cumulative shortage of EGP 102.0 million (month 30).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20.7%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46.3 million (185 m2) and offices EGP 103.7 million (648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222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21%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22.6%; the NPV effect at 14% is EGP -15.6 million and the project NPV after the deal is EGP 292 million (before: 308). Peak cumulative shortage before the ticket rises to EGP 128.3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-27</w:t>
            </w:r>
          </w:p>
        </w:tc>
        <w:tc>
          <w:tcPr>
            <w:tcW w:type="dxa" w:w="1474"/>
            <w:shd w:val="clear" w:color="auto" w:fill="F2F4F7"/>
          </w:tcPr>
          <w:p>
            <w:pPr>
              <w:spacing w:after="0" w:line="240" w:lineRule="auto"/>
              <w:jc w:val="right"/>
            </w:pPr>
            <w:r/>
            <w:r>
              <w:rPr>
                <w:sz w:val="19"/>
              </w:rPr>
              <w:t>-860</w:t>
            </w:r>
          </w:p>
        </w:tc>
        <w:tc>
          <w:tcPr>
            <w:tcW w:type="dxa" w:w="1474"/>
            <w:shd w:val="clear" w:color="auto" w:fill="F2F4F7"/>
          </w:tcPr>
          <w:p>
            <w:pPr>
              <w:spacing w:after="0" w:line="240" w:lineRule="auto"/>
              <w:jc w:val="right"/>
            </w:pPr>
            <w:r/>
            <w:r>
              <w:rPr>
                <w:sz w:val="19"/>
              </w:rPr>
              <w:t>-13</w:t>
            </w:r>
          </w:p>
        </w:tc>
        <w:tc>
          <w:tcPr>
            <w:tcW w:type="dxa" w:w="1474"/>
            <w:shd w:val="clear" w:color="auto" w:fill="F2F4F7"/>
          </w:tcPr>
          <w:p>
            <w:pPr>
              <w:spacing w:after="0" w:line="240" w:lineRule="auto"/>
              <w:jc w:val="right"/>
            </w:pPr>
            <w:r/>
            <w:r>
              <w:rPr>
                <w:sz w:val="19"/>
              </w:rPr>
              <w:t>-241</w:t>
            </w:r>
          </w:p>
        </w:tc>
      </w:tr>
    </w:tbl>
    <w:p>
      <w:pPr>
        <w:spacing w:after="80"/>
      </w:pPr>
    </w:p>
    <w:p>
      <w:r>
        <w:rPr>
          <w:b w:val="0"/>
          <w:i w:val="0"/>
        </w:rPr>
        <w:t>In the base case the lowest pooled cash of EGP -27.0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3.1x</w:t>
            </w:r>
          </w:p>
        </w:tc>
        <w:tc>
          <w:tcPr>
            <w:tcW w:type="dxa" w:w="2041"/>
          </w:tcPr>
          <w:p>
            <w:pPr>
              <w:spacing w:after="0" w:line="240" w:lineRule="auto"/>
              <w:jc w:val="right"/>
            </w:pPr>
            <w:r/>
            <w:r>
              <w:rPr>
                <w:sz w:val="18"/>
              </w:rPr>
              <w:t>2.9x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3.8x</w:t>
            </w:r>
          </w:p>
        </w:tc>
        <w:tc>
          <w:tcPr>
            <w:tcW w:type="dxa" w:w="2041"/>
            <w:shd w:val="clear" w:color="auto" w:fill="F2F4F7"/>
          </w:tcPr>
          <w:p>
            <w:pPr>
              <w:spacing w:after="0" w:line="240" w:lineRule="auto"/>
              <w:jc w:val="right"/>
            </w:pPr>
            <w:r/>
            <w:r>
              <w:rPr>
                <w:sz w:val="18"/>
              </w:rPr>
              <w:t>5.8x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33.5x</w:t>
            </w:r>
          </w:p>
        </w:tc>
        <w:tc>
          <w:tcPr>
            <w:tcW w:type="dxa" w:w="2041"/>
          </w:tcPr>
          <w:p>
            <w:pPr>
              <w:spacing w:after="0" w:line="240" w:lineRule="auto"/>
              <w:jc w:val="right"/>
            </w:pPr>
            <w:r/>
            <w:r>
              <w:rPr>
                <w:sz w:val="18"/>
              </w:rPr>
              <w:t>38.2x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-2.1x</w:t>
            </w:r>
          </w:p>
        </w:tc>
        <w:tc>
          <w:tcPr>
            <w:tcW w:type="dxa" w:w="2041"/>
            <w:shd w:val="clear" w:color="auto" w:fill="F2F4F7"/>
          </w:tcPr>
          <w:p>
            <w:pPr>
              <w:spacing w:after="0" w:line="240" w:lineRule="auto"/>
              <w:jc w:val="right"/>
            </w:pPr>
            <w:r/>
            <w:r>
              <w:rPr>
                <w:sz w:val="18"/>
              </w:rPr>
              <w:t>35.2x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25.2x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-6.8x</w:t>
            </w:r>
          </w:p>
        </w:tc>
        <w:tc>
          <w:tcPr>
            <w:tcW w:type="dxa" w:w="2041"/>
            <w:shd w:val="clear" w:color="auto" w:fill="F2F4F7"/>
          </w:tcPr>
          <w:p>
            <w:pPr>
              <w:spacing w:after="0" w:line="240" w:lineRule="auto"/>
              <w:jc w:val="right"/>
            </w:pPr>
            <w:r/>
            <w:r>
              <w:rPr>
                <w:sz w:val="18"/>
              </w:rPr>
              <w:t>17.3x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2.6x</w:t>
            </w:r>
          </w:p>
        </w:tc>
        <w:tc>
          <w:tcPr>
            <w:tcW w:type="dxa" w:w="2041"/>
          </w:tcPr>
          <w:p>
            <w:pPr>
              <w:spacing w:after="0" w:line="240" w:lineRule="auto"/>
              <w:jc w:val="right"/>
            </w:pPr>
            <w:r/>
            <w:r>
              <w:rPr>
                <w:sz w:val="18"/>
              </w:rPr>
              <w:t>18.9x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2.4x</w:t>
            </w:r>
          </w:p>
        </w:tc>
        <w:tc>
          <w:tcPr>
            <w:tcW w:type="dxa" w:w="2041"/>
            <w:shd w:val="clear" w:color="auto" w:fill="F2F4F7"/>
          </w:tcPr>
          <w:p>
            <w:pPr>
              <w:spacing w:after="0" w:line="240" w:lineRule="auto"/>
              <w:jc w:val="right"/>
            </w:pPr>
            <w:r/>
            <w:r>
              <w:rPr>
                <w:sz w:val="18"/>
              </w:rPr>
              <w:t>20.3x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23.1x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3.3x</w:t>
            </w:r>
          </w:p>
        </w:tc>
        <w:tc>
          <w:tcPr>
            <w:tcW w:type="dxa" w:w="2041"/>
            <w:shd w:val="clear" w:color="auto" w:fill="F2F4F7"/>
          </w:tcPr>
          <w:p>
            <w:pPr>
              <w:spacing w:after="0" w:line="240" w:lineRule="auto"/>
              <w:jc w:val="right"/>
            </w:pPr>
            <w:r/>
            <w:r>
              <w:rPr>
                <w:sz w:val="18"/>
              </w:rPr>
              <w:t>25.4x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2.7x</w:t>
            </w:r>
          </w:p>
        </w:tc>
        <w:tc>
          <w:tcPr>
            <w:tcW w:type="dxa" w:w="2041"/>
          </w:tcPr>
          <w:p>
            <w:pPr>
              <w:spacing w:after="0" w:line="240" w:lineRule="auto"/>
              <w:jc w:val="right"/>
            </w:pPr>
            <w:r/>
            <w:r>
              <w:rPr>
                <w:sz w:val="18"/>
              </w:rPr>
              <w:t>27.1x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2.0x</w:t>
            </w:r>
          </w:p>
        </w:tc>
        <w:tc>
          <w:tcPr>
            <w:tcW w:type="dxa" w:w="2041"/>
            <w:shd w:val="clear" w:color="auto" w:fill="F2F4F7"/>
          </w:tcPr>
          <w:p>
            <w:pPr>
              <w:spacing w:after="0" w:line="240" w:lineRule="auto"/>
              <w:jc w:val="right"/>
            </w:pPr>
            <w:r/>
            <w:r>
              <w:rPr>
                <w:sz w:val="18"/>
              </w:rPr>
              <w:t>28.1x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2.9x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-860</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14.8%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2.2%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-852</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