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100 million (USD 2.1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100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200 million, twice the ticket, priced at the launch list (retail EGP 250,000 per m2, offices EGP 160,000 per m2), allocated from the first two sales tranches. At the model's delivery list prices the units are worth EGP 296 million. Projected investor IRR: 29.2% base, 20.4% downside, 32.3% upside.</w:t>
      </w:r>
    </w:p>
    <w:p>
      <w:pPr>
        <w:pStyle w:val="ListBullet"/>
        <w:spacing w:after="60"/>
      </w:pPr>
      <w:r>
        <w:rPr>
          <w:b/>
          <w:i w:val="0"/>
        </w:rPr>
        <w:t>Option B, cash.</w:t>
      </w:r>
      <w:r>
        <w:rPr>
          <w:b w:val="0"/>
          <w:i w:val="0"/>
        </w:rPr>
        <w:t xml:space="preserve"> EGP 230 million (2.3x the ticket) in 12 equal quarterly instalments of EGP 19.17 million after a 24-month grace period, from month 39 to month 72.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100.0</w:t>
            </w:r>
          </w:p>
        </w:tc>
      </w:tr>
      <w:tr>
        <w:trPr>
          <w:cantSplit/>
        </w:trPr>
        <w:tc>
          <w:tcPr>
            <w:tcW w:type="dxa" w:w="6236"/>
            <w:shd w:val="clear" w:color="auto" w:fill="F2F4F7"/>
          </w:tcPr>
          <w:p>
            <w:pPr>
              <w:spacing w:after="0" w:line="240" w:lineRule="auto"/>
            </w:pPr>
            <w:r/>
            <w:r>
              <w:rPr>
                <w:sz w:val="19"/>
              </w:rPr>
              <w:t>Modelled peak cumulative cash shortage (month 30)</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307.5</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54</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200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230</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48 to 54, inside the payout window), so quarter-by-quarter coverage of instalments is below 1.5x in 4 of 12 quarters. Pooled cash including the ticket covers every instalment at least 3.5x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100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12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 before the value of retained units.</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160,000</w:t>
            </w:r>
          </w:p>
        </w:tc>
        <w:tc>
          <w:tcPr>
            <w:tcW w:type="dxa" w:w="964"/>
          </w:tcPr>
          <w:p>
            <w:pPr>
              <w:spacing w:after="0" w:line="240" w:lineRule="auto"/>
              <w:jc w:val="right"/>
            </w:pPr>
            <w:r/>
            <w:r>
              <w:rPr>
                <w:sz w:val="16"/>
              </w:rPr>
              <w:t>191,250</w:t>
            </w:r>
          </w:p>
        </w:tc>
        <w:tc>
          <w:tcPr>
            <w:tcW w:type="dxa" w:w="907"/>
          </w:tcPr>
          <w:p>
            <w:pPr>
              <w:spacing w:after="0" w:line="240" w:lineRule="auto"/>
              <w:jc w:val="right"/>
            </w:pPr>
            <w:r/>
            <w:r>
              <w:rPr>
                <w:sz w:val="16"/>
              </w:rPr>
              <w:t>240,000</w:t>
            </w:r>
          </w:p>
        </w:tc>
        <w:tc>
          <w:tcPr>
            <w:tcW w:type="dxa" w:w="964"/>
          </w:tcPr>
          <w:p>
            <w:pPr>
              <w:spacing w:after="0" w:line="240" w:lineRule="auto"/>
              <w:jc w:val="right"/>
            </w:pPr>
            <w:r/>
            <w:r>
              <w:rPr>
                <w:sz w:val="16"/>
              </w:rPr>
              <w:t>+50%</w:t>
            </w:r>
          </w:p>
        </w:tc>
        <w:tc>
          <w:tcPr>
            <w:tcW w:type="dxa" w:w="964"/>
          </w:tcPr>
          <w:p>
            <w:pPr>
              <w:spacing w:after="0" w:line="240" w:lineRule="auto"/>
              <w:jc w:val="right"/>
            </w:pPr>
            <w:r/>
            <w:r>
              <w:rPr>
                <w:sz w:val="16"/>
              </w:rPr>
              <w:t>+20%</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+112% (mid-point 113,000)</w:t>
            </w:r>
          </w:p>
        </w:tc>
        <w:tc>
          <w:tcPr>
            <w:tcW w:type="dxa" w:w="907"/>
          </w:tcPr>
          <w:p>
            <w:pPr>
              <w:spacing w:after="0" w:line="240" w:lineRule="auto"/>
              <w:jc w:val="right"/>
            </w:pPr>
            <w:r/>
            <w:r>
              <w:rPr>
                <w:sz w:val="16"/>
              </w:rPr>
              <w:t>17.5%</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250,000</w:t>
            </w:r>
          </w:p>
        </w:tc>
        <w:tc>
          <w:tcPr>
            <w:tcW w:type="dxa" w:w="964"/>
            <w:shd w:val="clear" w:color="auto" w:fill="F2F4F7"/>
          </w:tcPr>
          <w:p>
            <w:pPr>
              <w:spacing w:after="0" w:line="240" w:lineRule="auto"/>
              <w:jc w:val="right"/>
            </w:pPr>
            <w:r/>
            <w:r>
              <w:rPr>
                <w:sz w:val="16"/>
              </w:rPr>
              <w:t>300,938</w:t>
            </w:r>
          </w:p>
        </w:tc>
        <w:tc>
          <w:tcPr>
            <w:tcW w:type="dxa" w:w="907"/>
            <w:shd w:val="clear" w:color="auto" w:fill="F2F4F7"/>
          </w:tcPr>
          <w:p>
            <w:pPr>
              <w:spacing w:after="0" w:line="240" w:lineRule="auto"/>
              <w:jc w:val="right"/>
            </w:pPr>
            <w:r/>
            <w:r>
              <w:rPr>
                <w:sz w:val="16"/>
              </w:rPr>
              <w:t>360,000</w:t>
            </w:r>
          </w:p>
        </w:tc>
        <w:tc>
          <w:tcPr>
            <w:tcW w:type="dxa" w:w="964"/>
            <w:shd w:val="clear" w:color="auto" w:fill="F2F4F7"/>
          </w:tcPr>
          <w:p>
            <w:pPr>
              <w:spacing w:after="0" w:line="240" w:lineRule="auto"/>
              <w:jc w:val="right"/>
            </w:pPr>
            <w:r/>
            <w:r>
              <w:rPr>
                <w:sz w:val="16"/>
              </w:rPr>
              <w:t>+44%</w:t>
            </w:r>
          </w:p>
        </w:tc>
        <w:tc>
          <w:tcPr>
            <w:tcW w:type="dxa" w:w="964"/>
            <w:shd w:val="clear" w:color="auto" w:fill="F2F4F7"/>
          </w:tcPr>
          <w:p>
            <w:pPr>
              <w:spacing w:after="0" w:line="240" w:lineRule="auto"/>
              <w:jc w:val="right"/>
            </w:pPr>
            <w:r/>
            <w:r>
              <w:rPr>
                <w:sz w:val="16"/>
              </w:rPr>
              <w:t>+20%</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54). Measured from launch it is +44% for retail and +50% for offices (48% weighted by the launch tranches), against the 40% to 60% range Jalour expects. Measured from today's office asking prices, the delivery list is +112%, or about 18% a year over 4.7 years if the model timeline starts in December 2026.</w:t>
      </w: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13</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19 to 54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54</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The area schedule that reconciles the two is provided after the investor signs a non-disclosure agreement; the investor should require it in due diligence.</w:t>
      </w:r>
    </w:p>
    <w:p>
      <w:r>
        <w:rPr>
          <w:b w:val="0"/>
          <w:i w:val="0"/>
        </w:rPr>
        <w:t>Phasing: sales launch in project month 13, construction starts in month 19 and runs 36 months to handover in month 54.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54</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equal to 35% of the value of all units at modelled prices, including the 20% retained by Jalour. EGP 320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13 to 48</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12</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11: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39</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42</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45</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3,342 million at modelled prices; the plan sells 80%, EGP 2,674 million. The first two tranches (months 15 and 18) carry the launch list and total EGP 725 million; Option A units come from these.</w:t>
      </w:r>
    </w:p>
    <w:p>
      <w:pPr>
        <w:keepNext/>
        <w:spacing w:after="60"/>
      </w:pPr>
      <w:r>
        <w:rPr>
          <w:b/>
          <w:color w:val="17324D"/>
          <w:sz w:val="19"/>
        </w:rPr>
        <w:t>Table 12: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2,673.7</w:t>
            </w:r>
          </w:p>
        </w:tc>
        <w:tc>
          <w:tcPr>
            <w:tcW w:type="dxa" w:w="1644"/>
            <w:shd w:val="clear" w:color="auto" w:fill="F2F4F7"/>
          </w:tcPr>
          <w:p>
            <w:pPr>
              <w:spacing w:after="0" w:line="240" w:lineRule="auto"/>
              <w:jc w:val="right"/>
            </w:pPr>
            <w:r/>
            <w:r>
              <w:rPr>
                <w:b/>
                <w:sz w:val="18"/>
              </w:rPr>
              <w:t>-1,169.8</w:t>
            </w:r>
          </w:p>
        </w:tc>
        <w:tc>
          <w:tcPr>
            <w:tcW w:type="dxa" w:w="2041"/>
            <w:shd w:val="clear" w:color="auto" w:fill="F2F4F7"/>
          </w:tcPr>
          <w:p>
            <w:pPr>
              <w:spacing w:after="0" w:line="240" w:lineRule="auto"/>
              <w:jc w:val="right"/>
            </w:pPr>
            <w:r/>
            <w:r>
              <w:rPr>
                <w:b/>
                <w:sz w:val="18"/>
              </w:rPr>
              <w:t>-908.7</w:t>
            </w:r>
          </w:p>
        </w:tc>
        <w:tc>
          <w:tcPr>
            <w:tcW w:type="dxa" w:w="1417"/>
            <w:shd w:val="clear" w:color="auto" w:fill="F2F4F7"/>
          </w:tcPr>
          <w:p>
            <w:pPr>
              <w:spacing w:after="0" w:line="240" w:lineRule="auto"/>
              <w:jc w:val="right"/>
            </w:pPr>
            <w:r/>
            <w:r>
              <w:rPr>
                <w:b/>
                <w:sz w:val="18"/>
              </w:rPr>
              <w:t>595.3</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45.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308 million to EGP 258 million; a 20% overrun to EGP 208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100.0</w:t>
            </w:r>
          </w:p>
        </w:tc>
        <w:tc>
          <w:tcPr>
            <w:tcW w:type="dxa" w:w="2098"/>
          </w:tcPr>
          <w:p>
            <w:pPr>
              <w:spacing w:after="0" w:line="240" w:lineRule="auto"/>
              <w:jc w:val="right"/>
            </w:pPr>
            <w:r/>
            <w:r>
              <w:rPr>
                <w:sz w:val="19"/>
              </w:rPr>
              <w:t>89%</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12.5</w:t>
            </w:r>
          </w:p>
        </w:tc>
        <w:tc>
          <w:tcPr>
            <w:tcW w:type="dxa" w:w="2098"/>
            <w:shd w:val="clear" w:color="auto" w:fill="F2F4F7"/>
          </w:tcPr>
          <w:p>
            <w:pPr>
              <w:spacing w:after="0" w:line="240" w:lineRule="auto"/>
              <w:jc w:val="right"/>
            </w:pPr>
            <w:r/>
            <w:r>
              <w:rPr>
                <w:sz w:val="19"/>
              </w:rPr>
              <w:t>11%</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112.5</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98% of the modelled peak cumulative shortage of EGP 102.0 million (month 30).</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308</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40</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412</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258</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209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275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14</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200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15 and 18), EGP 725 million at list; the investor receives 27.6%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61.7 million (247 m2) and offices EGP 138.3 million (864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296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70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54; resale over four quarters from month 57;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230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19.17 million in months 39 to 72</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19.17</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57.50</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95.83</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134.17</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153.33</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63</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172.50</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66</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191.67</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69</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210.83</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72</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230.00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12.</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delivery list price before the investor loses money on the ticket. The base case relies on list prices rising by 44% (retail) and 50%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28% of those tranches' collections. Jalour receives the ticket at funding and forgoes those collections (the units' face value of EGP 200 million at list) as they would have been received, partly offset by commission saved. The landlord share is unchanged. On this basis Jalour's cost of capital is 22.6%; the NPV effect at 14% is EGP -20.8 million and the project NPV after the deal is EGP 287 million (before: 308). Peak cumulative shortage before the ticket rises to EGP 137.4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w:t>
            </w:r>
          </w:p>
        </w:tc>
        <w:tc>
          <w:tcPr>
            <w:tcW w:type="dxa" w:w="1474"/>
            <w:shd w:val="clear" w:color="auto" w:fill="F2F4F7"/>
          </w:tcPr>
          <w:p>
            <w:pPr>
              <w:spacing w:after="0" w:line="240" w:lineRule="auto"/>
              <w:jc w:val="right"/>
            </w:pPr>
            <w:r/>
            <w:r>
              <w:rPr>
                <w:sz w:val="19"/>
              </w:rPr>
              <w:t>-864</w:t>
            </w:r>
          </w:p>
        </w:tc>
        <w:tc>
          <w:tcPr>
            <w:tcW w:type="dxa" w:w="1474"/>
            <w:shd w:val="clear" w:color="auto" w:fill="F2F4F7"/>
          </w:tcPr>
          <w:p>
            <w:pPr>
              <w:spacing w:after="0" w:line="240" w:lineRule="auto"/>
              <w:jc w:val="right"/>
            </w:pPr>
            <w:r/>
            <w:r>
              <w:rPr>
                <w:sz w:val="19"/>
              </w:rPr>
              <w:t>0</w:t>
            </w:r>
          </w:p>
        </w:tc>
        <w:tc>
          <w:tcPr>
            <w:tcW w:type="dxa" w:w="1474"/>
            <w:shd w:val="clear" w:color="auto" w:fill="F2F4F7"/>
          </w:tcPr>
          <w:p>
            <w:pPr>
              <w:spacing w:after="0" w:line="240" w:lineRule="auto"/>
              <w:jc w:val="right"/>
            </w:pPr>
            <w:r/>
            <w:r>
              <w:rPr>
                <w:sz w:val="19"/>
              </w:rPr>
              <w:t>-240</w:t>
            </w:r>
          </w:p>
        </w:tc>
      </w:tr>
    </w:tbl>
    <w:p>
      <w:pPr>
        <w:spacing w:after="80"/>
      </w:pPr>
    </w:p>
    <w:p>
      <w:r>
        <w:rPr>
          <w:b w:val="0"/>
          <w:i w:val="0"/>
        </w:rPr>
        <w:t>In the base case the lowest pooled cash of EGP -2.0 million arises in month 30,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2.3x</w:t>
            </w:r>
          </w:p>
        </w:tc>
        <w:tc>
          <w:tcPr>
            <w:tcW w:type="dxa" w:w="2041"/>
          </w:tcPr>
          <w:p>
            <w:pPr>
              <w:spacing w:after="0" w:line="240" w:lineRule="auto"/>
              <w:jc w:val="right"/>
            </w:pPr>
            <w:r/>
            <w:r>
              <w:rPr>
                <w:sz w:val="18"/>
              </w:rPr>
              <w:t>3.5x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2.9x</w:t>
            </w:r>
          </w:p>
        </w:tc>
        <w:tc>
          <w:tcPr>
            <w:tcW w:type="dxa" w:w="2041"/>
            <w:shd w:val="clear" w:color="auto" w:fill="F2F4F7"/>
          </w:tcPr>
          <w:p>
            <w:pPr>
              <w:spacing w:after="0" w:line="240" w:lineRule="auto"/>
              <w:jc w:val="right"/>
            </w:pPr>
            <w:r/>
            <w:r>
              <w:rPr>
                <w:sz w:val="18"/>
              </w:rPr>
              <w:t>5.4x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25.1x</w:t>
            </w:r>
          </w:p>
        </w:tc>
        <w:tc>
          <w:tcPr>
            <w:tcW w:type="dxa" w:w="2041"/>
          </w:tcPr>
          <w:p>
            <w:pPr>
              <w:spacing w:after="0" w:line="240" w:lineRule="auto"/>
              <w:jc w:val="right"/>
            </w:pPr>
            <w:r/>
            <w:r>
              <w:rPr>
                <w:sz w:val="18"/>
              </w:rPr>
              <w:t>29.5x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-1.6x</w:t>
            </w:r>
          </w:p>
        </w:tc>
        <w:tc>
          <w:tcPr>
            <w:tcW w:type="dxa" w:w="2041"/>
            <w:shd w:val="clear" w:color="auto" w:fill="F2F4F7"/>
          </w:tcPr>
          <w:p>
            <w:pPr>
              <w:spacing w:after="0" w:line="240" w:lineRule="auto"/>
              <w:jc w:val="right"/>
            </w:pPr>
            <w:r/>
            <w:r>
              <w:rPr>
                <w:sz w:val="18"/>
              </w:rPr>
              <w:t>26.9x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-6.7x</w:t>
            </w:r>
          </w:p>
        </w:tc>
        <w:tc>
          <w:tcPr>
            <w:tcW w:type="dxa" w:w="2041"/>
          </w:tcPr>
          <w:p>
            <w:pPr>
              <w:spacing w:after="0" w:line="240" w:lineRule="auto"/>
              <w:jc w:val="right"/>
            </w:pPr>
            <w:r/>
            <w:r>
              <w:rPr>
                <w:sz w:val="18"/>
              </w:rPr>
              <w:t>19.2x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-5.1x</w:t>
            </w:r>
          </w:p>
        </w:tc>
        <w:tc>
          <w:tcPr>
            <w:tcW w:type="dxa" w:w="2041"/>
            <w:shd w:val="clear" w:color="auto" w:fill="F2F4F7"/>
          </w:tcPr>
          <w:p>
            <w:pPr>
              <w:spacing w:after="0" w:line="240" w:lineRule="auto"/>
              <w:jc w:val="right"/>
            </w:pPr>
            <w:r/>
            <w:r>
              <w:rPr>
                <w:sz w:val="18"/>
              </w:rPr>
              <w:t>13.0x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1.9x</w:t>
            </w:r>
          </w:p>
        </w:tc>
        <w:tc>
          <w:tcPr>
            <w:tcW w:type="dxa" w:w="2041"/>
          </w:tcPr>
          <w:p>
            <w:pPr>
              <w:spacing w:after="0" w:line="240" w:lineRule="auto"/>
              <w:jc w:val="right"/>
            </w:pPr>
            <w:r/>
            <w:r>
              <w:rPr>
                <w:sz w:val="18"/>
              </w:rPr>
              <w:t>14.0x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1.8x</w:t>
            </w:r>
          </w:p>
        </w:tc>
        <w:tc>
          <w:tcPr>
            <w:tcW w:type="dxa" w:w="2041"/>
            <w:shd w:val="clear" w:color="auto" w:fill="F2F4F7"/>
          </w:tcPr>
          <w:p>
            <w:pPr>
              <w:spacing w:after="0" w:line="240" w:lineRule="auto"/>
              <w:jc w:val="right"/>
            </w:pPr>
            <w:r/>
            <w:r>
              <w:rPr>
                <w:sz w:val="18"/>
              </w:rPr>
              <w:t>14.8x</w:t>
            </w:r>
          </w:p>
        </w:tc>
      </w:tr>
      <w:tr>
        <w:trPr>
          <w:cantSplit/>
        </w:trPr>
        <w:tc>
          <w:tcPr>
            <w:tcW w:type="dxa" w:w="1134"/>
          </w:tcPr>
          <w:p>
            <w:pPr>
              <w:spacing w:after="0" w:line="240" w:lineRule="auto"/>
            </w:pPr>
            <w:r/>
            <w:r>
              <w:rPr>
                <w:sz w:val="18"/>
              </w:rPr>
              <w:t>63</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2.9x</w:t>
            </w:r>
          </w:p>
        </w:tc>
        <w:tc>
          <w:tcPr>
            <w:tcW w:type="dxa" w:w="2041"/>
          </w:tcPr>
          <w:p>
            <w:pPr>
              <w:spacing w:after="0" w:line="240" w:lineRule="auto"/>
              <w:jc w:val="right"/>
            </w:pPr>
            <w:r/>
            <w:r>
              <w:rPr>
                <w:sz w:val="18"/>
              </w:rPr>
              <w:t>16.6x</w:t>
            </w:r>
          </w:p>
        </w:tc>
      </w:tr>
      <w:tr>
        <w:trPr>
          <w:cantSplit/>
        </w:trPr>
        <w:tc>
          <w:tcPr>
            <w:tcW w:type="dxa" w:w="1134"/>
            <w:shd w:val="clear" w:color="auto" w:fill="F2F4F7"/>
          </w:tcPr>
          <w:p>
            <w:pPr>
              <w:spacing w:after="0" w:line="240" w:lineRule="auto"/>
            </w:pPr>
            <w:r/>
            <w:r>
              <w:rPr>
                <w:sz w:val="18"/>
              </w:rPr>
              <w:t>66</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2.5x</w:t>
            </w:r>
          </w:p>
        </w:tc>
        <w:tc>
          <w:tcPr>
            <w:tcW w:type="dxa" w:w="2041"/>
            <w:shd w:val="clear" w:color="auto" w:fill="F2F4F7"/>
          </w:tcPr>
          <w:p>
            <w:pPr>
              <w:spacing w:after="0" w:line="240" w:lineRule="auto"/>
              <w:jc w:val="right"/>
            </w:pPr>
            <w:r/>
            <w:r>
              <w:rPr>
                <w:sz w:val="18"/>
              </w:rPr>
              <w:t>18.1x</w:t>
            </w:r>
          </w:p>
        </w:tc>
      </w:tr>
      <w:tr>
        <w:trPr>
          <w:cantSplit/>
        </w:trPr>
        <w:tc>
          <w:tcPr>
            <w:tcW w:type="dxa" w:w="1134"/>
          </w:tcPr>
          <w:p>
            <w:pPr>
              <w:spacing w:after="0" w:line="240" w:lineRule="auto"/>
            </w:pPr>
            <w:r/>
            <w:r>
              <w:rPr>
                <w:sz w:val="18"/>
              </w:rPr>
              <w:t>69</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2.0x</w:t>
            </w:r>
          </w:p>
        </w:tc>
        <w:tc>
          <w:tcPr>
            <w:tcW w:type="dxa" w:w="2041"/>
          </w:tcPr>
          <w:p>
            <w:pPr>
              <w:spacing w:after="0" w:line="240" w:lineRule="auto"/>
              <w:jc w:val="right"/>
            </w:pPr>
            <w:r/>
            <w:r>
              <w:rPr>
                <w:sz w:val="18"/>
              </w:rPr>
              <w:t>19.2x</w:t>
            </w:r>
          </w:p>
        </w:tc>
      </w:tr>
      <w:tr>
        <w:trPr>
          <w:cantSplit/>
        </w:trPr>
        <w:tc>
          <w:tcPr>
            <w:tcW w:type="dxa" w:w="1134"/>
            <w:shd w:val="clear" w:color="auto" w:fill="F2F4F7"/>
          </w:tcPr>
          <w:p>
            <w:pPr>
              <w:spacing w:after="0" w:line="240" w:lineRule="auto"/>
            </w:pPr>
            <w:r/>
            <w:r>
              <w:rPr>
                <w:sz w:val="18"/>
              </w:rPr>
              <w:t>72</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1.5x</w:t>
            </w:r>
          </w:p>
        </w:tc>
        <w:tc>
          <w:tcPr>
            <w:tcW w:type="dxa" w:w="2041"/>
            <w:shd w:val="clear" w:color="auto" w:fill="F2F4F7"/>
          </w:tcPr>
          <w:p>
            <w:pPr>
              <w:spacing w:after="0" w:line="240" w:lineRule="auto"/>
              <w:jc w:val="right"/>
            </w:pPr>
            <w:r/>
            <w:r>
              <w:rPr>
                <w:sz w:val="18"/>
              </w:rPr>
              <w:t>19.6x</w:t>
            </w:r>
          </w:p>
        </w:tc>
      </w:tr>
    </w:tbl>
    <w:p>
      <w:pPr>
        <w:spacing w:after="80"/>
      </w:pPr>
    </w:p>
    <w:p>
      <w:r>
        <w:rPr>
          <w:b w:val="0"/>
          <w:i w:val="0"/>
        </w:rPr>
        <w:t>Coverage on net cash flow alone is below the 1.5x threshold in 4 of 12 quarters, because instalments fall in the construction peak and in the quarters after handover when collections are thin. "Cash available" adds pooled project cash, including the ticket and earlier collections, and is at least 3.5x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4 of 12</w:t>
            </w:r>
          </w:p>
        </w:tc>
        <w:tc>
          <w:tcPr>
            <w:tcW w:type="dxa" w:w="1587"/>
          </w:tcPr>
          <w:p>
            <w:pPr>
              <w:spacing w:after="0" w:line="240" w:lineRule="auto"/>
              <w:jc w:val="right"/>
            </w:pPr>
            <w:r/>
            <w:r>
              <w:rPr>
                <w:sz w:val="18"/>
              </w:rPr>
              <w:t>-864</w:t>
            </w:r>
          </w:p>
        </w:tc>
        <w:tc>
          <w:tcPr>
            <w:tcW w:type="dxa" w:w="1020"/>
          </w:tcPr>
          <w:p>
            <w:pPr>
              <w:spacing w:after="0" w:line="240" w:lineRule="auto"/>
              <w:jc w:val="right"/>
            </w:pPr>
            <w:r/>
            <w:r>
              <w:rPr>
                <w:sz w:val="18"/>
              </w:rPr>
              <w:t>72</w:t>
            </w:r>
          </w:p>
        </w:tc>
      </w:tr>
      <w:tr>
        <w:trPr>
          <w:cantSplit/>
        </w:trPr>
        <w:tc>
          <w:tcPr>
            <w:tcW w:type="dxa" w:w="3515"/>
            <w:shd w:val="clear" w:color="auto" w:fill="F2F4F7"/>
          </w:tcPr>
          <w:p>
            <w:pPr>
              <w:spacing w:after="0" w:line="240" w:lineRule="auto"/>
            </w:pPr>
            <w:r/>
            <w:r>
              <w:rPr>
                <w:sz w:val="18"/>
              </w:rPr>
              <w:t>S2 19.7%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-851</w:t>
            </w:r>
          </w:p>
        </w:tc>
        <w:tc>
          <w:tcPr>
            <w:tcW w:type="dxa" w:w="1020"/>
            <w:shd w:val="clear" w:color="auto" w:fill="F2F4F7"/>
          </w:tcPr>
          <w:p>
            <w:pPr>
              <w:spacing w:after="0" w:line="240" w:lineRule="auto"/>
              <w:jc w:val="right"/>
            </w:pPr>
            <w:r/>
            <w:r>
              <w:rPr>
                <w:sz w:val="18"/>
              </w:rPr>
              <w:t>75</w:t>
            </w:r>
          </w:p>
        </w:tc>
      </w:tr>
      <w:tr>
        <w:trPr>
          <w:cantSplit/>
        </w:trPr>
        <w:tc>
          <w:tcPr>
            <w:tcW w:type="dxa" w:w="3515"/>
          </w:tcPr>
          <w:p>
            <w:pPr>
              <w:spacing w:after="0" w:line="240" w:lineRule="auto"/>
            </w:pPr>
            <w:r/>
            <w:r>
              <w:rPr>
                <w:sz w:val="18"/>
              </w:rPr>
              <w:t>S3 Fixed 1.8x plus 2.9%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-854</w:t>
            </w:r>
          </w:p>
        </w:tc>
        <w:tc>
          <w:tcPr>
            <w:tcW w:type="dxa" w:w="1020"/>
          </w:tcPr>
          <w:p>
            <w:pPr>
              <w:spacing w:after="0" w:line="240" w:lineRule="auto"/>
              <w:jc w:val="right"/>
            </w:pPr>
            <w:r/>
            <w:r>
              <w:rPr>
                <w:sz w:val="18"/>
              </w:rPr>
              <w:t>72</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308</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100</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204</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412</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516</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214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126</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43</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-34</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208</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209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117</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54; units can be registered and sold from handover. The base case assumes sale over four quarters from month 57.</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36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36</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54; for Option A, payback in the base case is month 60.</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126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50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19.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307.5</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