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Green Square</w:t>
      </w:r>
    </w:p>
    <w:p>
      <w:pPr>
        <w:spacing w:after="120"/>
      </w:pPr>
      <w:r>
        <w:rPr>
          <w:b/>
          <w:i w:val="0"/>
          <w:color w:val="17324D"/>
          <w:sz w:val="36"/>
        </w:rPr>
        <w:t>Due Diligence Memorandum</w:t>
      </w:r>
    </w:p>
    <w:p>
      <w:pPr>
        <w:spacing w:after="600"/>
      </w:pPr>
      <w:r>
        <w:rPr>
          <w:b w:val="0"/>
          <w:i w:val="0"/>
          <w:sz w:val="24"/>
        </w:rPr>
        <w:t>Private placement of EGP 75 million. Companion to the Investment Memorandum and Financial Annex.</w:t>
      </w:r>
    </w:p>
    <w:p>
      <w:r>
        <w:rPr>
          <w:b w:val="0"/>
          <w:i w:val="0"/>
          <w:color w:val="6B7280"/>
          <w:sz w:val="21"/>
        </w:rPr>
        <w:t>Issued by Jalour Developments, a subsidiary of Al Jalal Holding, Cairo. October 2026.</w:t>
      </w:r>
    </w:p>
    <w:p>
      <w:pPr>
        <w:pStyle w:val="Heading1"/>
        <w:pageBreakBefore/>
      </w:pPr>
      <w:r>
        <w:t>Purpose and status</w:t>
      </w:r>
    </w:p>
    <w:p>
      <w:r>
        <w:rPr>
          <w:b w:val="0"/>
          <w:i w:val="0"/>
        </w:rPr>
        <w:t>This memorandum helps the investor and its advisers plan and carry out due diligence. It lists the documents Jalour will provide, the legal and regulatory structure, the evidence behind the main assumptions, the opinions and security documents required, a candid list of red flags, and the open items. It describes status as at October 2026. Items marked [After NDA] are provided after the investor signs a non-disclosure agreement; items marked [Pending] are being prepared. It is not legal advice.</w:t>
      </w:r>
    </w:p>
    <w:p>
      <w:r>
        <w:rPr>
          <w:b w:val="0"/>
          <w:i w:val="0"/>
        </w:rPr>
        <w:t>Where this memorandum and the Investment Memorandum differ, the Investment Memorandum and the Financial Annex are the reference for figures; the definitive agreements prevail over both.</w:t>
      </w:r>
    </w:p>
    <w:p>
      <w:pPr>
        <w:pStyle w:val="Heading1"/>
        <w:pageBreakBefore/>
      </w:pPr>
      <w:r>
        <w:t>Contents</w:t>
      </w:r>
    </w:p>
    <w:p>
      <w:pPr>
        <w:tabs>
          <w:tab w:pos="9241" w:val="right" w:leader="dot"/>
        </w:tabs>
        <w:spacing w:after="60"/>
      </w:pPr>
      <w:r>
        <w:rPr>
          <w:sz w:val="22"/>
        </w:rPr>
        <w:t>1. Corporate and project-company structure</w:t>
        <w:tab/>
        <w:t>4</w:t>
      </w:r>
    </w:p>
    <w:p>
      <w:pPr>
        <w:tabs>
          <w:tab w:pos="9241" w:val="right" w:leader="dot"/>
        </w:tabs>
        <w:spacing w:after="60"/>
      </w:pPr>
      <w:r>
        <w:rPr>
          <w:sz w:val="22"/>
        </w:rPr>
        <w:t>2. Al Ahly Sabbour agreement and consent status</w:t>
        <w:tab/>
        <w:t>5</w:t>
      </w:r>
    </w:p>
    <w:p>
      <w:pPr>
        <w:tabs>
          <w:tab w:pos="9241" w:val="right" w:leader="dot"/>
        </w:tabs>
        <w:spacing w:after="60"/>
      </w:pPr>
      <w:r>
        <w:rPr>
          <w:sz w:val="22"/>
        </w:rPr>
        <w:t>3. Permits, licences and land status</w:t>
        <w:tab/>
        <w:t>6</w:t>
      </w:r>
    </w:p>
    <w:p>
      <w:pPr>
        <w:tabs>
          <w:tab w:pos="9241" w:val="right" w:leader="dot"/>
        </w:tabs>
        <w:spacing w:after="60"/>
      </w:pPr>
      <w:r>
        <w:rPr>
          <w:sz w:val="22"/>
        </w:rPr>
        <w:t>4. Construction and cost basis</w:t>
        <w:tab/>
        <w:t>7</w:t>
      </w:r>
    </w:p>
    <w:p>
      <w:pPr>
        <w:tabs>
          <w:tab w:pos="9241" w:val="right" w:leader="dot"/>
        </w:tabs>
        <w:spacing w:after="60"/>
      </w:pPr>
      <w:r>
        <w:rPr>
          <w:sz w:val="22"/>
        </w:rPr>
        <w:t>5. Sales and pricing evidence</w:t>
        <w:tab/>
        <w:t>8</w:t>
      </w:r>
    </w:p>
    <w:p>
      <w:pPr>
        <w:tabs>
          <w:tab w:pos="9241" w:val="right" w:leader="dot"/>
        </w:tabs>
        <w:spacing w:after="60"/>
      </w:pPr>
      <w:r>
        <w:rPr>
          <w:sz w:val="22"/>
        </w:rPr>
        <w:t>6. Legal and regulatory structure, and opinions required</w:t>
        <w:tab/>
        <w:t>9</w:t>
      </w:r>
    </w:p>
    <w:p>
      <w:pPr>
        <w:tabs>
          <w:tab w:pos="9241" w:val="right" w:leader="dot"/>
        </w:tabs>
        <w:spacing w:after="60"/>
      </w:pPr>
      <w:r>
        <w:rPr>
          <w:sz w:val="22"/>
        </w:rPr>
        <w:t>7. Security documentation</w:t>
        <w:tab/>
        <w:t>10</w:t>
      </w:r>
    </w:p>
    <w:p>
      <w:pPr>
        <w:tabs>
          <w:tab w:pos="9241" w:val="right" w:leader="dot"/>
        </w:tabs>
        <w:spacing w:after="60"/>
      </w:pPr>
      <w:r>
        <w:rPr>
          <w:sz w:val="22"/>
        </w:rPr>
        <w:t>8. Structures considered and rejected</w:t>
        <w:tab/>
        <w:t>11</w:t>
      </w:r>
    </w:p>
    <w:p>
      <w:pPr>
        <w:tabs>
          <w:tab w:pos="9241" w:val="right" w:leader="dot"/>
        </w:tabs>
        <w:spacing w:after="60"/>
      </w:pPr>
      <w:r>
        <w:rPr>
          <w:sz w:val="22"/>
        </w:rPr>
        <w:t>9. Risks and mitigants</w:t>
        <w:tab/>
        <w:t>12</w:t>
      </w:r>
    </w:p>
    <w:p>
      <w:pPr>
        <w:tabs>
          <w:tab w:pos="9241" w:val="right" w:leader="dot"/>
        </w:tabs>
        <w:spacing w:after="60"/>
      </w:pPr>
      <w:r>
        <w:rPr>
          <w:sz w:val="22"/>
        </w:rPr>
        <w:t>10. Red-flag disclosure list</w:t>
        <w:tab/>
        <w:t>13</w:t>
      </w:r>
    </w:p>
    <w:p>
      <w:pPr>
        <w:tabs>
          <w:tab w:pos="9241" w:val="right" w:leader="dot"/>
        </w:tabs>
        <w:spacing w:after="60"/>
      </w:pPr>
      <w:r>
        <w:rPr>
          <w:sz w:val="22"/>
        </w:rPr>
        <w:t>11. Questions an investor is likely to ask</w:t>
        <w:tab/>
        <w:t>14</w:t>
      </w:r>
    </w:p>
    <w:p>
      <w:pPr>
        <w:tabs>
          <w:tab w:pos="9241" w:val="right" w:leader="dot"/>
        </w:tabs>
        <w:spacing w:after="60"/>
      </w:pPr>
      <w:r>
        <w:rPr>
          <w:sz w:val="22"/>
        </w:rPr>
        <w:t>12. Data-room index</w:t>
        <w:tab/>
        <w:t>15</w:t>
      </w:r>
    </w:p>
    <w:p>
      <w:pPr>
        <w:tabs>
          <w:tab w:pos="9241" w:val="right" w:leader="dot"/>
        </w:tabs>
        <w:spacing w:after="60"/>
      </w:pPr>
      <w:r>
        <w:rPr>
          <w:sz w:val="22"/>
        </w:rPr>
        <w:t>13. Open items</w:t>
        <w:tab/>
        <w:t>16</w:t>
      </w:r>
    </w:p>
    <w:p>
      <w:pPr>
        <w:pStyle w:val="Heading1"/>
        <w:pageBreakBefore/>
      </w:pPr>
      <w:r>
        <w:t>1. Corporate and project-company structure</w:t>
      </w:r>
    </w:p>
    <w:p>
      <w:pPr>
        <w:keepNext/>
        <w:spacing w:after="60"/>
      </w:pPr>
      <w:r>
        <w:rPr>
          <w:b/>
          <w:color w:val="17324D"/>
          <w:sz w:val="19"/>
        </w:rPr>
        <w:t>Table 1: Structure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9"/>
              </w:rPr>
              <w:t>Layer</w:t>
            </w:r>
          </w:p>
        </w:tc>
        <w:tc>
          <w:tcPr>
            <w:tcW w:type="dxa" w:w="3288"/>
            <w:shd w:val="clear" w:color="auto" w:fill="17324D"/>
          </w:tcPr>
          <w:p>
            <w:pPr>
              <w:spacing w:after="0" w:line="240" w:lineRule="auto"/>
            </w:pPr>
            <w:r/>
            <w:r>
              <w:rPr>
                <w:b/>
                <w:color w:val="FFFFFF"/>
                <w:sz w:val="19"/>
              </w:rPr>
              <w:t>Entity</w:t>
            </w:r>
          </w:p>
        </w:tc>
        <w:tc>
          <w:tcPr>
            <w:tcW w:type="dxa" w:w="3912"/>
            <w:shd w:val="clear" w:color="auto" w:fill="17324D"/>
          </w:tcPr>
          <w:p>
            <w:pPr>
              <w:spacing w:after="0" w:line="240" w:lineRule="auto"/>
            </w:pPr>
            <w:r/>
            <w:r>
              <w:rPr>
                <w:b/>
                <w:color w:val="FFFFFF"/>
                <w:sz w:val="19"/>
              </w:rPr>
              <w:t>Status</w:t>
            </w:r>
          </w:p>
        </w:tc>
      </w:tr>
      <w:tr>
        <w:trPr>
          <w:cantSplit/>
        </w:trPr>
        <w:tc>
          <w:tcPr>
            <w:tcW w:type="dxa" w:w="2041"/>
          </w:tcPr>
          <w:p>
            <w:pPr>
              <w:spacing w:after="0" w:line="240" w:lineRule="auto"/>
            </w:pPr>
            <w:r/>
            <w:r>
              <w:rPr>
                <w:b/>
                <w:sz w:val="19"/>
              </w:rPr>
              <w:t>Holding</w:t>
            </w:r>
          </w:p>
        </w:tc>
        <w:tc>
          <w:tcPr>
            <w:tcW w:type="dxa" w:w="3288"/>
          </w:tcPr>
          <w:p>
            <w:pPr>
              <w:spacing w:after="0" w:line="240" w:lineRule="auto"/>
            </w:pPr>
            <w:r/>
            <w:r>
              <w:rPr>
                <w:sz w:val="19"/>
              </w:rPr>
              <w:t>Al Jalal Holding, Cairo</w:t>
            </w:r>
          </w:p>
        </w:tc>
        <w:tc>
          <w:tcPr>
            <w:tcW w:type="dxa" w:w="3912"/>
          </w:tcPr>
          <w:p>
            <w:pPr>
              <w:spacing w:after="0" w:line="240" w:lineRule="auto"/>
            </w:pPr>
            <w:r/>
            <w:r>
              <w:rPr>
                <w:sz w:val="19"/>
              </w:rPr>
              <w:t>[After NDA]</w:t>
            </w:r>
          </w:p>
        </w:tc>
      </w:tr>
      <w:tr>
        <w:trPr>
          <w:cantSplit/>
        </w:trPr>
        <w:tc>
          <w:tcPr>
            <w:tcW w:type="dxa" w:w="2041"/>
            <w:shd w:val="clear" w:color="auto" w:fill="F2F4F7"/>
          </w:tcPr>
          <w:p>
            <w:pPr>
              <w:spacing w:after="0" w:line="240" w:lineRule="auto"/>
            </w:pPr>
            <w:r/>
            <w:r>
              <w:rPr>
                <w:b/>
                <w:sz w:val="19"/>
              </w:rPr>
              <w:t>Sponsor and developer</w:t>
            </w:r>
          </w:p>
        </w:tc>
        <w:tc>
          <w:tcPr>
            <w:tcW w:type="dxa" w:w="3288"/>
            <w:shd w:val="clear" w:color="auto" w:fill="F2F4F7"/>
          </w:tcPr>
          <w:p>
            <w:pPr>
              <w:spacing w:after="0" w:line="240" w:lineRule="auto"/>
            </w:pPr>
            <w:r/>
            <w:r>
              <w:rPr>
                <w:sz w:val="19"/>
              </w:rPr>
              <w:t>Jalour Developments</w:t>
            </w:r>
          </w:p>
        </w:tc>
        <w:tc>
          <w:tcPr>
            <w:tcW w:type="dxa" w:w="3912"/>
            <w:shd w:val="clear" w:color="auto" w:fill="F2F4F7"/>
          </w:tcPr>
          <w:p>
            <w:pPr>
              <w:spacing w:after="0" w:line="240" w:lineRule="auto"/>
            </w:pPr>
            <w:r/>
            <w:r>
              <w:rPr>
                <w:sz w:val="19"/>
              </w:rPr>
              <w:t>[After NDA]</w:t>
            </w:r>
          </w:p>
        </w:tc>
      </w:tr>
      <w:tr>
        <w:trPr>
          <w:cantSplit/>
        </w:trPr>
        <w:tc>
          <w:tcPr>
            <w:tcW w:type="dxa" w:w="2041"/>
          </w:tcPr>
          <w:p>
            <w:pPr>
              <w:spacing w:after="0" w:line="240" w:lineRule="auto"/>
            </w:pPr>
            <w:r/>
            <w:r>
              <w:rPr>
                <w:b/>
                <w:sz w:val="19"/>
              </w:rPr>
              <w:t>Project company</w:t>
            </w:r>
          </w:p>
        </w:tc>
        <w:tc>
          <w:tcPr>
            <w:tcW w:type="dxa" w:w="3288"/>
          </w:tcPr>
          <w:p>
            <w:pPr>
              <w:spacing w:after="0" w:line="240" w:lineRule="auto"/>
            </w:pPr>
            <w:r/>
            <w:r>
              <w:rPr>
                <w:sz w:val="19"/>
              </w:rPr>
              <w:t>[Name, jurisdiction and capital to be confirmed]</w:t>
            </w:r>
          </w:p>
        </w:tc>
        <w:tc>
          <w:tcPr>
            <w:tcW w:type="dxa" w:w="3912"/>
          </w:tcPr>
          <w:p>
            <w:pPr>
              <w:spacing w:after="0" w:line="240" w:lineRule="auto"/>
            </w:pPr>
            <w:r/>
            <w:r>
              <w:rPr>
                <w:sz w:val="19"/>
              </w:rPr>
              <w:t>To be formed or confirmed; holds the project rights and issues the investor entitlement</w:t>
            </w:r>
          </w:p>
        </w:tc>
      </w:tr>
      <w:tr>
        <w:trPr>
          <w:cantSplit/>
        </w:trPr>
        <w:tc>
          <w:tcPr>
            <w:tcW w:type="dxa" w:w="2041"/>
            <w:shd w:val="clear" w:color="auto" w:fill="F2F4F7"/>
          </w:tcPr>
          <w:p>
            <w:pPr>
              <w:spacing w:after="0" w:line="240" w:lineRule="auto"/>
            </w:pPr>
            <w:r/>
            <w:r>
              <w:rPr>
                <w:b/>
                <w:sz w:val="19"/>
              </w:rPr>
              <w:t>Landowner</w:t>
            </w:r>
          </w:p>
        </w:tc>
        <w:tc>
          <w:tcPr>
            <w:tcW w:type="dxa" w:w="3288"/>
            <w:shd w:val="clear" w:color="auto" w:fill="F2F4F7"/>
          </w:tcPr>
          <w:p>
            <w:pPr>
              <w:spacing w:after="0" w:line="240" w:lineRule="auto"/>
            </w:pPr>
            <w:r/>
            <w:r>
              <w:rPr>
                <w:sz w:val="19"/>
              </w:rPr>
              <w:t>Al Ahly Sabbour</w:t>
            </w:r>
          </w:p>
        </w:tc>
        <w:tc>
          <w:tcPr>
            <w:tcW w:type="dxa" w:w="3912"/>
            <w:shd w:val="clear" w:color="auto" w:fill="F2F4F7"/>
          </w:tcPr>
          <w:p>
            <w:pPr>
              <w:spacing w:after="0" w:line="240" w:lineRule="auto"/>
            </w:pPr>
            <w:r/>
            <w:r>
              <w:rPr>
                <w:sz w:val="19"/>
              </w:rPr>
              <w:t>Counterparty under the development agreement</w:t>
            </w:r>
          </w:p>
        </w:tc>
      </w:tr>
      <w:tr>
        <w:trPr>
          <w:cantSplit/>
        </w:trPr>
        <w:tc>
          <w:tcPr>
            <w:tcW w:type="dxa" w:w="2041"/>
          </w:tcPr>
          <w:p>
            <w:pPr>
              <w:spacing w:after="0" w:line="240" w:lineRule="auto"/>
            </w:pPr>
            <w:r/>
            <w:r>
              <w:rPr>
                <w:b/>
                <w:sz w:val="19"/>
              </w:rPr>
              <w:t>Investor</w:t>
            </w:r>
          </w:p>
        </w:tc>
        <w:tc>
          <w:tcPr>
            <w:tcW w:type="dxa" w:w="3288"/>
          </w:tcPr>
          <w:p>
            <w:pPr>
              <w:spacing w:after="0" w:line="240" w:lineRule="auto"/>
            </w:pPr>
            <w:r/>
            <w:r>
              <w:rPr>
                <w:sz w:val="19"/>
              </w:rPr>
              <w:t>[Name]</w:t>
            </w:r>
          </w:p>
        </w:tc>
        <w:tc>
          <w:tcPr>
            <w:tcW w:type="dxa" w:w="3912"/>
          </w:tcPr>
          <w:p>
            <w:pPr>
              <w:spacing w:after="0" w:line="240" w:lineRule="auto"/>
            </w:pPr>
            <w:r/>
            <w:r>
              <w:rPr>
                <w:sz w:val="19"/>
              </w:rPr>
              <w:t>KYC and source-of-funds to be completed</w:t>
            </w:r>
          </w:p>
        </w:tc>
      </w:tr>
    </w:tbl>
    <w:p>
      <w:pPr>
        <w:spacing w:after="80"/>
      </w:pPr>
    </w:p>
    <w:p>
      <w:pPr>
        <w:pStyle w:val="ListBullet"/>
        <w:spacing w:after="60"/>
      </w:pPr>
      <w:r>
        <w:rPr>
          <w:b w:val="0"/>
          <w:i w:val="0"/>
        </w:rPr>
        <w:t>The project is held in its own company. There is no cross-collateral and no cross-default with other Jalour projects. The investor has no exposure to other Jalour projects.</w:t>
      </w:r>
    </w:p>
    <w:p>
      <w:pPr>
        <w:pStyle w:val="ListBullet"/>
        <w:spacing w:after="60"/>
      </w:pPr>
      <w:r>
        <w:rPr>
          <w:b w:val="0"/>
          <w:i w:val="0"/>
        </w:rPr>
        <w:t>The legal form of the investor's entitlement (equity, loan or contractual entitlement) is open and drives tax, regulation and enforceability. Counsel to advise; see section 6.</w:t>
      </w:r>
    </w:p>
    <w:p>
      <w:pPr>
        <w:pStyle w:val="ListBullet"/>
        <w:spacing w:after="60"/>
      </w:pPr>
      <w:r>
        <w:rPr>
          <w:b w:val="0"/>
          <w:i w:val="0"/>
        </w:rPr>
        <w:t>No funds are ring-fenced or held in restricted accounts under the proposed structure. Jalour's position is that the rule requiring a separate project account for developers on state-allocated land does not apply to these plots; the basis is in the data room.</w:t>
      </w:r>
    </w:p>
    <w:p>
      <w:pPr>
        <w:pStyle w:val="ListBullet"/>
        <w:spacing w:after="60"/>
      </w:pPr>
      <w:r>
        <w:rPr>
          <w:b w:val="0"/>
          <w:i w:val="0"/>
        </w:rPr>
        <w:t>The balance of project funding is provided by Jalour sponsor equity, project collections and other capital sources.</w:t>
      </w:r>
    </w:p>
    <w:p>
      <w:r>
        <w:rPr>
          <w:b w:val="0"/>
          <w:i w:val="0"/>
        </w:rPr>
        <w:t>Jalour may raise further capital at project or holding level, subject to the investor's stated rights as to ranking, collateral and information. This is a standard term and does not offer exclusivity.</w:t>
      </w:r>
    </w:p>
    <w:p>
      <w:pPr>
        <w:pStyle w:val="Heading1"/>
        <w:pageBreakBefore/>
      </w:pPr>
      <w:r>
        <w:t>2. Al Ahly Sabbour agreement and consent status</w:t>
      </w:r>
    </w:p>
    <w:p>
      <w:pPr>
        <w:keepNext/>
        <w:spacing w:after="60"/>
      </w:pPr>
      <w:r>
        <w:rPr>
          <w:b/>
          <w:color w:val="17324D"/>
          <w:sz w:val="19"/>
        </w:rPr>
        <w:t>Table 2: Agreement terms and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494"/>
            <w:shd w:val="clear" w:color="auto" w:fill="17324D"/>
          </w:tcPr>
          <w:p>
            <w:pPr>
              <w:spacing w:after="0" w:line="240" w:lineRule="auto"/>
            </w:pPr>
            <w:r/>
            <w:r>
              <w:rPr>
                <w:b/>
                <w:color w:val="FFFFFF"/>
                <w:sz w:val="19"/>
              </w:rPr>
              <w:t>Term (from the Jalour model)</w:t>
            </w:r>
          </w:p>
        </w:tc>
        <w:tc>
          <w:tcPr>
            <w:tcW w:type="dxa" w:w="3628"/>
            <w:shd w:val="clear" w:color="auto" w:fill="17324D"/>
          </w:tcPr>
          <w:p>
            <w:pPr>
              <w:spacing w:after="0" w:line="240" w:lineRule="auto"/>
            </w:pPr>
            <w:r/>
            <w:r>
              <w:rPr>
                <w:b/>
                <w:color w:val="FFFFFF"/>
                <w:sz w:val="19"/>
              </w:rPr>
              <w:t>Detail</w:t>
            </w:r>
          </w:p>
        </w:tc>
        <w:tc>
          <w:tcPr>
            <w:tcW w:type="dxa" w:w="3118"/>
            <w:shd w:val="clear" w:color="auto" w:fill="17324D"/>
          </w:tcPr>
          <w:p>
            <w:pPr>
              <w:spacing w:after="0" w:line="240" w:lineRule="auto"/>
            </w:pPr>
            <w:r/>
            <w:r>
              <w:rPr>
                <w:b/>
                <w:color w:val="FFFFFF"/>
                <w:sz w:val="19"/>
              </w:rPr>
              <w:t>Evidence to provide</w:t>
            </w:r>
          </w:p>
        </w:tc>
      </w:tr>
      <w:tr>
        <w:trPr>
          <w:cantSplit/>
        </w:trPr>
        <w:tc>
          <w:tcPr>
            <w:tcW w:type="dxa" w:w="2494"/>
          </w:tcPr>
          <w:p>
            <w:pPr>
              <w:spacing w:after="0" w:line="240" w:lineRule="auto"/>
            </w:pPr>
            <w:r/>
            <w:r>
              <w:rPr>
                <w:b/>
                <w:sz w:val="19"/>
              </w:rPr>
              <w:t>Landlord share</w:t>
            </w:r>
          </w:p>
        </w:tc>
        <w:tc>
          <w:tcPr>
            <w:tcW w:type="dxa" w:w="3628"/>
          </w:tcPr>
          <w:p>
            <w:pPr>
              <w:spacing w:after="0" w:line="240" w:lineRule="auto"/>
            </w:pPr>
            <w:r/>
            <w:r>
              <w:rPr>
                <w:sz w:val="19"/>
              </w:rPr>
              <w:t>35% of collections</w:t>
            </w:r>
          </w:p>
        </w:tc>
        <w:tc>
          <w:tcPr>
            <w:tcW w:type="dxa" w:w="3118"/>
          </w:tcPr>
          <w:p>
            <w:pPr>
              <w:spacing w:after="0" w:line="240" w:lineRule="auto"/>
            </w:pPr>
            <w:r/>
            <w:r>
              <w:rPr>
                <w:sz w:val="19"/>
              </w:rPr>
              <w:t>Signed agreement</w:t>
            </w:r>
          </w:p>
        </w:tc>
      </w:tr>
      <w:tr>
        <w:trPr>
          <w:cantSplit/>
        </w:trPr>
        <w:tc>
          <w:tcPr>
            <w:tcW w:type="dxa" w:w="2494"/>
            <w:shd w:val="clear" w:color="auto" w:fill="F2F4F7"/>
          </w:tcPr>
          <w:p>
            <w:pPr>
              <w:spacing w:after="0" w:line="240" w:lineRule="auto"/>
            </w:pPr>
            <w:r/>
            <w:r>
              <w:rPr>
                <w:b/>
                <w:sz w:val="19"/>
              </w:rPr>
              <w:t>Minimum guarantee</w:t>
            </w:r>
          </w:p>
        </w:tc>
        <w:tc>
          <w:tcPr>
            <w:tcW w:type="dxa" w:w="3628"/>
            <w:shd w:val="clear" w:color="auto" w:fill="F2F4F7"/>
          </w:tcPr>
          <w:p>
            <w:pPr>
              <w:spacing w:after="0" w:line="240" w:lineRule="auto"/>
            </w:pPr>
            <w:r/>
            <w:r>
              <w:rPr>
                <w:sz w:val="19"/>
              </w:rPr>
              <w:t>EGP 800 million over six years</w:t>
            </w:r>
          </w:p>
        </w:tc>
        <w:tc>
          <w:tcPr>
            <w:tcW w:type="dxa" w:w="3118"/>
            <w:shd w:val="clear" w:color="auto" w:fill="F2F4F7"/>
          </w:tcPr>
          <w:p>
            <w:pPr>
              <w:spacing w:after="0" w:line="240" w:lineRule="auto"/>
            </w:pPr>
            <w:r/>
            <w:r>
              <w:rPr>
                <w:sz w:val="19"/>
              </w:rPr>
              <w:t>Schedule and payment mechanics</w:t>
            </w:r>
          </w:p>
        </w:tc>
      </w:tr>
      <w:tr>
        <w:trPr>
          <w:cantSplit/>
        </w:trPr>
        <w:tc>
          <w:tcPr>
            <w:tcW w:type="dxa" w:w="2494"/>
          </w:tcPr>
          <w:p>
            <w:pPr>
              <w:spacing w:after="0" w:line="240" w:lineRule="auto"/>
            </w:pPr>
            <w:r/>
            <w:r>
              <w:rPr>
                <w:b/>
                <w:sz w:val="19"/>
              </w:rPr>
              <w:t>Down payment</w:t>
            </w:r>
          </w:p>
        </w:tc>
        <w:tc>
          <w:tcPr>
            <w:tcW w:type="dxa" w:w="3628"/>
          </w:tcPr>
          <w:p>
            <w:pPr>
              <w:spacing w:after="0" w:line="240" w:lineRule="auto"/>
            </w:pPr>
            <w:r/>
            <w:r>
              <w:rPr>
                <w:sz w:val="19"/>
              </w:rPr>
              <w:t>EGP 80 million (10%)</w:t>
            </w:r>
          </w:p>
        </w:tc>
        <w:tc>
          <w:tcPr>
            <w:tcW w:type="dxa" w:w="3118"/>
          </w:tcPr>
          <w:p>
            <w:pPr>
              <w:spacing w:after="0" w:line="240" w:lineRule="auto"/>
            </w:pPr>
            <w:r/>
            <w:r>
              <w:rPr>
                <w:sz w:val="19"/>
              </w:rPr>
              <w:t>Proof of payment or payment date</w:t>
            </w:r>
          </w:p>
        </w:tc>
      </w:tr>
      <w:tr>
        <w:trPr>
          <w:cantSplit/>
        </w:trPr>
        <w:tc>
          <w:tcPr>
            <w:tcW w:type="dxa" w:w="2494"/>
            <w:shd w:val="clear" w:color="auto" w:fill="F2F4F7"/>
          </w:tcPr>
          <w:p>
            <w:pPr>
              <w:spacing w:after="0" w:line="240" w:lineRule="auto"/>
            </w:pPr>
            <w:r/>
            <w:r>
              <w:rPr>
                <w:b/>
                <w:sz w:val="19"/>
              </w:rPr>
              <w:t>Guarantee schedule</w:t>
            </w:r>
          </w:p>
        </w:tc>
        <w:tc>
          <w:tcPr>
            <w:tcW w:type="dxa" w:w="3628"/>
            <w:shd w:val="clear" w:color="auto" w:fill="F2F4F7"/>
          </w:tcPr>
          <w:p>
            <w:pPr>
              <w:spacing w:after="0" w:line="240" w:lineRule="auto"/>
            </w:pPr>
            <w:r/>
            <w:r>
              <w:rPr>
                <w:sz w:val="19"/>
              </w:rPr>
              <w:t>Y1 45, Y2 90, Y3 135, Y4 180, Y5 180, Y6 90 (EGP million)</w:t>
            </w:r>
          </w:p>
        </w:tc>
        <w:tc>
          <w:tcPr>
            <w:tcW w:type="dxa" w:w="3118"/>
            <w:shd w:val="clear" w:color="auto" w:fill="F2F4F7"/>
          </w:tcPr>
          <w:p>
            <w:pPr>
              <w:spacing w:after="0" w:line="240" w:lineRule="auto"/>
            </w:pPr>
            <w:r/>
            <w:r>
              <w:rPr>
                <w:sz w:val="19"/>
              </w:rPr>
              <w:t>Agreement schedule</w:t>
            </w:r>
          </w:p>
        </w:tc>
      </w:tr>
      <w:tr>
        <w:trPr>
          <w:cantSplit/>
        </w:trPr>
        <w:tc>
          <w:tcPr>
            <w:tcW w:type="dxa" w:w="2494"/>
          </w:tcPr>
          <w:p>
            <w:pPr>
              <w:spacing w:after="0" w:line="240" w:lineRule="auto"/>
            </w:pPr>
            <w:r/>
            <w:r>
              <w:rPr>
                <w:b/>
                <w:sz w:val="19"/>
              </w:rPr>
              <w:t>Excess over guarantee</w:t>
            </w:r>
          </w:p>
        </w:tc>
        <w:tc>
          <w:tcPr>
            <w:tcW w:type="dxa" w:w="3628"/>
          </w:tcPr>
          <w:p>
            <w:pPr>
              <w:spacing w:after="0" w:line="240" w:lineRule="auto"/>
            </w:pPr>
            <w:r/>
            <w:r>
              <w:rPr>
                <w:sz w:val="19"/>
              </w:rPr>
              <w:t>Settled from year 8</w:t>
            </w:r>
          </w:p>
        </w:tc>
        <w:tc>
          <w:tcPr>
            <w:tcW w:type="dxa" w:w="3118"/>
          </w:tcPr>
          <w:p>
            <w:pPr>
              <w:spacing w:after="0" w:line="240" w:lineRule="auto"/>
            </w:pPr>
            <w:r/>
            <w:r>
              <w:rPr>
                <w:sz w:val="19"/>
              </w:rPr>
              <w:t>Settlement clause</w:t>
            </w:r>
          </w:p>
        </w:tc>
      </w:tr>
      <w:tr>
        <w:trPr>
          <w:cantSplit/>
        </w:trPr>
        <w:tc>
          <w:tcPr>
            <w:tcW w:type="dxa" w:w="2494"/>
            <w:shd w:val="clear" w:color="auto" w:fill="F2F4F7"/>
          </w:tcPr>
          <w:p>
            <w:pPr>
              <w:spacing w:after="0" w:line="240" w:lineRule="auto"/>
            </w:pPr>
            <w:r/>
            <w:r>
              <w:rPr>
                <w:b/>
                <w:sz w:val="19"/>
              </w:rPr>
              <w:t>Scope</w:t>
            </w:r>
          </w:p>
        </w:tc>
        <w:tc>
          <w:tcPr>
            <w:tcW w:type="dxa" w:w="3628"/>
            <w:shd w:val="clear" w:color="auto" w:fill="F2F4F7"/>
          </w:tcPr>
          <w:p>
            <w:pPr>
              <w:spacing w:after="0" w:line="240" w:lineRule="auto"/>
            </w:pPr>
            <w:r/>
            <w:r>
              <w:rPr>
                <w:sz w:val="19"/>
              </w:rPr>
              <w:t>Jalour designs, permits, builds (core and shell), markets, sells, collects, operates</w:t>
            </w:r>
          </w:p>
        </w:tc>
        <w:tc>
          <w:tcPr>
            <w:tcW w:type="dxa" w:w="3118"/>
            <w:shd w:val="clear" w:color="auto" w:fill="F2F4F7"/>
          </w:tcPr>
          <w:p>
            <w:pPr>
              <w:spacing w:after="0" w:line="240" w:lineRule="auto"/>
            </w:pPr>
            <w:r/>
            <w:r>
              <w:rPr>
                <w:sz w:val="19"/>
              </w:rPr>
              <w:t>Scope and approvals clauses</w:t>
            </w:r>
          </w:p>
        </w:tc>
      </w:tr>
      <w:tr>
        <w:trPr>
          <w:cantSplit/>
        </w:trPr>
        <w:tc>
          <w:tcPr>
            <w:tcW w:type="dxa" w:w="2494"/>
          </w:tcPr>
          <w:p>
            <w:pPr>
              <w:spacing w:after="0" w:line="240" w:lineRule="auto"/>
            </w:pPr>
            <w:r/>
            <w:r>
              <w:rPr>
                <w:b/>
                <w:sz w:val="19"/>
              </w:rPr>
              <w:t>Delivery</w:t>
            </w:r>
          </w:p>
        </w:tc>
        <w:tc>
          <w:tcPr>
            <w:tcW w:type="dxa" w:w="3628"/>
          </w:tcPr>
          <w:p>
            <w:pPr>
              <w:spacing w:after="0" w:line="240" w:lineRule="auto"/>
            </w:pPr>
            <w:r/>
            <w:r>
              <w:rPr>
                <w:sz w:val="19"/>
              </w:rPr>
              <w:t>Project month 48</w:t>
            </w:r>
          </w:p>
        </w:tc>
        <w:tc>
          <w:tcPr>
            <w:tcW w:type="dxa" w:w="3118"/>
          </w:tcPr>
          <w:p>
            <w:pPr>
              <w:spacing w:after="0" w:line="240" w:lineRule="auto"/>
            </w:pPr>
            <w:r/>
            <w:r>
              <w:rPr>
                <w:sz w:val="19"/>
              </w:rPr>
              <w:t>Delivery covenant, remedies for delay</w:t>
            </w:r>
          </w:p>
        </w:tc>
      </w:tr>
    </w:tbl>
    <w:p>
      <w:pPr>
        <w:spacing w:after="80"/>
      </w:pPr>
    </w:p>
    <w:p>
      <w:pPr>
        <w:pStyle w:val="Heading2"/>
      </w:pPr>
      <w:r>
        <w:t>Consent requirements and status</w:t>
      </w:r>
    </w:p>
    <w:p>
      <w:pPr>
        <w:keepNext/>
        <w:spacing w:after="60"/>
      </w:pPr>
      <w:r>
        <w:rPr>
          <w:b/>
          <w:color w:val="17324D"/>
          <w:sz w:val="19"/>
        </w:rPr>
        <w:t>Table 3: Consents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535"/>
            <w:shd w:val="clear" w:color="auto" w:fill="17324D"/>
          </w:tcPr>
          <w:p>
            <w:pPr>
              <w:spacing w:after="0" w:line="240" w:lineRule="auto"/>
            </w:pPr>
            <w:r/>
            <w:r>
              <w:rPr>
                <w:b/>
                <w:color w:val="FFFFFF"/>
                <w:sz w:val="19"/>
              </w:rPr>
              <w:t>Consent</w:t>
            </w:r>
          </w:p>
        </w:tc>
        <w:tc>
          <w:tcPr>
            <w:tcW w:type="dxa" w:w="1814"/>
            <w:shd w:val="clear" w:color="auto" w:fill="17324D"/>
          </w:tcPr>
          <w:p>
            <w:pPr>
              <w:spacing w:after="0" w:line="240" w:lineRule="auto"/>
            </w:pPr>
            <w:r/>
            <w:r>
              <w:rPr>
                <w:b/>
                <w:color w:val="FFFFFF"/>
                <w:sz w:val="19"/>
              </w:rPr>
              <w:t>Needed for</w:t>
            </w:r>
          </w:p>
        </w:tc>
        <w:tc>
          <w:tcPr>
            <w:tcW w:type="dxa" w:w="2891"/>
            <w:shd w:val="clear" w:color="auto" w:fill="17324D"/>
          </w:tcPr>
          <w:p>
            <w:pPr>
              <w:spacing w:after="0" w:line="240" w:lineRule="auto"/>
            </w:pPr>
            <w:r/>
            <w:r>
              <w:rPr>
                <w:b/>
                <w:color w:val="FFFFFF"/>
                <w:sz w:val="19"/>
              </w:rPr>
              <w:t>Status</w:t>
            </w:r>
          </w:p>
        </w:tc>
      </w:tr>
      <w:tr>
        <w:trPr>
          <w:cantSplit/>
        </w:trPr>
        <w:tc>
          <w:tcPr>
            <w:tcW w:type="dxa" w:w="4535"/>
          </w:tcPr>
          <w:p>
            <w:pPr>
              <w:spacing w:after="0" w:line="240" w:lineRule="auto"/>
            </w:pPr>
            <w:r/>
            <w:r>
              <w:rPr>
                <w:sz w:val="19"/>
              </w:rPr>
              <w:t>Allocation of units to the investor</w:t>
            </w:r>
          </w:p>
        </w:tc>
        <w:tc>
          <w:tcPr>
            <w:tcW w:type="dxa" w:w="1814"/>
          </w:tcPr>
          <w:p>
            <w:pPr>
              <w:spacing w:after="0" w:line="240" w:lineRule="auto"/>
            </w:pPr>
            <w:r/>
            <w:r>
              <w:rPr>
                <w:sz w:val="19"/>
              </w:rPr>
              <w:t>Option A</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Assignment of the investor's contract before handover</w:t>
            </w:r>
          </w:p>
        </w:tc>
        <w:tc>
          <w:tcPr>
            <w:tcW w:type="dxa" w:w="1814"/>
            <w:shd w:val="clear" w:color="auto" w:fill="F2F4F7"/>
          </w:tcPr>
          <w:p>
            <w:pPr>
              <w:spacing w:after="0" w:line="240" w:lineRule="auto"/>
            </w:pPr>
            <w:r/>
            <w:r>
              <w:rPr>
                <w:sz w:val="19"/>
              </w:rPr>
              <w:t>Option A</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Earmark of unsold units as collateral</w:t>
            </w:r>
          </w:p>
        </w:tc>
        <w:tc>
          <w:tcPr>
            <w:tcW w:type="dxa" w:w="1814"/>
          </w:tcPr>
          <w:p>
            <w:pPr>
              <w:spacing w:after="0" w:line="240" w:lineRule="auto"/>
            </w:pPr>
            <w:r/>
            <w:r>
              <w:rPr>
                <w:sz w:val="19"/>
              </w:rPr>
              <w:t>Option B</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Acknowledgement that landlord payments are unchanged and borne by Jalour</w:t>
            </w:r>
          </w:p>
        </w:tc>
        <w:tc>
          <w:tcPr>
            <w:tcW w:type="dxa" w:w="1814"/>
            <w:shd w:val="clear" w:color="auto" w:fill="F2F4F7"/>
          </w:tcPr>
          <w:p>
            <w:pPr>
              <w:spacing w:after="0" w:line="240" w:lineRule="auto"/>
            </w:pPr>
            <w:r/>
            <w:r>
              <w:rPr>
                <w:sz w:val="19"/>
              </w:rPr>
              <w:t>Both</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Any assignment of collections or encumbrance affecting the landlord share</w:t>
            </w:r>
          </w:p>
        </w:tc>
        <w:tc>
          <w:tcPr>
            <w:tcW w:type="dxa" w:w="1814"/>
          </w:tcPr>
          <w:p>
            <w:pPr>
              <w:spacing w:after="0" w:line="240" w:lineRule="auto"/>
            </w:pPr>
            <w:r/>
            <w:r>
              <w:rPr>
                <w:sz w:val="19"/>
              </w:rPr>
              <w:t>Not proposed</w:t>
            </w:r>
          </w:p>
        </w:tc>
        <w:tc>
          <w:tcPr>
            <w:tcW w:type="dxa" w:w="2891"/>
          </w:tcPr>
          <w:p>
            <w:pPr>
              <w:spacing w:after="0" w:line="240" w:lineRule="auto"/>
            </w:pPr>
            <w:r/>
            <w:r>
              <w:rPr>
                <w:sz w:val="19"/>
              </w:rPr>
              <w:t>Not required unless the structure changes</w:t>
            </w:r>
          </w:p>
        </w:tc>
      </w:tr>
    </w:tbl>
    <w:p>
      <w:pPr>
        <w:spacing w:after="80"/>
      </w:pPr>
    </w:p>
    <w:p>
      <w:r>
        <w:rPr>
          <w:b w:val="0"/>
          <w:i w:val="0"/>
        </w:rPr>
        <w:t>Receipt of the landlord's written consent is a condition precedent to signing. The investor should see the consent before funding.</w:t>
      </w:r>
    </w:p>
    <w:p>
      <w:pPr>
        <w:pStyle w:val="Heading1"/>
        <w:pageBreakBefore/>
      </w:pPr>
      <w:r>
        <w:t>3. Permits, licences and land status</w:t>
      </w:r>
    </w:p>
    <w:p>
      <w:pPr>
        <w:keepNext/>
        <w:spacing w:after="60"/>
      </w:pPr>
      <w:r>
        <w:rPr>
          <w:b/>
          <w:color w:val="17324D"/>
          <w:sz w:val="19"/>
        </w:rPr>
        <w:t>Table 4: Permit and land status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572"/>
            <w:shd w:val="clear" w:color="auto" w:fill="17324D"/>
          </w:tcPr>
          <w:p>
            <w:pPr>
              <w:spacing w:after="0" w:line="240" w:lineRule="auto"/>
            </w:pPr>
            <w:r/>
            <w:r>
              <w:rPr>
                <w:b/>
                <w:color w:val="FFFFFF"/>
                <w:sz w:val="19"/>
              </w:rPr>
              <w:t>Item</w:t>
            </w:r>
          </w:p>
        </w:tc>
        <w:tc>
          <w:tcPr>
            <w:tcW w:type="dxa" w:w="1701"/>
            <w:shd w:val="clear" w:color="auto" w:fill="17324D"/>
          </w:tcPr>
          <w:p>
            <w:pPr>
              <w:spacing w:after="0" w:line="240" w:lineRule="auto"/>
            </w:pPr>
            <w:r/>
            <w:r>
              <w:rPr>
                <w:b/>
                <w:color w:val="FFFFFF"/>
                <w:sz w:val="19"/>
              </w:rPr>
              <w:t>Status</w:t>
            </w:r>
          </w:p>
        </w:tc>
        <w:tc>
          <w:tcPr>
            <w:tcW w:type="dxa" w:w="3969"/>
            <w:shd w:val="clear" w:color="auto" w:fill="17324D"/>
          </w:tcPr>
          <w:p>
            <w:pPr>
              <w:spacing w:after="0" w:line="240" w:lineRule="auto"/>
            </w:pPr>
            <w:r/>
            <w:r>
              <w:rPr>
                <w:b/>
                <w:color w:val="FFFFFF"/>
                <w:sz w:val="19"/>
              </w:rPr>
              <w:t>Document</w:t>
            </w:r>
          </w:p>
        </w:tc>
      </w:tr>
      <w:tr>
        <w:trPr>
          <w:cantSplit/>
        </w:trPr>
        <w:tc>
          <w:tcPr>
            <w:tcW w:type="dxa" w:w="3572"/>
          </w:tcPr>
          <w:p>
            <w:pPr>
              <w:spacing w:after="0" w:line="240" w:lineRule="auto"/>
            </w:pPr>
            <w:r/>
            <w:r>
              <w:rPr>
                <w:sz w:val="19"/>
              </w:rPr>
              <w:t>Land title and allocation to the landowner</w:t>
            </w:r>
          </w:p>
        </w:tc>
        <w:tc>
          <w:tcPr>
            <w:tcW w:type="dxa" w:w="1701"/>
          </w:tcPr>
          <w:p>
            <w:pPr>
              <w:spacing w:after="0" w:line="240" w:lineRule="auto"/>
            </w:pPr>
            <w:r/>
            <w:r>
              <w:rPr>
                <w:sz w:val="19"/>
              </w:rPr>
              <w:t>[After NDA]</w:t>
            </w:r>
          </w:p>
        </w:tc>
        <w:tc>
          <w:tcPr>
            <w:tcW w:type="dxa" w:w="3969"/>
          </w:tcPr>
          <w:p>
            <w:pPr>
              <w:spacing w:after="0" w:line="240" w:lineRule="auto"/>
            </w:pPr>
            <w:r/>
            <w:r>
              <w:rPr>
                <w:sz w:val="19"/>
              </w:rPr>
              <w:t>Title deed, allocation contract, master-developer approvals</w:t>
            </w:r>
          </w:p>
        </w:tc>
      </w:tr>
      <w:tr>
        <w:trPr>
          <w:cantSplit/>
        </w:trPr>
        <w:tc>
          <w:tcPr>
            <w:tcW w:type="dxa" w:w="3572"/>
            <w:shd w:val="clear" w:color="auto" w:fill="F2F4F7"/>
          </w:tcPr>
          <w:p>
            <w:pPr>
              <w:spacing w:after="0" w:line="240" w:lineRule="auto"/>
            </w:pPr>
            <w:r/>
            <w:r>
              <w:rPr>
                <w:sz w:val="19"/>
              </w:rPr>
              <w:t>Master-plan and detailed-plan approval for the plot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Ministerial or authority approval</w:t>
            </w:r>
          </w:p>
        </w:tc>
      </w:tr>
      <w:tr>
        <w:trPr>
          <w:cantSplit/>
        </w:trPr>
        <w:tc>
          <w:tcPr>
            <w:tcW w:type="dxa" w:w="3572"/>
          </w:tcPr>
          <w:p>
            <w:pPr>
              <w:spacing w:after="0" w:line="240" w:lineRule="auto"/>
            </w:pPr>
            <w:r/>
            <w:r>
              <w:rPr>
                <w:sz w:val="19"/>
              </w:rPr>
              <w:t>Building permit and licences</w:t>
            </w:r>
          </w:p>
        </w:tc>
        <w:tc>
          <w:tcPr>
            <w:tcW w:type="dxa" w:w="1701"/>
          </w:tcPr>
          <w:p>
            <w:pPr>
              <w:spacing w:after="0" w:line="240" w:lineRule="auto"/>
            </w:pPr>
            <w:r/>
            <w:r>
              <w:rPr>
                <w:sz w:val="19"/>
              </w:rPr>
              <w:t>[After NDA]</w:t>
            </w:r>
          </w:p>
        </w:tc>
        <w:tc>
          <w:tcPr>
            <w:tcW w:type="dxa" w:w="3969"/>
          </w:tcPr>
          <w:p>
            <w:pPr>
              <w:spacing w:after="0" w:line="240" w:lineRule="auto"/>
            </w:pPr>
            <w:r/>
            <w:r>
              <w:rPr>
                <w:sz w:val="19"/>
              </w:rPr>
              <w:t>Permit, civil defence, utilities</w:t>
            </w:r>
          </w:p>
        </w:tc>
      </w:tr>
      <w:tr>
        <w:trPr>
          <w:cantSplit/>
        </w:trPr>
        <w:tc>
          <w:tcPr>
            <w:tcW w:type="dxa" w:w="3572"/>
            <w:shd w:val="clear" w:color="auto" w:fill="F2F4F7"/>
          </w:tcPr>
          <w:p>
            <w:pPr>
              <w:spacing w:after="0" w:line="240" w:lineRule="auto"/>
            </w:pPr>
            <w:r/>
            <w:r>
              <w:rPr>
                <w:sz w:val="19"/>
              </w:rPr>
              <w:t>Environmental and utilities approvals</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Approvals and capacity letters</w:t>
            </w:r>
          </w:p>
        </w:tc>
      </w:tr>
      <w:tr>
        <w:trPr>
          <w:cantSplit/>
        </w:trPr>
        <w:tc>
          <w:tcPr>
            <w:tcW w:type="dxa" w:w="3572"/>
          </w:tcPr>
          <w:p>
            <w:pPr>
              <w:spacing w:after="0" w:line="240" w:lineRule="auto"/>
            </w:pPr>
            <w:r/>
            <w:r>
              <w:rPr>
                <w:sz w:val="19"/>
              </w:rPr>
              <w:t>Sales approval before launch</w:t>
            </w:r>
          </w:p>
        </w:tc>
        <w:tc>
          <w:tcPr>
            <w:tcW w:type="dxa" w:w="1701"/>
          </w:tcPr>
          <w:p>
            <w:pPr>
              <w:spacing w:after="0" w:line="240" w:lineRule="auto"/>
            </w:pPr>
            <w:r/>
            <w:r>
              <w:rPr>
                <w:sz w:val="19"/>
              </w:rPr>
              <w:t>[After NDA]</w:t>
            </w:r>
          </w:p>
        </w:tc>
        <w:tc>
          <w:tcPr>
            <w:tcW w:type="dxa" w:w="3969"/>
          </w:tcPr>
          <w:p>
            <w:pPr>
              <w:spacing w:after="0" w:line="240" w:lineRule="auto"/>
            </w:pPr>
            <w:r/>
            <w:r>
              <w:rPr>
                <w:sz w:val="19"/>
              </w:rPr>
              <w:t>Authority approval to announce and sell (see section 6)</w:t>
            </w:r>
          </w:p>
        </w:tc>
      </w:tr>
      <w:tr>
        <w:trPr>
          <w:cantSplit/>
        </w:trPr>
        <w:tc>
          <w:tcPr>
            <w:tcW w:type="dxa" w:w="3572"/>
            <w:shd w:val="clear" w:color="auto" w:fill="F2F4F7"/>
          </w:tcPr>
          <w:p>
            <w:pPr>
              <w:spacing w:after="0" w:line="240" w:lineRule="auto"/>
            </w:pPr>
            <w:r/>
            <w:r>
              <w:rPr>
                <w:sz w:val="19"/>
              </w:rPr>
              <w:t>Design and consultant appointment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Appointment letters, design approvals</w:t>
            </w:r>
          </w:p>
        </w:tc>
      </w:tr>
    </w:tbl>
    <w:p>
      <w:pPr>
        <w:spacing w:after="80"/>
      </w:pPr>
    </w:p>
    <w:p>
      <w:r>
        <w:rPr>
          <w:b w:val="0"/>
          <w:i w:val="0"/>
        </w:rPr>
        <w:t>Prime Minister Decree 2184 of 2022 reportedly bars developers on state-allocated land from announcing sales before approval of the general and detailed plans (Invest-Gate; Mondaq). Jalour's position is that it does not apply to these plots; the basis is provided in the data room after the investor signs a non-disclosure agreement.</w:t>
      </w:r>
    </w:p>
    <w:p>
      <w:pPr>
        <w:pStyle w:val="Heading1"/>
        <w:pageBreakBefore/>
      </w:pPr>
      <w:r>
        <w:t>4. Construction and cost basis</w:t>
      </w:r>
    </w:p>
    <w:p>
      <w:pPr>
        <w:keepNext/>
        <w:spacing w:after="60"/>
      </w:pPr>
      <w:r>
        <w:rPr>
          <w:b/>
          <w:color w:val="17324D"/>
          <w:sz w:val="19"/>
        </w:rPr>
        <w:t>Table 5: Cost basis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948"/>
            <w:shd w:val="clear" w:color="auto" w:fill="17324D"/>
          </w:tcPr>
          <w:p>
            <w:pPr>
              <w:spacing w:after="0" w:line="240" w:lineRule="auto"/>
            </w:pPr>
            <w:r/>
            <w:r>
              <w:rPr>
                <w:b/>
                <w:color w:val="FFFFFF"/>
                <w:sz w:val="19"/>
              </w:rPr>
              <w:t>Cost line</w:t>
            </w:r>
          </w:p>
        </w:tc>
        <w:tc>
          <w:tcPr>
            <w:tcW w:type="dxa" w:w="1417"/>
            <w:shd w:val="clear" w:color="auto" w:fill="17324D"/>
          </w:tcPr>
          <w:p>
            <w:pPr>
              <w:spacing w:after="0" w:line="240" w:lineRule="auto"/>
              <w:jc w:val="right"/>
            </w:pPr>
            <w:r/>
            <w:r>
              <w:rPr>
                <w:b/>
                <w:color w:val="FFFFFF"/>
                <w:sz w:val="19"/>
              </w:rPr>
              <w:t>EGP million</w:t>
            </w:r>
          </w:p>
        </w:tc>
        <w:tc>
          <w:tcPr>
            <w:tcW w:type="dxa" w:w="4876"/>
            <w:shd w:val="clear" w:color="auto" w:fill="17324D"/>
          </w:tcPr>
          <w:p>
            <w:pPr>
              <w:spacing w:after="0" w:line="240" w:lineRule="auto"/>
              <w:jc w:val="right"/>
            </w:pPr>
            <w:r/>
            <w:r>
              <w:rPr>
                <w:b/>
                <w:color w:val="FFFFFF"/>
                <w:sz w:val="19"/>
              </w:rPr>
              <w:t>Basis</w:t>
            </w:r>
          </w:p>
        </w:tc>
      </w:tr>
      <w:tr>
        <w:trPr>
          <w:cantSplit/>
        </w:trPr>
        <w:tc>
          <w:tcPr>
            <w:tcW w:type="dxa" w:w="2948"/>
          </w:tcPr>
          <w:p>
            <w:pPr>
              <w:spacing w:after="0" w:line="240" w:lineRule="auto"/>
            </w:pPr>
            <w:r/>
            <w:r>
              <w:rPr>
                <w:sz w:val="19"/>
              </w:rPr>
              <w:t>Construction (core and shell)</w:t>
            </w:r>
          </w:p>
        </w:tc>
        <w:tc>
          <w:tcPr>
            <w:tcW w:type="dxa" w:w="1417"/>
          </w:tcPr>
          <w:p>
            <w:pPr>
              <w:spacing w:after="0" w:line="240" w:lineRule="auto"/>
              <w:jc w:val="right"/>
            </w:pPr>
            <w:r/>
            <w:r>
              <w:rPr>
                <w:sz w:val="19"/>
              </w:rPr>
              <w:t>697.2</w:t>
            </w:r>
          </w:p>
        </w:tc>
        <w:tc>
          <w:tcPr>
            <w:tcW w:type="dxa" w:w="4876"/>
          </w:tcPr>
          <w:p>
            <w:pPr>
              <w:spacing w:after="0" w:line="240" w:lineRule="auto"/>
              <w:jc w:val="right"/>
            </w:pPr>
            <w:r/>
            <w:r>
              <w:rPr>
                <w:sz w:val="19"/>
              </w:rPr>
              <w:t>Stage schedule scaled by a factor of 8 in the model [Jalour to explain what the factor represents and provide contractor pricing]</w:t>
            </w:r>
          </w:p>
        </w:tc>
      </w:tr>
      <w:tr>
        <w:trPr>
          <w:cantSplit/>
        </w:trPr>
        <w:tc>
          <w:tcPr>
            <w:tcW w:type="dxa" w:w="2948"/>
            <w:shd w:val="clear" w:color="auto" w:fill="F2F4F7"/>
          </w:tcPr>
          <w:p>
            <w:pPr>
              <w:spacing w:after="0" w:line="240" w:lineRule="auto"/>
            </w:pPr>
            <w:r/>
            <w:r>
              <w:rPr>
                <w:sz w:val="19"/>
              </w:rPr>
              <w:t>Sales commission</w:t>
            </w:r>
          </w:p>
        </w:tc>
        <w:tc>
          <w:tcPr>
            <w:tcW w:type="dxa" w:w="1417"/>
            <w:shd w:val="clear" w:color="auto" w:fill="F2F4F7"/>
          </w:tcPr>
          <w:p>
            <w:pPr>
              <w:spacing w:after="0" w:line="240" w:lineRule="auto"/>
              <w:jc w:val="right"/>
            </w:pPr>
            <w:r/>
            <w:r>
              <w:rPr>
                <w:sz w:val="19"/>
              </w:rPr>
              <w:t>90.1</w:t>
            </w:r>
          </w:p>
        </w:tc>
        <w:tc>
          <w:tcPr>
            <w:tcW w:type="dxa" w:w="4876"/>
            <w:shd w:val="clear" w:color="auto" w:fill="F2F4F7"/>
          </w:tcPr>
          <w:p>
            <w:pPr>
              <w:spacing w:after="0" w:line="240" w:lineRule="auto"/>
              <w:jc w:val="right"/>
            </w:pPr>
            <w:r/>
            <w:r>
              <w:rPr>
                <w:sz w:val="19"/>
              </w:rPr>
              <w:t>4% of sales value, paid 12 months after each sale quarter</w:t>
            </w:r>
          </w:p>
        </w:tc>
      </w:tr>
      <w:tr>
        <w:trPr>
          <w:cantSplit/>
        </w:trPr>
        <w:tc>
          <w:tcPr>
            <w:tcW w:type="dxa" w:w="2948"/>
          </w:tcPr>
          <w:p>
            <w:pPr>
              <w:spacing w:after="0" w:line="240" w:lineRule="auto"/>
            </w:pPr>
            <w:r/>
            <w:r>
              <w:rPr>
                <w:sz w:val="19"/>
              </w:rPr>
              <w:t>SG&amp;A and others</w:t>
            </w:r>
          </w:p>
        </w:tc>
        <w:tc>
          <w:tcPr>
            <w:tcW w:type="dxa" w:w="1417"/>
          </w:tcPr>
          <w:p>
            <w:pPr>
              <w:spacing w:after="0" w:line="240" w:lineRule="auto"/>
              <w:jc w:val="right"/>
            </w:pPr>
            <w:r/>
            <w:r>
              <w:rPr>
                <w:sz w:val="19"/>
              </w:rPr>
              <w:t>104.6</w:t>
            </w:r>
          </w:p>
        </w:tc>
        <w:tc>
          <w:tcPr>
            <w:tcW w:type="dxa" w:w="4876"/>
          </w:tcPr>
          <w:p>
            <w:pPr>
              <w:spacing w:after="0" w:line="240" w:lineRule="auto"/>
              <w:jc w:val="right"/>
            </w:pPr>
            <w:r/>
            <w:r>
              <w:rPr>
                <w:sz w:val="19"/>
              </w:rPr>
              <w:t>15% of construction: contingency 5%, professional fees 5%, overhead 5%</w:t>
            </w:r>
          </w:p>
        </w:tc>
      </w:tr>
    </w:tbl>
    <w:p>
      <w:pPr>
        <w:spacing w:after="80"/>
      </w:pPr>
    </w:p>
    <w:p>
      <w:pPr>
        <w:keepNext/>
        <w:spacing w:after="60"/>
      </w:pPr>
      <w:r>
        <w:rPr>
          <w:b/>
          <w:color w:val="17324D"/>
          <w:sz w:val="19"/>
        </w:rPr>
        <w:t>Table 6: Stage cost schedule in the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Stage group (model unit schedule)</w:t>
            </w:r>
          </w:p>
        </w:tc>
        <w:tc>
          <w:tcPr>
            <w:tcW w:type="dxa" w:w="3572"/>
            <w:shd w:val="clear" w:color="auto" w:fill="17324D"/>
          </w:tcPr>
          <w:p>
            <w:pPr>
              <w:spacing w:after="0" w:line="240" w:lineRule="auto"/>
              <w:jc w:val="right"/>
            </w:pPr>
            <w:r/>
            <w:r>
              <w:rPr>
                <w:b/>
                <w:color w:val="FFFFFF"/>
                <w:sz w:val="19"/>
              </w:rPr>
              <w:t>EGP million before factor of 8</w:t>
            </w:r>
          </w:p>
        </w:tc>
      </w:tr>
      <w:tr>
        <w:trPr>
          <w:cantSplit/>
        </w:trPr>
        <w:tc>
          <w:tcPr>
            <w:tcW w:type="dxa" w:w="5669"/>
          </w:tcPr>
          <w:p>
            <w:pPr>
              <w:spacing w:after="0" w:line="240" w:lineRule="auto"/>
            </w:pPr>
            <w:r/>
            <w:r>
              <w:rPr>
                <w:sz w:val="19"/>
              </w:rPr>
              <w:t>Excavation and replacement</w:t>
            </w:r>
          </w:p>
        </w:tc>
        <w:tc>
          <w:tcPr>
            <w:tcW w:type="dxa" w:w="3572"/>
          </w:tcPr>
          <w:p>
            <w:pPr>
              <w:spacing w:after="0" w:line="240" w:lineRule="auto"/>
              <w:jc w:val="right"/>
            </w:pPr>
            <w:r/>
            <w:r>
              <w:rPr>
                <w:sz w:val="19"/>
              </w:rPr>
              <w:t>5.800</w:t>
            </w:r>
          </w:p>
        </w:tc>
      </w:tr>
      <w:tr>
        <w:trPr>
          <w:cantSplit/>
        </w:trPr>
        <w:tc>
          <w:tcPr>
            <w:tcW w:type="dxa" w:w="5669"/>
            <w:shd w:val="clear" w:color="auto" w:fill="F2F4F7"/>
          </w:tcPr>
          <w:p>
            <w:pPr>
              <w:spacing w:after="0" w:line="240" w:lineRule="auto"/>
            </w:pPr>
            <w:r/>
            <w:r>
              <w:rPr>
                <w:sz w:val="19"/>
              </w:rPr>
              <w:t>Concrete structure</w:t>
            </w:r>
          </w:p>
        </w:tc>
        <w:tc>
          <w:tcPr>
            <w:tcW w:type="dxa" w:w="3572"/>
            <w:shd w:val="clear" w:color="auto" w:fill="F2F4F7"/>
          </w:tcPr>
          <w:p>
            <w:pPr>
              <w:spacing w:after="0" w:line="240" w:lineRule="auto"/>
              <w:jc w:val="right"/>
            </w:pPr>
            <w:r/>
            <w:r>
              <w:rPr>
                <w:sz w:val="19"/>
              </w:rPr>
              <w:t>14.900</w:t>
            </w:r>
          </w:p>
        </w:tc>
      </w:tr>
      <w:tr>
        <w:trPr>
          <w:cantSplit/>
        </w:trPr>
        <w:tc>
          <w:tcPr>
            <w:tcW w:type="dxa" w:w="5669"/>
          </w:tcPr>
          <w:p>
            <w:pPr>
              <w:spacing w:after="0" w:line="240" w:lineRule="auto"/>
            </w:pPr>
            <w:r/>
            <w:r>
              <w:rPr>
                <w:sz w:val="19"/>
              </w:rPr>
              <w:t>Building works</w:t>
            </w:r>
          </w:p>
        </w:tc>
        <w:tc>
          <w:tcPr>
            <w:tcW w:type="dxa" w:w="3572"/>
          </w:tcPr>
          <w:p>
            <w:pPr>
              <w:spacing w:after="0" w:line="240" w:lineRule="auto"/>
              <w:jc w:val="right"/>
            </w:pPr>
            <w:r/>
            <w:r>
              <w:rPr>
                <w:sz w:val="19"/>
              </w:rPr>
              <w:t>1.320</w:t>
            </w:r>
          </w:p>
        </w:tc>
      </w:tr>
      <w:tr>
        <w:trPr>
          <w:cantSplit/>
        </w:trPr>
        <w:tc>
          <w:tcPr>
            <w:tcW w:type="dxa" w:w="5669"/>
            <w:shd w:val="clear" w:color="auto" w:fill="F2F4F7"/>
          </w:tcPr>
          <w:p>
            <w:pPr>
              <w:spacing w:after="0" w:line="240" w:lineRule="auto"/>
            </w:pPr>
            <w:r/>
            <w:r>
              <w:rPr>
                <w:sz w:val="19"/>
              </w:rPr>
              <w:t>MEP and plumbing</w:t>
            </w:r>
          </w:p>
        </w:tc>
        <w:tc>
          <w:tcPr>
            <w:tcW w:type="dxa" w:w="3572"/>
            <w:shd w:val="clear" w:color="auto" w:fill="F2F4F7"/>
          </w:tcPr>
          <w:p>
            <w:pPr>
              <w:spacing w:after="0" w:line="240" w:lineRule="auto"/>
              <w:jc w:val="right"/>
            </w:pPr>
            <w:r/>
            <w:r>
              <w:rPr>
                <w:sz w:val="19"/>
              </w:rPr>
              <w:t>40.000</w:t>
            </w:r>
          </w:p>
        </w:tc>
      </w:tr>
      <w:tr>
        <w:trPr>
          <w:cantSplit/>
        </w:trPr>
        <w:tc>
          <w:tcPr>
            <w:tcW w:type="dxa" w:w="5669"/>
          </w:tcPr>
          <w:p>
            <w:pPr>
              <w:spacing w:after="0" w:line="240" w:lineRule="auto"/>
            </w:pPr>
            <w:r/>
            <w:r>
              <w:rPr>
                <w:sz w:val="19"/>
              </w:rPr>
              <w:t>Curtain walls</w:t>
            </w:r>
          </w:p>
        </w:tc>
        <w:tc>
          <w:tcPr>
            <w:tcW w:type="dxa" w:w="3572"/>
          </w:tcPr>
          <w:p>
            <w:pPr>
              <w:spacing w:after="0" w:line="240" w:lineRule="auto"/>
              <w:jc w:val="right"/>
            </w:pPr>
            <w:r/>
            <w:r>
              <w:rPr>
                <w:sz w:val="19"/>
              </w:rPr>
              <w:t>21.000</w:t>
            </w:r>
          </w:p>
        </w:tc>
      </w:tr>
      <w:tr>
        <w:trPr>
          <w:cantSplit/>
        </w:trPr>
        <w:tc>
          <w:tcPr>
            <w:tcW w:type="dxa" w:w="5669"/>
            <w:shd w:val="clear" w:color="auto" w:fill="F2F4F7"/>
          </w:tcPr>
          <w:p>
            <w:pPr>
              <w:spacing w:after="0" w:line="240" w:lineRule="auto"/>
            </w:pPr>
            <w:r/>
            <w:r>
              <w:rPr>
                <w:sz w:val="19"/>
              </w:rPr>
              <w:t>Landscape</w:t>
            </w:r>
          </w:p>
        </w:tc>
        <w:tc>
          <w:tcPr>
            <w:tcW w:type="dxa" w:w="3572"/>
            <w:shd w:val="clear" w:color="auto" w:fill="F2F4F7"/>
          </w:tcPr>
          <w:p>
            <w:pPr>
              <w:spacing w:after="0" w:line="240" w:lineRule="auto"/>
              <w:jc w:val="right"/>
            </w:pPr>
            <w:r/>
            <w:r>
              <w:rPr>
                <w:sz w:val="19"/>
              </w:rPr>
              <w:t>4.125</w:t>
            </w:r>
          </w:p>
        </w:tc>
      </w:tr>
      <w:tr>
        <w:trPr>
          <w:cantSplit/>
        </w:trPr>
        <w:tc>
          <w:tcPr>
            <w:tcW w:type="dxa" w:w="5669"/>
          </w:tcPr>
          <w:p>
            <w:pPr>
              <w:spacing w:after="0" w:line="240" w:lineRule="auto"/>
            </w:pPr>
            <w:r/>
            <w:r>
              <w:rPr>
                <w:b/>
                <w:sz w:val="19"/>
              </w:rPr>
              <w:t>Total per unit schedule</w:t>
            </w:r>
          </w:p>
        </w:tc>
        <w:tc>
          <w:tcPr>
            <w:tcW w:type="dxa" w:w="3572"/>
          </w:tcPr>
          <w:p>
            <w:pPr>
              <w:spacing w:after="0" w:line="240" w:lineRule="auto"/>
              <w:jc w:val="right"/>
            </w:pPr>
            <w:r/>
            <w:r>
              <w:rPr>
                <w:b/>
                <w:sz w:val="19"/>
              </w:rPr>
              <w:t>87.145</w:t>
            </w:r>
          </w:p>
        </w:tc>
      </w:tr>
    </w:tbl>
    <w:p>
      <w:pPr>
        <w:spacing w:after="80"/>
      </w:pPr>
    </w:p>
    <w:p>
      <w:pPr>
        <w:pStyle w:val="ListBullet"/>
        <w:spacing w:after="60"/>
      </w:pPr>
      <w:r>
        <w:rPr>
          <w:b w:val="0"/>
          <w:i w:val="0"/>
        </w:rPr>
        <w:t>Cost per m2 of built-up area is about EGP 53.5 thousand, for core and shell including a basement stage. Jalour to provide a bill of quantities and contractor quotation to support it.</w:t>
      </w:r>
    </w:p>
    <w:p>
      <w:pPr>
        <w:pStyle w:val="ListBullet"/>
        <w:spacing w:after="60"/>
      </w:pPr>
      <w:r>
        <w:rPr>
          <w:b w:val="0"/>
          <w:i w:val="0"/>
        </w:rPr>
        <w:t>The model applies no construction cost inflation over the 36-month build. Jalour's working papers contain a construction-cost index that is not applied in the model. A 10% overrun reduces project NPV by EGP 53 million and a 20% overrun by EGP 106 million.</w:t>
      </w:r>
    </w:p>
    <w:p>
      <w:pPr>
        <w:pStyle w:val="ListBullet"/>
        <w:spacing w:after="60"/>
      </w:pPr>
      <w:r>
        <w:rPr>
          <w:b w:val="0"/>
          <w:i w:val="0"/>
        </w:rPr>
        <w:t>Design, permit and pre-construction costs are not separately modelled. The funding plan adds EGP 10.5 million as an assumption.</w:t>
      </w:r>
    </w:p>
    <w:p>
      <w:pPr>
        <w:pStyle w:val="ListBullet"/>
        <w:spacing w:after="60"/>
      </w:pPr>
      <w:r>
        <w:rPr>
          <w:b w:val="0"/>
          <w:i w:val="0"/>
        </w:rPr>
        <w:t>Independent engineer review of cost and programme is recommended (optional protection).</w:t>
      </w:r>
    </w:p>
    <w:p>
      <w:pPr>
        <w:pStyle w:val="Heading1"/>
        <w:pageBreakBefore/>
      </w:pPr>
      <w:r>
        <w:t>5. Sales and pricing evidence</w:t>
      </w:r>
    </w:p>
    <w:p>
      <w:pPr>
        <w:keepNext/>
        <w:spacing w:after="60"/>
      </w:pPr>
      <w:r>
        <w:rPr>
          <w:b/>
          <w:color w:val="17324D"/>
          <w:sz w:val="19"/>
        </w:rPr>
        <w:t>Table 7: Pricing against market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247"/>
            <w:shd w:val="clear" w:color="auto" w:fill="17324D"/>
          </w:tcPr>
          <w:p>
            <w:pPr>
              <w:spacing w:after="0" w:line="240" w:lineRule="auto"/>
            </w:pPr>
            <w:r/>
            <w:r>
              <w:rPr>
                <w:b/>
                <w:color w:val="FFFFFF"/>
                <w:sz w:val="18"/>
              </w:rPr>
              <w:t>EGP per m2</w:t>
            </w:r>
          </w:p>
        </w:tc>
        <w:tc>
          <w:tcPr>
            <w:tcW w:type="dxa" w:w="1474"/>
            <w:shd w:val="clear" w:color="auto" w:fill="17324D"/>
          </w:tcPr>
          <w:p>
            <w:pPr>
              <w:spacing w:after="0" w:line="240" w:lineRule="auto"/>
              <w:jc w:val="right"/>
            </w:pPr>
            <w:r/>
            <w:r>
              <w:rPr>
                <w:b/>
                <w:color w:val="FFFFFF"/>
                <w:sz w:val="18"/>
              </w:rPr>
              <w:t>Plan: launch</w:t>
            </w:r>
          </w:p>
        </w:tc>
        <w:tc>
          <w:tcPr>
            <w:tcW w:type="dxa" w:w="1474"/>
            <w:shd w:val="clear" w:color="auto" w:fill="17324D"/>
          </w:tcPr>
          <w:p>
            <w:pPr>
              <w:spacing w:after="0" w:line="240" w:lineRule="auto"/>
              <w:jc w:val="right"/>
            </w:pPr>
            <w:r/>
            <w:r>
              <w:rPr>
                <w:b/>
                <w:color w:val="FFFFFF"/>
                <w:sz w:val="18"/>
              </w:rPr>
              <w:t>Plan: delivery list</w:t>
            </w:r>
          </w:p>
        </w:tc>
        <w:tc>
          <w:tcPr>
            <w:tcW w:type="dxa" w:w="1814"/>
            <w:shd w:val="clear" w:color="auto" w:fill="17324D"/>
          </w:tcPr>
          <w:p>
            <w:pPr>
              <w:spacing w:after="0" w:line="240" w:lineRule="auto"/>
              <w:jc w:val="right"/>
            </w:pPr>
            <w:r/>
            <w:r>
              <w:rPr>
                <w:b/>
                <w:color w:val="FFFFFF"/>
                <w:sz w:val="18"/>
              </w:rPr>
              <w:t>Plan: average realised</w:t>
            </w:r>
          </w:p>
        </w:tc>
        <w:tc>
          <w:tcPr>
            <w:tcW w:type="dxa" w:w="3231"/>
            <w:shd w:val="clear" w:color="auto" w:fill="17324D"/>
          </w:tcPr>
          <w:p>
            <w:pPr>
              <w:spacing w:after="0" w:line="240" w:lineRule="auto"/>
              <w:jc w:val="right"/>
            </w:pPr>
            <w:r/>
            <w:r>
              <w:rPr>
                <w:b/>
                <w:color w:val="FFFFFF"/>
                <w:sz w:val="18"/>
              </w:rPr>
              <w:t>Market evidence (asking)</w:t>
            </w:r>
          </w:p>
        </w:tc>
      </w:tr>
      <w:tr>
        <w:trPr>
          <w:cantSplit/>
        </w:trPr>
        <w:tc>
          <w:tcPr>
            <w:tcW w:type="dxa" w:w="1247"/>
          </w:tcPr>
          <w:p>
            <w:pPr>
              <w:spacing w:after="0" w:line="240" w:lineRule="auto"/>
            </w:pPr>
            <w:r/>
            <w:r>
              <w:rPr>
                <w:sz w:val="18"/>
              </w:rPr>
              <w:t>Offices</w:t>
            </w:r>
          </w:p>
        </w:tc>
        <w:tc>
          <w:tcPr>
            <w:tcW w:type="dxa" w:w="1474"/>
          </w:tcPr>
          <w:p>
            <w:pPr>
              <w:spacing w:after="0" w:line="240" w:lineRule="auto"/>
              <w:jc w:val="right"/>
            </w:pPr>
            <w:r/>
            <w:r>
              <w:rPr>
                <w:sz w:val="18"/>
              </w:rPr>
              <w:t>135,000</w:t>
            </w:r>
          </w:p>
        </w:tc>
        <w:tc>
          <w:tcPr>
            <w:tcW w:type="dxa" w:w="1474"/>
          </w:tcPr>
          <w:p>
            <w:pPr>
              <w:spacing w:after="0" w:line="240" w:lineRule="auto"/>
              <w:jc w:val="right"/>
            </w:pPr>
            <w:r/>
            <w:r>
              <w:rPr>
                <w:sz w:val="18"/>
              </w:rPr>
              <w:t>200,000</w:t>
            </w:r>
          </w:p>
        </w:tc>
        <w:tc>
          <w:tcPr>
            <w:tcW w:type="dxa" w:w="1814"/>
          </w:tcPr>
          <w:p>
            <w:pPr>
              <w:spacing w:after="0" w:line="240" w:lineRule="auto"/>
              <w:jc w:val="right"/>
            </w:pPr>
            <w:r/>
            <w:r>
              <w:rPr>
                <w:sz w:val="18"/>
              </w:rPr>
              <w:t>163,125</w:t>
            </w:r>
          </w:p>
        </w:tc>
        <w:tc>
          <w:tcPr>
            <w:tcW w:type="dxa" w:w="3231"/>
          </w:tcPr>
          <w:p>
            <w:pPr>
              <w:spacing w:after="0" w:line="240" w:lineRule="auto"/>
              <w:jc w:val="right"/>
            </w:pPr>
            <w:r/>
            <w:r>
              <w:rPr>
                <w:sz w:val="18"/>
              </w:rPr>
              <w:t>106,000 to 120,000 (Mostakbal City listings, 2026)</w:t>
            </w:r>
          </w:p>
        </w:tc>
      </w:tr>
      <w:tr>
        <w:trPr>
          <w:cantSplit/>
        </w:trPr>
        <w:tc>
          <w:tcPr>
            <w:tcW w:type="dxa" w:w="1247"/>
            <w:shd w:val="clear" w:color="auto" w:fill="F2F4F7"/>
          </w:tcPr>
          <w:p>
            <w:pPr>
              <w:spacing w:after="0" w:line="240" w:lineRule="auto"/>
            </w:pPr>
            <w:r/>
            <w:r>
              <w:rPr>
                <w:sz w:val="18"/>
              </w:rPr>
              <w:t>Retail</w:t>
            </w:r>
          </w:p>
        </w:tc>
        <w:tc>
          <w:tcPr>
            <w:tcW w:type="dxa" w:w="1474"/>
            <w:shd w:val="clear" w:color="auto" w:fill="F2F4F7"/>
          </w:tcPr>
          <w:p>
            <w:pPr>
              <w:spacing w:after="0" w:line="240" w:lineRule="auto"/>
              <w:jc w:val="right"/>
            </w:pPr>
            <w:r/>
            <w:r>
              <w:rPr>
                <w:sz w:val="18"/>
              </w:rPr>
              <w:t>225,000</w:t>
            </w:r>
          </w:p>
        </w:tc>
        <w:tc>
          <w:tcPr>
            <w:tcW w:type="dxa" w:w="1474"/>
            <w:shd w:val="clear" w:color="auto" w:fill="F2F4F7"/>
          </w:tcPr>
          <w:p>
            <w:pPr>
              <w:spacing w:after="0" w:line="240" w:lineRule="auto"/>
              <w:jc w:val="right"/>
            </w:pPr>
            <w:r/>
            <w:r>
              <w:rPr>
                <w:sz w:val="18"/>
              </w:rPr>
              <w:t>300,000</w:t>
            </w:r>
          </w:p>
        </w:tc>
        <w:tc>
          <w:tcPr>
            <w:tcW w:type="dxa" w:w="1814"/>
            <w:shd w:val="clear" w:color="auto" w:fill="F2F4F7"/>
          </w:tcPr>
          <w:p>
            <w:pPr>
              <w:spacing w:after="0" w:line="240" w:lineRule="auto"/>
              <w:jc w:val="right"/>
            </w:pPr>
            <w:r/>
            <w:r>
              <w:rPr>
                <w:sz w:val="18"/>
              </w:rPr>
              <w:t>268,125</w:t>
            </w:r>
          </w:p>
        </w:tc>
        <w:tc>
          <w:tcPr>
            <w:tcW w:type="dxa" w:w="3231"/>
            <w:shd w:val="clear" w:color="auto" w:fill="F2F4F7"/>
          </w:tcPr>
          <w:p>
            <w:pPr>
              <w:spacing w:after="0" w:line="240" w:lineRule="auto"/>
              <w:jc w:val="right"/>
            </w:pPr>
            <w:r/>
            <w:r>
              <w:rPr>
                <w:sz w:val="18"/>
              </w:rPr>
              <w:t>139,000 to 325,000 (New Cairo listings, individual)</w:t>
            </w:r>
          </w:p>
        </w:tc>
      </w:tr>
    </w:tbl>
    <w:p>
      <w:pPr>
        <w:spacing w:after="80"/>
      </w:pPr>
    </w:p>
    <w:p>
      <w:pPr>
        <w:pStyle w:val="ListBullet"/>
        <w:spacing w:after="60"/>
      </w:pPr>
      <w:r>
        <w:rPr>
          <w:b w:val="0"/>
          <w:i w:val="0"/>
        </w:rPr>
        <w:t>The plan raises list prices by 33% (retail) and 48% (offices) from the first to the last sales tranche. New Cairo secondary prices rose 3.1% y/y in Q1 2026 (JLL via Enterprise); broker estimates for 2026 are 10% to 16% a year (a blog estimate). Against today's office asking prices (mid-point EGP 113,000) the delivery list is +77%, about 15% a year to handover.</w:t>
      </w:r>
    </w:p>
    <w:p>
      <w:pPr>
        <w:pStyle w:val="ListBullet"/>
        <w:spacing w:after="60"/>
      </w:pPr>
      <w:r>
        <w:rPr>
          <w:b w:val="0"/>
          <w:i w:val="0"/>
        </w:rPr>
        <w:t>Sellable office area in the model is 10,129 m2, against 8,682 m2 of office built-up area. Jalour to provide the sellable-area schedule. If the lower area were right, office sales at 80% would be about EGP 189 million lower.</w:t>
      </w:r>
    </w:p>
    <w:p>
      <w:pPr>
        <w:pStyle w:val="ListBullet"/>
        <w:spacing w:after="60"/>
      </w:pPr>
      <w:r>
        <w:rPr>
          <w:b w:val="0"/>
          <w:i w:val="0"/>
        </w:rPr>
        <w:t>Payment plans: down payment 5% to 20%, equal second payment after three months, instalments over 2 to 8 years, delivery payment 20% to 25%. Delivery payments are collected on a contractual milestone before handover; Jalour to provide the standard sale contract showing the milestone.</w:t>
      </w:r>
    </w:p>
    <w:p>
      <w:pPr>
        <w:pStyle w:val="ListBullet"/>
        <w:spacing w:after="60"/>
      </w:pPr>
      <w:r>
        <w:rPr>
          <w:b w:val="0"/>
          <w:i w:val="0"/>
        </w:rPr>
        <w:t>No sales have been contracted yet [Jalour to confirm]. Evidence to provide: broker valuation, comparable transactions, reservation register once sales begin.</w:t>
      </w:r>
    </w:p>
    <w:p>
      <w:pPr>
        <w:keepNext/>
        <w:spacing w:after="60"/>
      </w:pPr>
      <w:r>
        <w:rPr>
          <w:b/>
          <w:color w:val="17324D"/>
          <w:sz w:val="19"/>
        </w:rPr>
        <w:t>Table 8: Sales sensitivities (Jalour net cash flow)</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422"/>
            <w:shd w:val="clear" w:color="auto" w:fill="17324D"/>
          </w:tcPr>
          <w:p>
            <w:pPr>
              <w:spacing w:after="0" w:line="240" w:lineRule="auto"/>
            </w:pPr>
            <w:r/>
            <w:r>
              <w:rPr>
                <w:b/>
                <w:color w:val="FFFFFF"/>
                <w:sz w:val="19"/>
              </w:rPr>
              <w:t>Sales sensitivity</w:t>
            </w:r>
          </w:p>
        </w:tc>
        <w:tc>
          <w:tcPr>
            <w:tcW w:type="dxa" w:w="2381"/>
            <w:shd w:val="clear" w:color="auto" w:fill="17324D"/>
          </w:tcPr>
          <w:p>
            <w:pPr>
              <w:spacing w:after="0" w:line="240" w:lineRule="auto"/>
              <w:jc w:val="right"/>
            </w:pPr>
            <w:r/>
            <w:r>
              <w:rPr>
                <w:b/>
                <w:color w:val="FFFFFF"/>
                <w:sz w:val="19"/>
              </w:rPr>
              <w:t>NPV (EGP m)</w:t>
            </w:r>
          </w:p>
        </w:tc>
        <w:tc>
          <w:tcPr>
            <w:tcW w:type="dxa" w:w="2438"/>
            <w:shd w:val="clear" w:color="auto" w:fill="17324D"/>
          </w:tcPr>
          <w:p>
            <w:pPr>
              <w:spacing w:after="0" w:line="240" w:lineRule="auto"/>
              <w:jc w:val="right"/>
            </w:pPr>
            <w:r/>
            <w:r>
              <w:rPr>
                <w:b/>
                <w:color w:val="FFFFFF"/>
                <w:sz w:val="19"/>
              </w:rPr>
              <w:t>Peak shortage (EGP m)</w:t>
            </w:r>
          </w:p>
        </w:tc>
      </w:tr>
      <w:tr>
        <w:trPr>
          <w:cantSplit/>
        </w:trPr>
        <w:tc>
          <w:tcPr>
            <w:tcW w:type="dxa" w:w="4422"/>
          </w:tcPr>
          <w:p>
            <w:pPr>
              <w:spacing w:after="0" w:line="240" w:lineRule="auto"/>
            </w:pPr>
            <w:r/>
            <w:r>
              <w:rPr>
                <w:sz w:val="19"/>
              </w:rPr>
              <w:t>Prices -19%</w:t>
            </w:r>
          </w:p>
        </w:tc>
        <w:tc>
          <w:tcPr>
            <w:tcW w:type="dxa" w:w="2381"/>
          </w:tcPr>
          <w:p>
            <w:pPr>
              <w:spacing w:after="0" w:line="240" w:lineRule="auto"/>
              <w:jc w:val="right"/>
            </w:pPr>
            <w:r/>
            <w:r>
              <w:rPr>
                <w:sz w:val="19"/>
              </w:rPr>
              <w:t>13</w:t>
            </w:r>
          </w:p>
        </w:tc>
        <w:tc>
          <w:tcPr>
            <w:tcW w:type="dxa" w:w="2438"/>
          </w:tcPr>
          <w:p>
            <w:pPr>
              <w:spacing w:after="0" w:line="240" w:lineRule="auto"/>
              <w:jc w:val="right"/>
            </w:pPr>
            <w:r/>
            <w:r>
              <w:rPr>
                <w:sz w:val="19"/>
              </w:rPr>
              <w:t>184</w:t>
            </w:r>
          </w:p>
        </w:tc>
      </w:tr>
      <w:tr>
        <w:trPr>
          <w:cantSplit/>
        </w:trPr>
        <w:tc>
          <w:tcPr>
            <w:tcW w:type="dxa" w:w="4422"/>
            <w:shd w:val="clear" w:color="auto" w:fill="F2F4F7"/>
          </w:tcPr>
          <w:p>
            <w:pPr>
              <w:spacing w:after="0" w:line="240" w:lineRule="auto"/>
            </w:pPr>
            <w:r/>
            <w:r>
              <w:rPr>
                <w:sz w:val="19"/>
              </w:rPr>
              <w:t>Prices -9%</w:t>
            </w:r>
          </w:p>
        </w:tc>
        <w:tc>
          <w:tcPr>
            <w:tcW w:type="dxa" w:w="2381"/>
            <w:shd w:val="clear" w:color="auto" w:fill="F2F4F7"/>
          </w:tcPr>
          <w:p>
            <w:pPr>
              <w:spacing w:after="0" w:line="240" w:lineRule="auto"/>
              <w:jc w:val="right"/>
            </w:pPr>
            <w:r/>
            <w:r>
              <w:rPr>
                <w:sz w:val="19"/>
              </w:rPr>
              <w:t>116</w:t>
            </w:r>
          </w:p>
        </w:tc>
        <w:tc>
          <w:tcPr>
            <w:tcW w:type="dxa" w:w="2438"/>
            <w:shd w:val="clear" w:color="auto" w:fill="F2F4F7"/>
          </w:tcPr>
          <w:p>
            <w:pPr>
              <w:spacing w:after="0" w:line="240" w:lineRule="auto"/>
              <w:jc w:val="right"/>
            </w:pPr>
            <w:r/>
            <w:r>
              <w:rPr>
                <w:sz w:val="19"/>
              </w:rPr>
              <w:t>114</w:t>
            </w:r>
          </w:p>
        </w:tc>
      </w:tr>
      <w:tr>
        <w:trPr>
          <w:cantSplit/>
        </w:trPr>
        <w:tc>
          <w:tcPr>
            <w:tcW w:type="dxa" w:w="4422"/>
          </w:tcPr>
          <w:p>
            <w:pPr>
              <w:spacing w:after="0" w:line="240" w:lineRule="auto"/>
            </w:pPr>
            <w:r/>
            <w:r>
              <w:rPr>
                <w:sz w:val="19"/>
              </w:rPr>
              <w:t>Prices +10%</w:t>
            </w:r>
          </w:p>
        </w:tc>
        <w:tc>
          <w:tcPr>
            <w:tcW w:type="dxa" w:w="2381"/>
          </w:tcPr>
          <w:p>
            <w:pPr>
              <w:spacing w:after="0" w:line="240" w:lineRule="auto"/>
              <w:jc w:val="right"/>
            </w:pPr>
            <w:r/>
            <w:r>
              <w:rPr>
                <w:sz w:val="19"/>
              </w:rPr>
              <w:t>315</w:t>
            </w:r>
          </w:p>
        </w:tc>
        <w:tc>
          <w:tcPr>
            <w:tcW w:type="dxa" w:w="2438"/>
          </w:tcPr>
          <w:p>
            <w:pPr>
              <w:spacing w:after="0" w:line="240" w:lineRule="auto"/>
              <w:jc w:val="right"/>
            </w:pPr>
            <w:r/>
            <w:r>
              <w:rPr>
                <w:sz w:val="19"/>
              </w:rPr>
              <w:t>102</w:t>
            </w:r>
          </w:p>
        </w:tc>
      </w:tr>
      <w:tr>
        <w:trPr>
          <w:cantSplit/>
        </w:trPr>
        <w:tc>
          <w:tcPr>
            <w:tcW w:type="dxa" w:w="4422"/>
            <w:shd w:val="clear" w:color="auto" w:fill="F2F4F7"/>
          </w:tcPr>
          <w:p>
            <w:pPr>
              <w:spacing w:after="0" w:line="240" w:lineRule="auto"/>
            </w:pPr>
            <w:r/>
            <w:r>
              <w:rPr>
                <w:sz w:val="19"/>
              </w:rPr>
              <w:t>Sales delayed 6 months</w:t>
            </w:r>
          </w:p>
        </w:tc>
        <w:tc>
          <w:tcPr>
            <w:tcW w:type="dxa" w:w="2381"/>
            <w:shd w:val="clear" w:color="auto" w:fill="F2F4F7"/>
          </w:tcPr>
          <w:p>
            <w:pPr>
              <w:spacing w:after="0" w:line="240" w:lineRule="auto"/>
              <w:jc w:val="right"/>
            </w:pPr>
            <w:r/>
            <w:r>
              <w:rPr>
                <w:sz w:val="19"/>
              </w:rPr>
              <w:t>129</w:t>
            </w:r>
          </w:p>
        </w:tc>
        <w:tc>
          <w:tcPr>
            <w:tcW w:type="dxa" w:w="2438"/>
            <w:shd w:val="clear" w:color="auto" w:fill="F2F4F7"/>
          </w:tcPr>
          <w:p>
            <w:pPr>
              <w:spacing w:after="0" w:line="240" w:lineRule="auto"/>
              <w:jc w:val="right"/>
            </w:pPr>
            <w:r/>
            <w:r>
              <w:rPr>
                <w:sz w:val="19"/>
              </w:rPr>
              <w:t>217</w:t>
            </w:r>
          </w:p>
        </w:tc>
      </w:tr>
      <w:tr>
        <w:trPr>
          <w:cantSplit/>
        </w:trPr>
        <w:tc>
          <w:tcPr>
            <w:tcW w:type="dxa" w:w="4422"/>
          </w:tcPr>
          <w:p>
            <w:pPr>
              <w:spacing w:after="0" w:line="240" w:lineRule="auto"/>
            </w:pPr>
            <w:r/>
            <w:r>
              <w:rPr>
                <w:sz w:val="19"/>
              </w:rPr>
              <w:t>Sales delayed 12 months</w:t>
            </w:r>
          </w:p>
        </w:tc>
        <w:tc>
          <w:tcPr>
            <w:tcW w:type="dxa" w:w="2381"/>
          </w:tcPr>
          <w:p>
            <w:pPr>
              <w:spacing w:after="0" w:line="240" w:lineRule="auto"/>
              <w:jc w:val="right"/>
            </w:pPr>
            <w:r/>
            <w:r>
              <w:rPr>
                <w:sz w:val="19"/>
              </w:rPr>
              <w:t>49</w:t>
            </w:r>
          </w:p>
        </w:tc>
        <w:tc>
          <w:tcPr>
            <w:tcW w:type="dxa" w:w="2438"/>
          </w:tcPr>
          <w:p>
            <w:pPr>
              <w:spacing w:after="0" w:line="240" w:lineRule="auto"/>
              <w:jc w:val="right"/>
            </w:pPr>
            <w:r/>
            <w:r>
              <w:rPr>
                <w:sz w:val="19"/>
              </w:rPr>
              <w:t>408</w:t>
            </w:r>
          </w:p>
        </w:tc>
      </w:tr>
      <w:tr>
        <w:trPr>
          <w:cantSplit/>
        </w:trPr>
        <w:tc>
          <w:tcPr>
            <w:tcW w:type="dxa" w:w="4422"/>
            <w:shd w:val="clear" w:color="auto" w:fill="F2F4F7"/>
          </w:tcPr>
          <w:p>
            <w:pPr>
              <w:spacing w:after="0" w:line="240" w:lineRule="auto"/>
            </w:pPr>
            <w:r/>
            <w:r>
              <w:rPr>
                <w:sz w:val="19"/>
              </w:rPr>
              <w:t>Sales delayed 24 months</w:t>
            </w:r>
          </w:p>
        </w:tc>
        <w:tc>
          <w:tcPr>
            <w:tcW w:type="dxa" w:w="2381"/>
            <w:shd w:val="clear" w:color="auto" w:fill="F2F4F7"/>
          </w:tcPr>
          <w:p>
            <w:pPr>
              <w:spacing w:after="0" w:line="240" w:lineRule="auto"/>
              <w:jc w:val="right"/>
            </w:pPr>
            <w:r/>
            <w:r>
              <w:rPr>
                <w:sz w:val="19"/>
              </w:rPr>
              <w:t>-97</w:t>
            </w:r>
          </w:p>
        </w:tc>
        <w:tc>
          <w:tcPr>
            <w:tcW w:type="dxa" w:w="2438"/>
            <w:shd w:val="clear" w:color="auto" w:fill="F2F4F7"/>
          </w:tcPr>
          <w:p>
            <w:pPr>
              <w:spacing w:after="0" w:line="240" w:lineRule="auto"/>
              <w:jc w:val="right"/>
            </w:pPr>
            <w:r/>
            <w:r>
              <w:rPr>
                <w:sz w:val="19"/>
              </w:rPr>
              <w:t>1,075</w:t>
            </w:r>
          </w:p>
        </w:tc>
      </w:tr>
      <w:tr>
        <w:trPr>
          <w:cantSplit/>
        </w:trPr>
        <w:tc>
          <w:tcPr>
            <w:tcW w:type="dxa" w:w="4422"/>
          </w:tcPr>
          <w:p>
            <w:pPr>
              <w:spacing w:after="0" w:line="240" w:lineRule="auto"/>
            </w:pPr>
            <w:r/>
            <w:r>
              <w:rPr>
                <w:sz w:val="19"/>
              </w:rPr>
              <w:t>Delivery payments at handover</w:t>
            </w:r>
          </w:p>
        </w:tc>
        <w:tc>
          <w:tcPr>
            <w:tcW w:type="dxa" w:w="2381"/>
          </w:tcPr>
          <w:p>
            <w:pPr>
              <w:spacing w:after="0" w:line="240" w:lineRule="auto"/>
              <w:jc w:val="right"/>
            </w:pPr>
            <w:r/>
            <w:r>
              <w:rPr>
                <w:sz w:val="19"/>
              </w:rPr>
              <w:t>155</w:t>
            </w:r>
          </w:p>
        </w:tc>
        <w:tc>
          <w:tcPr>
            <w:tcW w:type="dxa" w:w="2438"/>
          </w:tcPr>
          <w:p>
            <w:pPr>
              <w:spacing w:after="0" w:line="240" w:lineRule="auto"/>
              <w:jc w:val="right"/>
            </w:pPr>
            <w:r/>
            <w:r>
              <w:rPr>
                <w:sz w:val="19"/>
              </w:rPr>
              <w:t>269</w:t>
            </w:r>
          </w:p>
        </w:tc>
      </w:tr>
    </w:tbl>
    <w:p>
      <w:pPr>
        <w:spacing w:after="80"/>
      </w:pPr>
    </w:p>
    <w:p>
      <w:pPr>
        <w:pStyle w:val="Heading1"/>
        <w:pageBreakBefore/>
      </w:pPr>
      <w:r>
        <w:t>6. Legal and regulatory structure, and opinions required</w:t>
      </w:r>
    </w:p>
    <w:p>
      <w:pPr>
        <w:pStyle w:val="Heading2"/>
      </w:pPr>
      <w:r>
        <w:t>6.1 Questions for counsel (no legal conclusions are given here)</w:t>
      </w:r>
    </w:p>
    <w:p>
      <w:pPr>
        <w:pStyle w:val="ListBullet"/>
        <w:spacing w:after="60"/>
      </w:pPr>
      <w:r>
        <w:rPr>
          <w:b w:val="0"/>
          <w:i w:val="0"/>
        </w:rPr>
        <w:t>Nature of the instrument and whether the placement needs any filing, approval or exemption with the Financial Regulatory Authority or another body; investor eligibility.</w:t>
      </w:r>
    </w:p>
    <w:p>
      <w:pPr>
        <w:pStyle w:val="ListBullet"/>
        <w:spacing w:after="60"/>
      </w:pPr>
      <w:r>
        <w:rPr>
          <w:b w:val="0"/>
          <w:i w:val="0"/>
        </w:rPr>
        <w:t>The basis for Jalour's position that the separate project-account rule for developers on state-allocated land (Decree 2184 of 2022) does not apply to these plots. The proposed structure does not ring-fence funds.</w:t>
      </w:r>
    </w:p>
    <w:p>
      <w:pPr>
        <w:pStyle w:val="ListBullet"/>
        <w:spacing w:after="60"/>
      </w:pPr>
      <w:r>
        <w:rPr>
          <w:b w:val="0"/>
          <w:i w:val="0"/>
        </w:rPr>
        <w:t>Validity, assignability and any change-of-control or consent clauses in the landlord agreement.</w:t>
      </w:r>
    </w:p>
    <w:p>
      <w:pPr>
        <w:pStyle w:val="ListBullet"/>
        <w:spacing w:after="60"/>
      </w:pPr>
      <w:r>
        <w:rPr>
          <w:b w:val="0"/>
          <w:i w:val="0"/>
        </w:rPr>
        <w:t>Enforceability of the unit allocation, the earmark and negative pledge, and of any promissory notes or post-dated cheques.</w:t>
      </w:r>
    </w:p>
    <w:p>
      <w:pPr>
        <w:pStyle w:val="ListBullet"/>
        <w:spacing w:after="60"/>
      </w:pPr>
      <w:r>
        <w:rPr>
          <w:b w:val="0"/>
          <w:i w:val="0"/>
        </w:rPr>
        <w:t>Rules on assignment (resale) of off-plan contracts and on developer consent and fees.</w:t>
      </w:r>
    </w:p>
    <w:p>
      <w:pPr>
        <w:pStyle w:val="ListBullet"/>
        <w:spacing w:after="60"/>
      </w:pPr>
      <w:r>
        <w:rPr>
          <w:b w:val="0"/>
          <w:i w:val="0"/>
        </w:rPr>
        <w:t>Foreign investor matters: ownership of units, repatriation of proceeds and foreign-exchange availability.</w:t>
      </w:r>
    </w:p>
    <w:p>
      <w:pPr>
        <w:pStyle w:val="ListBullet"/>
        <w:spacing w:after="60"/>
      </w:pPr>
      <w:r>
        <w:rPr>
          <w:b w:val="0"/>
          <w:i w:val="0"/>
        </w:rPr>
        <w:t>Tax: withholding on Option B payments, tax on Option A resale gains, registration fees and real estate disposal tax.</w:t>
      </w:r>
    </w:p>
    <w:p>
      <w:pPr>
        <w:pStyle w:val="Heading2"/>
      </w:pPr>
      <w:r>
        <w:t>6.2 Opinions and certificates required</w:t>
      </w:r>
    </w:p>
    <w:p>
      <w:pPr>
        <w:keepNext/>
        <w:spacing w:after="60"/>
      </w:pPr>
      <w:r>
        <w:rPr>
          <w:b/>
          <w:color w:val="17324D"/>
          <w:sz w:val="19"/>
        </w:rPr>
        <w:t>Table 9: Opinions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819"/>
            <w:shd w:val="clear" w:color="auto" w:fill="17324D"/>
          </w:tcPr>
          <w:p>
            <w:pPr>
              <w:spacing w:after="0" w:line="240" w:lineRule="auto"/>
            </w:pPr>
            <w:r/>
            <w:r>
              <w:rPr>
                <w:b/>
                <w:color w:val="FFFFFF"/>
                <w:sz w:val="19"/>
              </w:rPr>
              <w:t>Opinion or document</w:t>
            </w:r>
          </w:p>
        </w:tc>
        <w:tc>
          <w:tcPr>
            <w:tcW w:type="dxa" w:w="2041"/>
            <w:shd w:val="clear" w:color="auto" w:fill="17324D"/>
          </w:tcPr>
          <w:p>
            <w:pPr>
              <w:spacing w:after="0" w:line="240" w:lineRule="auto"/>
            </w:pPr>
            <w:r/>
            <w:r>
              <w:rPr>
                <w:b/>
                <w:color w:val="FFFFFF"/>
                <w:sz w:val="19"/>
              </w:rPr>
              <w:t>Given by</w:t>
            </w:r>
          </w:p>
        </w:tc>
        <w:tc>
          <w:tcPr>
            <w:tcW w:type="dxa" w:w="2381"/>
            <w:shd w:val="clear" w:color="auto" w:fill="17324D"/>
          </w:tcPr>
          <w:p>
            <w:pPr>
              <w:spacing w:after="0" w:line="240" w:lineRule="auto"/>
            </w:pPr>
            <w:r/>
            <w:r>
              <w:rPr>
                <w:b/>
                <w:color w:val="FFFFFF"/>
                <w:sz w:val="19"/>
              </w:rPr>
              <w:t>Status</w:t>
            </w:r>
          </w:p>
        </w:tc>
      </w:tr>
      <w:tr>
        <w:trPr>
          <w:cantSplit/>
        </w:trPr>
        <w:tc>
          <w:tcPr>
            <w:tcW w:type="dxa" w:w="4819"/>
          </w:tcPr>
          <w:p>
            <w:pPr>
              <w:spacing w:after="0" w:line="240" w:lineRule="auto"/>
            </w:pPr>
            <w:r/>
            <w:r>
              <w:rPr>
                <w:sz w:val="19"/>
              </w:rPr>
              <w:t>Capacity, authority and due execution (project company, Jalour)</w:t>
            </w:r>
          </w:p>
        </w:tc>
        <w:tc>
          <w:tcPr>
            <w:tcW w:type="dxa" w:w="2041"/>
          </w:tcPr>
          <w:p>
            <w:pPr>
              <w:spacing w:after="0" w:line="240" w:lineRule="auto"/>
            </w:pPr>
            <w:r/>
            <w:r>
              <w:rPr>
                <w:sz w:val="19"/>
              </w:rPr>
              <w:t>Jalour 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Enforceability of the investment agreement and security</w:t>
            </w:r>
          </w:p>
        </w:tc>
        <w:tc>
          <w:tcPr>
            <w:tcW w:type="dxa" w:w="2041"/>
            <w:shd w:val="clear" w:color="auto" w:fill="F2F4F7"/>
          </w:tcPr>
          <w:p>
            <w:pPr>
              <w:spacing w:after="0" w:line="240" w:lineRule="auto"/>
            </w:pPr>
            <w:r/>
            <w:r>
              <w:rPr>
                <w:sz w:val="19"/>
              </w:rPr>
              <w:t>Jalour 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Title and rights to the plot; landlord agreement validity</w:t>
            </w:r>
          </w:p>
        </w:tc>
        <w:tc>
          <w:tcPr>
            <w:tcW w:type="dxa" w:w="2041"/>
          </w:tcPr>
          <w:p>
            <w:pPr>
              <w:spacing w:after="0" w:line="240" w:lineRule="auto"/>
            </w:pPr>
            <w:r/>
            <w:r>
              <w:rPr>
                <w:sz w:val="19"/>
              </w:rPr>
              <w:t>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Regulatory position of the placement</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Tax opinion on both options</w:t>
            </w:r>
          </w:p>
        </w:tc>
        <w:tc>
          <w:tcPr>
            <w:tcW w:type="dxa" w:w="2041"/>
          </w:tcPr>
          <w:p>
            <w:pPr>
              <w:spacing w:after="0" w:line="240" w:lineRule="auto"/>
            </w:pPr>
            <w:r/>
            <w:r>
              <w:rPr>
                <w:sz w:val="19"/>
              </w:rPr>
              <w:t>Tax adviser</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Foreign investor and repatriation opinion (if applicable)</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bl>
    <w:p>
      <w:pPr>
        <w:spacing w:after="80"/>
      </w:pPr>
    </w:p>
    <w:p>
      <w:pPr>
        <w:pStyle w:val="Heading1"/>
        <w:pageBreakBefore/>
      </w:pPr>
      <w:r>
        <w:t>7. Security documentation</w:t>
      </w:r>
    </w:p>
    <w:p>
      <w:pPr>
        <w:keepNext/>
        <w:spacing w:after="60"/>
      </w:pPr>
      <w:r>
        <w:rPr>
          <w:b/>
          <w:color w:val="17324D"/>
          <w:sz w:val="19"/>
        </w:rPr>
        <w:t>Table 10: Documents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195"/>
            <w:shd w:val="clear" w:color="auto" w:fill="17324D"/>
          </w:tcPr>
          <w:p>
            <w:pPr>
              <w:spacing w:after="0" w:line="240" w:lineRule="auto"/>
            </w:pPr>
            <w:r/>
            <w:r>
              <w:rPr>
                <w:b/>
                <w:color w:val="FFFFFF"/>
                <w:sz w:val="19"/>
              </w:rPr>
              <w:t>Document</w:t>
            </w:r>
          </w:p>
        </w:tc>
        <w:tc>
          <w:tcPr>
            <w:tcW w:type="dxa" w:w="3402"/>
            <w:shd w:val="clear" w:color="auto" w:fill="17324D"/>
          </w:tcPr>
          <w:p>
            <w:pPr>
              <w:spacing w:after="0" w:line="240" w:lineRule="auto"/>
            </w:pPr>
            <w:r/>
            <w:r>
              <w:rPr>
                <w:b/>
                <w:color w:val="FFFFFF"/>
                <w:sz w:val="19"/>
              </w:rPr>
              <w:t>Parties</w:t>
            </w:r>
          </w:p>
        </w:tc>
        <w:tc>
          <w:tcPr>
            <w:tcW w:type="dxa" w:w="1644"/>
            <w:shd w:val="clear" w:color="auto" w:fill="17324D"/>
          </w:tcPr>
          <w:p>
            <w:pPr>
              <w:spacing w:after="0" w:line="240" w:lineRule="auto"/>
            </w:pPr>
            <w:r/>
            <w:r>
              <w:rPr>
                <w:b/>
                <w:color w:val="FFFFFF"/>
                <w:sz w:val="19"/>
              </w:rPr>
              <w:t>Applies to</w:t>
            </w:r>
          </w:p>
        </w:tc>
      </w:tr>
      <w:tr>
        <w:trPr>
          <w:cantSplit/>
        </w:trPr>
        <w:tc>
          <w:tcPr>
            <w:tcW w:type="dxa" w:w="4195"/>
          </w:tcPr>
          <w:p>
            <w:pPr>
              <w:spacing w:after="0" w:line="240" w:lineRule="auto"/>
            </w:pPr>
            <w:r/>
            <w:r>
              <w:rPr>
                <w:sz w:val="19"/>
              </w:rPr>
              <w:t>Investment agreement</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Both options</w:t>
            </w:r>
          </w:p>
        </w:tc>
      </w:tr>
      <w:tr>
        <w:trPr>
          <w:cantSplit/>
        </w:trPr>
        <w:tc>
          <w:tcPr>
            <w:tcW w:type="dxa" w:w="4195"/>
            <w:shd w:val="clear" w:color="auto" w:fill="F2F4F7"/>
          </w:tcPr>
          <w:p>
            <w:pPr>
              <w:spacing w:after="0" w:line="240" w:lineRule="auto"/>
            </w:pPr>
            <w:r/>
            <w:r>
              <w:rPr>
                <w:sz w:val="19"/>
              </w:rPr>
              <w:t>Unit allocation agreements (registered)</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A</w:t>
            </w:r>
          </w:p>
        </w:tc>
      </w:tr>
      <w:tr>
        <w:trPr>
          <w:cantSplit/>
        </w:trPr>
        <w:tc>
          <w:tcPr>
            <w:tcW w:type="dxa" w:w="4195"/>
          </w:tcPr>
          <w:p>
            <w:pPr>
              <w:spacing w:after="0" w:line="240" w:lineRule="auto"/>
            </w:pPr>
            <w:r/>
            <w:r>
              <w:rPr>
                <w:sz w:val="19"/>
              </w:rPr>
              <w:t>Landlord consent and acknowledgement</w:t>
            </w:r>
          </w:p>
        </w:tc>
        <w:tc>
          <w:tcPr>
            <w:tcW w:type="dxa" w:w="3402"/>
          </w:tcPr>
          <w:p>
            <w:pPr>
              <w:spacing w:after="0" w:line="240" w:lineRule="auto"/>
            </w:pPr>
            <w:r/>
            <w:r>
              <w:rPr>
                <w:sz w:val="19"/>
              </w:rPr>
              <w:t>Al Ahly Sabbour, project company, investor</w:t>
            </w:r>
          </w:p>
        </w:tc>
        <w:tc>
          <w:tcPr>
            <w:tcW w:type="dxa" w:w="1644"/>
          </w:tcPr>
          <w:p>
            <w:pPr>
              <w:spacing w:after="0" w:line="240" w:lineRule="auto"/>
            </w:pPr>
            <w:r/>
            <w:r>
              <w:rPr>
                <w:sz w:val="19"/>
              </w:rPr>
              <w:t>Both</w:t>
            </w:r>
          </w:p>
        </w:tc>
      </w:tr>
      <w:tr>
        <w:trPr>
          <w:cantSplit/>
        </w:trPr>
        <w:tc>
          <w:tcPr>
            <w:tcW w:type="dxa" w:w="4195"/>
            <w:shd w:val="clear" w:color="auto" w:fill="F2F4F7"/>
          </w:tcPr>
          <w:p>
            <w:pPr>
              <w:spacing w:after="0" w:line="240" w:lineRule="auto"/>
            </w:pPr>
            <w:r/>
            <w:r>
              <w:rPr>
                <w:sz w:val="19"/>
              </w:rPr>
              <w:t>Earmark and negative pledge over unsold units</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B</w:t>
            </w:r>
          </w:p>
        </w:tc>
      </w:tr>
      <w:tr>
        <w:trPr>
          <w:cantSplit/>
        </w:trPr>
        <w:tc>
          <w:tcPr>
            <w:tcW w:type="dxa" w:w="4195"/>
          </w:tcPr>
          <w:p>
            <w:pPr>
              <w:spacing w:after="0" w:line="240" w:lineRule="auto"/>
            </w:pPr>
            <w:r/>
            <w:r>
              <w:rPr>
                <w:sz w:val="19"/>
              </w:rPr>
              <w:t>Payment priority and information undertaking</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Sponsor funding undertaking (project funding gaps; not a return guarantee)</w:t>
            </w:r>
          </w:p>
        </w:tc>
        <w:tc>
          <w:tcPr>
            <w:tcW w:type="dxa" w:w="3402"/>
            <w:shd w:val="clear" w:color="auto" w:fill="F2F4F7"/>
          </w:tcPr>
          <w:p>
            <w:pPr>
              <w:spacing w:after="0" w:line="240" w:lineRule="auto"/>
            </w:pPr>
            <w:r/>
            <w:r>
              <w:rPr>
                <w:sz w:val="19"/>
              </w:rPr>
              <w:t>Jalour, project company</w:t>
            </w:r>
          </w:p>
        </w:tc>
        <w:tc>
          <w:tcPr>
            <w:tcW w:type="dxa" w:w="1644"/>
            <w:shd w:val="clear" w:color="auto" w:fill="F2F4F7"/>
          </w:tcPr>
          <w:p>
            <w:pPr>
              <w:spacing w:after="0" w:line="240" w:lineRule="auto"/>
            </w:pPr>
            <w:r/>
            <w:r>
              <w:rPr>
                <w:sz w:val="19"/>
              </w:rPr>
              <w:t>Both</w:t>
            </w:r>
          </w:p>
        </w:tc>
      </w:tr>
      <w:tr>
        <w:trPr>
          <w:cantSplit/>
        </w:trPr>
        <w:tc>
          <w:tcPr>
            <w:tcW w:type="dxa" w:w="4195"/>
          </w:tcPr>
          <w:p>
            <w:pPr>
              <w:spacing w:after="0" w:line="240" w:lineRule="auto"/>
            </w:pPr>
            <w:r/>
            <w:r>
              <w:rPr>
                <w:sz w:val="19"/>
              </w:rPr>
              <w:t>Promissory notes or post-dated cheques (optional)</w:t>
            </w:r>
          </w:p>
        </w:tc>
        <w:tc>
          <w:tcPr>
            <w:tcW w:type="dxa" w:w="3402"/>
          </w:tcPr>
          <w:p>
            <w:pPr>
              <w:spacing w:after="0" w:line="240" w:lineRule="auto"/>
            </w:pPr>
            <w:r/>
            <w:r>
              <w:rPr>
                <w:sz w:val="19"/>
              </w:rPr>
              <w:t>Project company,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Corporate approvals, incumbency, KYC</w:t>
            </w:r>
          </w:p>
        </w:tc>
        <w:tc>
          <w:tcPr>
            <w:tcW w:type="dxa" w:w="3402"/>
            <w:shd w:val="clear" w:color="auto" w:fill="F2F4F7"/>
          </w:tcPr>
          <w:p>
            <w:pPr>
              <w:spacing w:after="0" w:line="240" w:lineRule="auto"/>
            </w:pPr>
            <w:r/>
            <w:r>
              <w:rPr>
                <w:sz w:val="19"/>
              </w:rPr>
              <w:t>All</w:t>
            </w:r>
          </w:p>
        </w:tc>
        <w:tc>
          <w:tcPr>
            <w:tcW w:type="dxa" w:w="1644"/>
            <w:shd w:val="clear" w:color="auto" w:fill="F2F4F7"/>
          </w:tcPr>
          <w:p>
            <w:pPr>
              <w:spacing w:after="0" w:line="240" w:lineRule="auto"/>
            </w:pPr>
            <w:r/>
            <w:r>
              <w:rPr>
                <w:sz w:val="19"/>
              </w:rPr>
              <w:t>Both</w:t>
            </w:r>
          </w:p>
        </w:tc>
      </w:tr>
    </w:tbl>
    <w:p>
      <w:pPr>
        <w:spacing w:after="80"/>
      </w:pPr>
    </w:p>
    <w:p>
      <w:r>
        <w:rPr>
          <w:b w:val="0"/>
          <w:i w:val="0"/>
        </w:rPr>
        <w:t>Nothing in the package is a restricted account, escrow or segregated collection account. The investor's protection rests on covenants, reporting and the earmarked or allocated units, and on Jalour's funding undertaking.</w:t>
      </w:r>
    </w:p>
    <w:p>
      <w:pPr>
        <w:pStyle w:val="Heading1"/>
        <w:pageBreakBefore/>
      </w:pPr>
      <w:r>
        <w:t>8. Structures considered and rejected</w:t>
      </w:r>
    </w:p>
    <w:p>
      <w:pPr>
        <w:pStyle w:val="Heading2"/>
      </w:pPr>
      <w:r>
        <w:t>8.1 Option A: source of units</w:t>
      </w:r>
    </w:p>
    <w:p>
      <w:r>
        <w:rPr>
          <w:b w:val="0"/>
          <w:i w:val="0"/>
        </w:rPr>
        <w:t>The units must come from sellable inventory that carries the launch list price. Jalour has decided not to use the 20% of units it retains.</w:t>
      </w:r>
    </w:p>
    <w:p>
      <w:pPr>
        <w:keepNext/>
        <w:spacing w:after="60"/>
      </w:pPr>
      <w:r>
        <w:rPr>
          <w:b/>
          <w:color w:val="17324D"/>
          <w:sz w:val="19"/>
        </w:rPr>
        <w:t>Table 11: Unit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515"/>
            <w:shd w:val="clear" w:color="auto" w:fill="17324D"/>
          </w:tcPr>
          <w:p>
            <w:pPr>
              <w:spacing w:after="0" w:line="240" w:lineRule="auto"/>
            </w:pPr>
            <w:r/>
            <w:r>
              <w:rPr>
                <w:b/>
                <w:color w:val="FFFFFF"/>
                <w:sz w:val="19"/>
              </w:rPr>
              <w:t>Source considered</w:t>
            </w:r>
          </w:p>
        </w:tc>
        <w:tc>
          <w:tcPr>
            <w:tcW w:type="dxa" w:w="1701"/>
            <w:shd w:val="clear" w:color="auto" w:fill="17324D"/>
          </w:tcPr>
          <w:p>
            <w:pPr>
              <w:spacing w:after="0" w:line="240" w:lineRule="auto"/>
              <w:jc w:val="right"/>
            </w:pPr>
            <w:r/>
            <w:r>
              <w:rPr>
                <w:b/>
                <w:color w:val="FFFFFF"/>
                <w:sz w:val="19"/>
              </w:rPr>
              <w:t>Jalour cost of capital</w:t>
            </w:r>
          </w:p>
        </w:tc>
        <w:tc>
          <w:tcPr>
            <w:tcW w:type="dxa" w:w="2041"/>
            <w:shd w:val="clear" w:color="auto" w:fill="17324D"/>
          </w:tcPr>
          <w:p>
            <w:pPr>
              <w:spacing w:after="0" w:line="240" w:lineRule="auto"/>
              <w:jc w:val="right"/>
            </w:pPr>
            <w:r/>
            <w:r>
              <w:rPr>
                <w:b/>
                <w:color w:val="FFFFFF"/>
                <w:sz w:val="19"/>
              </w:rPr>
              <w:t>NPV to Jalour at 14% (EGP m)</w:t>
            </w:r>
          </w:p>
        </w:tc>
        <w:tc>
          <w:tcPr>
            <w:tcW w:type="dxa" w:w="1984"/>
            <w:shd w:val="clear" w:color="auto" w:fill="17324D"/>
          </w:tcPr>
          <w:p>
            <w:pPr>
              <w:spacing w:after="0" w:line="240" w:lineRule="auto"/>
              <w:jc w:val="right"/>
            </w:pPr>
            <w:r/>
            <w:r>
              <w:rPr>
                <w:b/>
                <w:color w:val="FFFFFF"/>
                <w:sz w:val="19"/>
              </w:rPr>
              <w:t>Effect</w:t>
            </w:r>
          </w:p>
        </w:tc>
      </w:tr>
      <w:tr>
        <w:trPr>
          <w:cantSplit/>
        </w:trPr>
        <w:tc>
          <w:tcPr>
            <w:tcW w:type="dxa" w:w="3515"/>
          </w:tcPr>
          <w:p>
            <w:pPr>
              <w:spacing w:after="0" w:line="240" w:lineRule="auto"/>
            </w:pPr>
            <w:r/>
            <w:r>
              <w:rPr>
                <w:sz w:val="19"/>
              </w:rPr>
              <w:t>First two sales tranches at launch list (recommended)</w:t>
            </w:r>
          </w:p>
        </w:tc>
        <w:tc>
          <w:tcPr>
            <w:tcW w:type="dxa" w:w="1701"/>
          </w:tcPr>
          <w:p>
            <w:pPr>
              <w:spacing w:after="0" w:line="240" w:lineRule="auto"/>
              <w:jc w:val="right"/>
            </w:pPr>
            <w:r/>
            <w:r>
              <w:rPr>
                <w:sz w:val="19"/>
              </w:rPr>
              <w:t>20.7%</w:t>
            </w:r>
          </w:p>
        </w:tc>
        <w:tc>
          <w:tcPr>
            <w:tcW w:type="dxa" w:w="2041"/>
          </w:tcPr>
          <w:p>
            <w:pPr>
              <w:spacing w:after="0" w:line="240" w:lineRule="auto"/>
              <w:jc w:val="right"/>
            </w:pPr>
            <w:r/>
            <w:r>
              <w:rPr>
                <w:sz w:val="19"/>
              </w:rPr>
              <w:t>-14.3</w:t>
            </w:r>
          </w:p>
        </w:tc>
        <w:tc>
          <w:tcPr>
            <w:tcW w:type="dxa" w:w="1984"/>
          </w:tcPr>
          <w:p>
            <w:pPr>
              <w:spacing w:after="0" w:line="240" w:lineRule="auto"/>
              <w:jc w:val="right"/>
            </w:pPr>
            <w:r/>
            <w:r>
              <w:rPr>
                <w:sz w:val="19"/>
              </w:rPr>
              <w:t>Removes 25% of those tranches; landlord payments unchanged</w:t>
            </w:r>
          </w:p>
        </w:tc>
      </w:tr>
      <w:tr>
        <w:trPr>
          <w:cantSplit/>
        </w:trPr>
        <w:tc>
          <w:tcPr>
            <w:tcW w:type="dxa" w:w="3515"/>
            <w:shd w:val="clear" w:color="auto" w:fill="F2F4F7"/>
          </w:tcPr>
          <w:p>
            <w:pPr>
              <w:spacing w:after="0" w:line="240" w:lineRule="auto"/>
            </w:pPr>
            <w:r/>
            <w:r>
              <w:rPr>
                <w:sz w:val="19"/>
              </w:rPr>
              <w:t>Same area taken pro rata from all tranches (higher average prices)</w:t>
            </w:r>
          </w:p>
        </w:tc>
        <w:tc>
          <w:tcPr>
            <w:tcW w:type="dxa" w:w="1701"/>
            <w:shd w:val="clear" w:color="auto" w:fill="F2F4F7"/>
          </w:tcPr>
          <w:p>
            <w:pPr>
              <w:spacing w:after="0" w:line="240" w:lineRule="auto"/>
              <w:jc w:val="right"/>
            </w:pPr>
            <w:r/>
            <w:r>
              <w:rPr>
                <w:sz w:val="19"/>
              </w:rPr>
              <w:t>30.7%</w:t>
            </w:r>
          </w:p>
        </w:tc>
        <w:tc>
          <w:tcPr>
            <w:tcW w:type="dxa" w:w="2041"/>
            <w:shd w:val="clear" w:color="auto" w:fill="F2F4F7"/>
          </w:tcPr>
          <w:p>
            <w:pPr>
              <w:spacing w:after="0" w:line="240" w:lineRule="auto"/>
              <w:jc w:val="right"/>
            </w:pPr>
            <w:r/>
            <w:r>
              <w:rPr>
                <w:sz w:val="19"/>
              </w:rPr>
              <w:t>-35.8</w:t>
            </w:r>
          </w:p>
        </w:tc>
        <w:tc>
          <w:tcPr>
            <w:tcW w:type="dxa" w:w="1984"/>
            <w:shd w:val="clear" w:color="auto" w:fill="F2F4F7"/>
          </w:tcPr>
          <w:p>
            <w:pPr>
              <w:spacing w:after="0" w:line="240" w:lineRule="auto"/>
              <w:jc w:val="right"/>
            </w:pPr>
            <w:r/>
            <w:r>
              <w:rPr>
                <w:sz w:val="19"/>
              </w:rPr>
              <w:t>Costs more because later units are priced higher</w:t>
            </w:r>
          </w:p>
        </w:tc>
      </w:tr>
      <w:tr>
        <w:trPr>
          <w:cantSplit/>
        </w:trPr>
        <w:tc>
          <w:tcPr>
            <w:tcW w:type="dxa" w:w="3515"/>
          </w:tcPr>
          <w:p>
            <w:pPr>
              <w:spacing w:after="0" w:line="240" w:lineRule="auto"/>
            </w:pPr>
            <w:r/>
            <w:r>
              <w:rPr>
                <w:sz w:val="19"/>
              </w:rPr>
              <w:t>Retained 20% of units</w:t>
            </w:r>
          </w:p>
        </w:tc>
        <w:tc>
          <w:tcPr>
            <w:tcW w:type="dxa" w:w="1701"/>
          </w:tcPr>
          <w:p>
            <w:pPr>
              <w:spacing w:after="0" w:line="240" w:lineRule="auto"/>
              <w:jc w:val="right"/>
            </w:pPr>
            <w:r/>
            <w:r>
              <w:rPr>
                <w:sz w:val="19"/>
              </w:rPr>
              <w:t>Not considered</w:t>
            </w:r>
          </w:p>
        </w:tc>
        <w:tc>
          <w:tcPr>
            <w:tcW w:type="dxa" w:w="2041"/>
          </w:tcPr>
          <w:p>
            <w:pPr>
              <w:spacing w:after="0" w:line="240" w:lineRule="auto"/>
              <w:jc w:val="right"/>
            </w:pPr>
            <w:r/>
            <w:r>
              <w:rPr>
                <w:sz w:val="19"/>
              </w:rPr>
              <w:t>n/a</w:t>
            </w:r>
          </w:p>
        </w:tc>
        <w:tc>
          <w:tcPr>
            <w:tcW w:type="dxa" w:w="1984"/>
          </w:tcPr>
          <w:p>
            <w:pPr>
              <w:spacing w:after="0" w:line="240" w:lineRule="auto"/>
              <w:jc w:val="right"/>
            </w:pPr>
            <w:r/>
            <w:r>
              <w:rPr>
                <w:sz w:val="19"/>
              </w:rPr>
              <w:t>Excluded by Jalour</w:t>
            </w:r>
          </w:p>
        </w:tc>
      </w:tr>
    </w:tbl>
    <w:p>
      <w:pPr>
        <w:spacing w:after="80"/>
      </w:pPr>
    </w:p>
    <w:p>
      <w:r>
        <w:rPr>
          <w:b w:val="0"/>
          <w:i w:val="0"/>
        </w:rPr>
        <w:t>A mix of retail and offices in proportion to the launch tranches (retail 32%, offices 68%) is recommended. Retail alone would exceed the retail inventory of those tranches at larger tickets. Offices alone are possible but are the harder asset to replace in the early sales.</w:t>
      </w:r>
    </w:p>
    <w:p>
      <w:pPr>
        <w:pStyle w:val="Heading2"/>
      </w:pPr>
      <w:r>
        <w:t>8.2 Option B: payout structures</w:t>
      </w:r>
    </w:p>
    <w:p>
      <w:pPr>
        <w:keepNext/>
        <w:spacing w:after="60"/>
      </w:pPr>
      <w:r>
        <w:rPr>
          <w:b/>
          <w:color w:val="17324D"/>
          <w:sz w:val="19"/>
        </w:rPr>
        <w:t>Table 12: Option B structures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2665"/>
            <w:shd w:val="clear" w:color="auto" w:fill="17324D"/>
          </w:tcPr>
          <w:p>
            <w:pPr>
              <w:spacing w:after="0" w:line="240" w:lineRule="auto"/>
            </w:pPr>
            <w:r/>
            <w:r>
              <w:rPr>
                <w:b/>
                <w:color w:val="FFFFFF"/>
                <w:sz w:val="18"/>
              </w:rPr>
              <w:t>Structure</w:t>
            </w:r>
          </w:p>
        </w:tc>
        <w:tc>
          <w:tcPr>
            <w:tcW w:type="dxa" w:w="1247"/>
            <w:shd w:val="clear" w:color="auto" w:fill="17324D"/>
          </w:tcPr>
          <w:p>
            <w:pPr>
              <w:spacing w:after="0" w:line="240" w:lineRule="auto"/>
              <w:jc w:val="right"/>
            </w:pPr>
            <w:r/>
            <w:r>
              <w:rPr>
                <w:b/>
                <w:color w:val="FFFFFF"/>
                <w:sz w:val="18"/>
              </w:rPr>
              <w:t>Investor IRR (base)</w:t>
            </w:r>
          </w:p>
        </w:tc>
        <w:tc>
          <w:tcPr>
            <w:tcW w:type="dxa" w:w="1531"/>
            <w:shd w:val="clear" w:color="auto" w:fill="17324D"/>
          </w:tcPr>
          <w:p>
            <w:pPr>
              <w:spacing w:after="0" w:line="240" w:lineRule="auto"/>
              <w:jc w:val="right"/>
            </w:pPr>
            <w:r/>
            <w:r>
              <w:rPr>
                <w:b/>
                <w:color w:val="FFFFFF"/>
                <w:sz w:val="18"/>
              </w:rPr>
              <w:t>Quarters &lt; 1.5x (net cash flow)</w:t>
            </w:r>
          </w:p>
        </w:tc>
        <w:tc>
          <w:tcPr>
            <w:tcW w:type="dxa" w:w="1701"/>
            <w:shd w:val="clear" w:color="auto" w:fill="17324D"/>
          </w:tcPr>
          <w:p>
            <w:pPr>
              <w:spacing w:after="0" w:line="240" w:lineRule="auto"/>
              <w:jc w:val="right"/>
            </w:pPr>
            <w:r/>
            <w:r>
              <w:rPr>
                <w:b/>
                <w:color w:val="FFFFFF"/>
                <w:sz w:val="18"/>
              </w:rPr>
              <w:t>Downside lowest pooled cash (EGP m)</w:t>
            </w:r>
          </w:p>
        </w:tc>
        <w:tc>
          <w:tcPr>
            <w:tcW w:type="dxa" w:w="2098"/>
            <w:shd w:val="clear" w:color="auto" w:fill="17324D"/>
          </w:tcPr>
          <w:p>
            <w:pPr>
              <w:spacing w:after="0" w:line="240" w:lineRule="auto"/>
              <w:jc w:val="right"/>
            </w:pPr>
            <w:r/>
            <w:r>
              <w:rPr>
                <w:b/>
                <w:color w:val="FFFFFF"/>
                <w:sz w:val="18"/>
              </w:rPr>
              <w:t>Why rejected or chosen</w:t>
            </w:r>
          </w:p>
        </w:tc>
      </w:tr>
      <w:tr>
        <w:trPr>
          <w:cantSplit/>
        </w:trPr>
        <w:tc>
          <w:tcPr>
            <w:tcW w:type="dxa" w:w="2665"/>
          </w:tcPr>
          <w:p>
            <w:pPr>
              <w:spacing w:after="0" w:line="240" w:lineRule="auto"/>
            </w:pPr>
            <w:r/>
            <w:r>
              <w:rPr>
                <w:sz w:val="18"/>
              </w:rPr>
              <w:t>S1 fixed multiple, equal instalments</w:t>
            </w:r>
          </w:p>
        </w:tc>
        <w:tc>
          <w:tcPr>
            <w:tcW w:type="dxa" w:w="1247"/>
          </w:tcPr>
          <w:p>
            <w:pPr>
              <w:spacing w:after="0" w:line="240" w:lineRule="auto"/>
              <w:jc w:val="right"/>
            </w:pPr>
            <w:r/>
            <w:r>
              <w:rPr>
                <w:sz w:val="18"/>
              </w:rPr>
              <w:t>26.5%</w:t>
            </w:r>
          </w:p>
        </w:tc>
        <w:tc>
          <w:tcPr>
            <w:tcW w:type="dxa" w:w="1531"/>
          </w:tcPr>
          <w:p>
            <w:pPr>
              <w:spacing w:after="0" w:line="240" w:lineRule="auto"/>
              <w:jc w:val="right"/>
            </w:pPr>
            <w:r/>
            <w:r>
              <w:rPr>
                <w:sz w:val="18"/>
              </w:rPr>
              <w:t>8 of 12</w:t>
            </w:r>
          </w:p>
        </w:tc>
        <w:tc>
          <w:tcPr>
            <w:tcW w:type="dxa" w:w="1701"/>
          </w:tcPr>
          <w:p>
            <w:pPr>
              <w:spacing w:after="0" w:line="240" w:lineRule="auto"/>
              <w:jc w:val="right"/>
            </w:pPr>
            <w:r/>
            <w:r>
              <w:rPr>
                <w:sz w:val="18"/>
              </w:rPr>
              <w:t>-424</w:t>
            </w:r>
          </w:p>
        </w:tc>
        <w:tc>
          <w:tcPr>
            <w:tcW w:type="dxa" w:w="2098"/>
          </w:tcPr>
          <w:p>
            <w:pPr>
              <w:spacing w:after="0" w:line="240" w:lineRule="auto"/>
              <w:jc w:val="right"/>
            </w:pPr>
            <w:r/>
            <w:r>
              <w:rPr>
                <w:sz w:val="18"/>
              </w:rPr>
              <w:t>Chosen: simple and certain</w:t>
            </w:r>
          </w:p>
        </w:tc>
      </w:tr>
      <w:tr>
        <w:trPr>
          <w:cantSplit/>
        </w:trPr>
        <w:tc>
          <w:tcPr>
            <w:tcW w:type="dxa" w:w="2665"/>
            <w:shd w:val="clear" w:color="auto" w:fill="F2F4F7"/>
          </w:tcPr>
          <w:p>
            <w:pPr>
              <w:spacing w:after="0" w:line="240" w:lineRule="auto"/>
            </w:pPr>
            <w:r/>
            <w:r>
              <w:rPr>
                <w:sz w:val="18"/>
              </w:rPr>
              <w:t>S2 18.5% of collections, floor and cap</w:t>
            </w:r>
          </w:p>
        </w:tc>
        <w:tc>
          <w:tcPr>
            <w:tcW w:type="dxa" w:w="1247"/>
            <w:shd w:val="clear" w:color="auto" w:fill="F2F4F7"/>
          </w:tcPr>
          <w:p>
            <w:pPr>
              <w:spacing w:after="0" w:line="240" w:lineRule="auto"/>
              <w:jc w:val="right"/>
            </w:pPr>
            <w:r/>
            <w:r>
              <w:rPr>
                <w:sz w:val="18"/>
              </w:rPr>
              <w:t>29.0%</w:t>
            </w:r>
          </w:p>
        </w:tc>
        <w:tc>
          <w:tcPr>
            <w:tcW w:type="dxa" w:w="1531"/>
            <w:shd w:val="clear" w:color="auto" w:fill="F2F4F7"/>
          </w:tcPr>
          <w:p>
            <w:pPr>
              <w:spacing w:after="0" w:line="240" w:lineRule="auto"/>
              <w:jc w:val="right"/>
            </w:pPr>
            <w:r/>
            <w:r>
              <w:rPr>
                <w:sz w:val="18"/>
              </w:rPr>
              <w:t>8 of 12</w:t>
            </w:r>
          </w:p>
        </w:tc>
        <w:tc>
          <w:tcPr>
            <w:tcW w:type="dxa" w:w="1701"/>
            <w:shd w:val="clear" w:color="auto" w:fill="F2F4F7"/>
          </w:tcPr>
          <w:p>
            <w:pPr>
              <w:spacing w:after="0" w:line="240" w:lineRule="auto"/>
              <w:jc w:val="right"/>
            </w:pPr>
            <w:r/>
            <w:r>
              <w:rPr>
                <w:sz w:val="18"/>
              </w:rPr>
              <w:t>-411</w:t>
            </w:r>
          </w:p>
        </w:tc>
        <w:tc>
          <w:tcPr>
            <w:tcW w:type="dxa" w:w="2098"/>
            <w:shd w:val="clear" w:color="auto" w:fill="F2F4F7"/>
          </w:tcPr>
          <w:p>
            <w:pPr>
              <w:spacing w:after="0" w:line="240" w:lineRule="auto"/>
              <w:jc w:val="right"/>
            </w:pPr>
            <w:r/>
            <w:r>
              <w:rPr>
                <w:sz w:val="18"/>
              </w:rPr>
              <w:t>Takes cash needed for construction; no better coverage</w:t>
            </w:r>
          </w:p>
        </w:tc>
      </w:tr>
      <w:tr>
        <w:trPr>
          <w:cantSplit/>
        </w:trPr>
        <w:tc>
          <w:tcPr>
            <w:tcW w:type="dxa" w:w="2665"/>
          </w:tcPr>
          <w:p>
            <w:pPr>
              <w:spacing w:after="0" w:line="240" w:lineRule="auto"/>
            </w:pPr>
            <w:r/>
            <w:r>
              <w:rPr>
                <w:sz w:val="18"/>
              </w:rPr>
              <w:t>S3 fixed 1.8x plus 2.6% of collections</w:t>
            </w:r>
          </w:p>
        </w:tc>
        <w:tc>
          <w:tcPr>
            <w:tcW w:type="dxa" w:w="1247"/>
          </w:tcPr>
          <w:p>
            <w:pPr>
              <w:spacing w:after="0" w:line="240" w:lineRule="auto"/>
              <w:jc w:val="right"/>
            </w:pPr>
            <w:r/>
            <w:r>
              <w:rPr>
                <w:sz w:val="18"/>
              </w:rPr>
              <w:t>27.8%</w:t>
            </w:r>
          </w:p>
        </w:tc>
        <w:tc>
          <w:tcPr>
            <w:tcW w:type="dxa" w:w="1531"/>
          </w:tcPr>
          <w:p>
            <w:pPr>
              <w:spacing w:after="0" w:line="240" w:lineRule="auto"/>
              <w:jc w:val="right"/>
            </w:pPr>
            <w:r/>
            <w:r>
              <w:rPr>
                <w:sz w:val="18"/>
              </w:rPr>
              <w:t>8 of 12</w:t>
            </w:r>
          </w:p>
        </w:tc>
        <w:tc>
          <w:tcPr>
            <w:tcW w:type="dxa" w:w="1701"/>
          </w:tcPr>
          <w:p>
            <w:pPr>
              <w:spacing w:after="0" w:line="240" w:lineRule="auto"/>
              <w:jc w:val="right"/>
            </w:pPr>
            <w:r/>
            <w:r>
              <w:rPr>
                <w:sz w:val="18"/>
              </w:rPr>
              <w:t>-418</w:t>
            </w:r>
          </w:p>
        </w:tc>
        <w:tc>
          <w:tcPr>
            <w:tcW w:type="dxa" w:w="2098"/>
          </w:tcPr>
          <w:p>
            <w:pPr>
              <w:spacing w:after="0" w:line="240" w:lineRule="auto"/>
              <w:jc w:val="right"/>
            </w:pPr>
            <w:r/>
            <w:r>
              <w:rPr>
                <w:sz w:val="18"/>
              </w:rPr>
              <w:t>More complex; same coverage issue</w:t>
            </w:r>
          </w:p>
        </w:tc>
      </w:tr>
    </w:tbl>
    <w:p>
      <w:pPr>
        <w:spacing w:after="80"/>
      </w:pPr>
    </w:p>
    <w:p>
      <w:r>
        <w:rPr>
          <w:b w:val="0"/>
          <w:i w:val="0"/>
        </w:rPr>
        <w:t>A 1.5x coverage test on quarterly net cash flow cannot be met in the construction-peak quarters by any structure that pays in them. Reducing the multiple would not cure it. The structure therefore pays on a fixed schedule, discloses the shortfall, and relies on pooled cash, the payment priority covenant and Jalour's funding undertaking.</w:t>
      </w:r>
    </w:p>
    <w:p>
      <w:pPr>
        <w:pStyle w:val="Heading1"/>
        <w:pageBreakBefore/>
      </w:pPr>
      <w:r>
        <w:t>9. Risks and mitigants</w:t>
      </w:r>
    </w:p>
    <w:p>
      <w:pPr>
        <w:keepNext/>
        <w:spacing w:after="60"/>
      </w:pPr>
      <w:r>
        <w:rPr>
          <w:b/>
          <w:color w:val="17324D"/>
          <w:sz w:val="19"/>
        </w:rPr>
        <w:t>Table 13: Risk register</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098"/>
            <w:shd w:val="clear" w:color="auto" w:fill="17324D"/>
          </w:tcPr>
          <w:p>
            <w:pPr>
              <w:spacing w:after="0" w:line="240" w:lineRule="auto"/>
            </w:pPr>
            <w:r/>
            <w:r>
              <w:rPr>
                <w:b/>
                <w:color w:val="FFFFFF"/>
                <w:sz w:val="18"/>
              </w:rPr>
              <w:t>Risk</w:t>
            </w:r>
          </w:p>
        </w:tc>
        <w:tc>
          <w:tcPr>
            <w:tcW w:type="dxa" w:w="2608"/>
            <w:shd w:val="clear" w:color="auto" w:fill="17324D"/>
          </w:tcPr>
          <w:p>
            <w:pPr>
              <w:spacing w:after="0" w:line="240" w:lineRule="auto"/>
            </w:pPr>
            <w:r/>
            <w:r>
              <w:rPr>
                <w:b/>
                <w:color w:val="FFFFFF"/>
                <w:sz w:val="18"/>
              </w:rPr>
              <w:t>Effect on the investor</w:t>
            </w:r>
          </w:p>
        </w:tc>
        <w:tc>
          <w:tcPr>
            <w:tcW w:type="dxa" w:w="3061"/>
            <w:shd w:val="clear" w:color="auto" w:fill="17324D"/>
          </w:tcPr>
          <w:p>
            <w:pPr>
              <w:spacing w:after="0" w:line="240" w:lineRule="auto"/>
            </w:pPr>
            <w:r/>
            <w:r>
              <w:rPr>
                <w:b/>
                <w:color w:val="FFFFFF"/>
                <w:sz w:val="18"/>
              </w:rPr>
              <w:t>Mitigant</w:t>
            </w:r>
          </w:p>
        </w:tc>
        <w:tc>
          <w:tcPr>
            <w:tcW w:type="dxa" w:w="1474"/>
            <w:shd w:val="clear" w:color="auto" w:fill="17324D"/>
          </w:tcPr>
          <w:p>
            <w:pPr>
              <w:spacing w:after="0" w:line="240" w:lineRule="auto"/>
            </w:pPr>
            <w:r/>
            <w:r>
              <w:rPr>
                <w:b/>
                <w:color w:val="FFFFFF"/>
                <w:sz w:val="18"/>
              </w:rPr>
              <w:t>Residual</w:t>
            </w:r>
          </w:p>
        </w:tc>
      </w:tr>
      <w:tr>
        <w:trPr>
          <w:cantSplit/>
        </w:trPr>
        <w:tc>
          <w:tcPr>
            <w:tcW w:type="dxa" w:w="2098"/>
          </w:tcPr>
          <w:p>
            <w:pPr>
              <w:spacing w:after="0" w:line="240" w:lineRule="auto"/>
            </w:pPr>
            <w:r/>
            <w:r>
              <w:rPr>
                <w:sz w:val="18"/>
              </w:rPr>
              <w:t>Price below plan</w:t>
            </w:r>
          </w:p>
        </w:tc>
        <w:tc>
          <w:tcPr>
            <w:tcW w:type="dxa" w:w="2608"/>
          </w:tcPr>
          <w:p>
            <w:pPr>
              <w:spacing w:after="0" w:line="240" w:lineRule="auto"/>
            </w:pPr>
            <w:r/>
            <w:r>
              <w:rPr>
                <w:sz w:val="18"/>
              </w:rPr>
              <w:t>Option A value falls; project cash weaker</w:t>
            </w:r>
          </w:p>
        </w:tc>
        <w:tc>
          <w:tcPr>
            <w:tcW w:type="dxa" w:w="3061"/>
          </w:tcPr>
          <w:p>
            <w:pPr>
              <w:spacing w:after="0" w:line="240" w:lineRule="auto"/>
            </w:pPr>
            <w:r/>
            <w:r>
              <w:rPr>
                <w:sz w:val="18"/>
              </w:rPr>
              <w:t>Downside case; Option B unaffected by price</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Sales delay</w:t>
            </w:r>
          </w:p>
        </w:tc>
        <w:tc>
          <w:tcPr>
            <w:tcW w:type="dxa" w:w="2608"/>
            <w:shd w:val="clear" w:color="auto" w:fill="F2F4F7"/>
          </w:tcPr>
          <w:p>
            <w:pPr>
              <w:spacing w:after="0" w:line="240" w:lineRule="auto"/>
            </w:pPr>
            <w:r/>
            <w:r>
              <w:rPr>
                <w:sz w:val="18"/>
              </w:rPr>
              <w:t>Funding peak EGP 408 million at 12 months</w:t>
            </w:r>
          </w:p>
        </w:tc>
        <w:tc>
          <w:tcPr>
            <w:tcW w:type="dxa" w:w="3061"/>
            <w:shd w:val="clear" w:color="auto" w:fill="F2F4F7"/>
          </w:tcPr>
          <w:p>
            <w:pPr>
              <w:spacing w:after="0" w:line="240" w:lineRule="auto"/>
            </w:pPr>
            <w:r/>
            <w:r>
              <w:rPr>
                <w:sz w:val="18"/>
              </w:rPr>
              <w:t>Jalour funding; phased sales</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Delivery payments at handover</w:t>
            </w:r>
          </w:p>
        </w:tc>
        <w:tc>
          <w:tcPr>
            <w:tcW w:type="dxa" w:w="2608"/>
          </w:tcPr>
          <w:p>
            <w:pPr>
              <w:spacing w:after="0" w:line="240" w:lineRule="auto"/>
            </w:pPr>
            <w:r/>
            <w:r>
              <w:rPr>
                <w:sz w:val="18"/>
              </w:rPr>
              <w:t>Peak EGP 269 million</w:t>
            </w:r>
          </w:p>
        </w:tc>
        <w:tc>
          <w:tcPr>
            <w:tcW w:type="dxa" w:w="3061"/>
          </w:tcPr>
          <w:p>
            <w:pPr>
              <w:spacing w:after="0" w:line="240" w:lineRule="auto"/>
            </w:pPr>
            <w:r/>
            <w:r>
              <w:rPr>
                <w:sz w:val="18"/>
              </w:rPr>
              <w:t>Contractual milestone; Jalour funding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Cost overrun</w:t>
            </w:r>
          </w:p>
        </w:tc>
        <w:tc>
          <w:tcPr>
            <w:tcW w:type="dxa" w:w="2608"/>
            <w:shd w:val="clear" w:color="auto" w:fill="F2F4F7"/>
          </w:tcPr>
          <w:p>
            <w:pPr>
              <w:spacing w:after="0" w:line="240" w:lineRule="auto"/>
            </w:pPr>
            <w:r/>
            <w:r>
              <w:rPr>
                <w:sz w:val="18"/>
              </w:rPr>
              <w:t>NPV down EGP 53 million per 10%</w:t>
            </w:r>
          </w:p>
        </w:tc>
        <w:tc>
          <w:tcPr>
            <w:tcW w:type="dxa" w:w="3061"/>
            <w:shd w:val="clear" w:color="auto" w:fill="F2F4F7"/>
          </w:tcPr>
          <w:p>
            <w:pPr>
              <w:spacing w:after="0" w:line="240" w:lineRule="auto"/>
            </w:pPr>
            <w:r/>
            <w:r>
              <w:rPr>
                <w:sz w:val="18"/>
              </w:rPr>
              <w:t>Contingency; fixed-price contracts; engineer</w:t>
            </w:r>
          </w:p>
        </w:tc>
        <w:tc>
          <w:tcPr>
            <w:tcW w:type="dxa" w:w="1474"/>
            <w:shd w:val="clear" w:color="auto" w:fill="F2F4F7"/>
          </w:tcPr>
          <w:p>
            <w:pPr>
              <w:spacing w:after="0" w:line="240" w:lineRule="auto"/>
            </w:pPr>
            <w:r/>
            <w:r>
              <w:rPr>
                <w:sz w:val="18"/>
              </w:rPr>
              <w:t>Medium</w:t>
            </w:r>
          </w:p>
        </w:tc>
      </w:tr>
      <w:tr>
        <w:trPr>
          <w:cantSplit/>
        </w:trPr>
        <w:tc>
          <w:tcPr>
            <w:tcW w:type="dxa" w:w="2098"/>
          </w:tcPr>
          <w:p>
            <w:pPr>
              <w:spacing w:after="0" w:line="240" w:lineRule="auto"/>
            </w:pPr>
            <w:r/>
            <w:r>
              <w:rPr>
                <w:sz w:val="18"/>
              </w:rPr>
              <w:t>Landlord consent or dispute</w:t>
            </w:r>
          </w:p>
        </w:tc>
        <w:tc>
          <w:tcPr>
            <w:tcW w:type="dxa" w:w="2608"/>
          </w:tcPr>
          <w:p>
            <w:pPr>
              <w:spacing w:after="0" w:line="240" w:lineRule="auto"/>
            </w:pPr>
            <w:r/>
            <w:r>
              <w:rPr>
                <w:sz w:val="18"/>
              </w:rPr>
              <w:t>Allocation blocked or delayed</w:t>
            </w:r>
          </w:p>
        </w:tc>
        <w:tc>
          <w:tcPr>
            <w:tcW w:type="dxa" w:w="3061"/>
          </w:tcPr>
          <w:p>
            <w:pPr>
              <w:spacing w:after="0" w:line="240" w:lineRule="auto"/>
            </w:pPr>
            <w:r/>
            <w:r>
              <w:rPr>
                <w:sz w:val="18"/>
              </w:rPr>
              <w:t>Condition precedent</w:t>
            </w:r>
          </w:p>
        </w:tc>
        <w:tc>
          <w:tcPr>
            <w:tcW w:type="dxa" w:w="1474"/>
          </w:tcPr>
          <w:p>
            <w:pPr>
              <w:spacing w:after="0" w:line="240" w:lineRule="auto"/>
            </w:pPr>
            <w:r/>
            <w:r>
              <w:rPr>
                <w:sz w:val="18"/>
              </w:rPr>
              <w:t>Low if obtained</w:t>
            </w:r>
          </w:p>
        </w:tc>
      </w:tr>
      <w:tr>
        <w:trPr>
          <w:cantSplit/>
        </w:trPr>
        <w:tc>
          <w:tcPr>
            <w:tcW w:type="dxa" w:w="2098"/>
            <w:shd w:val="clear" w:color="auto" w:fill="F2F4F7"/>
          </w:tcPr>
          <w:p>
            <w:pPr>
              <w:spacing w:after="0" w:line="240" w:lineRule="auto"/>
            </w:pPr>
            <w:r/>
            <w:r>
              <w:rPr>
                <w:sz w:val="18"/>
              </w:rPr>
              <w:t>Jalour funding capacity</w:t>
            </w:r>
          </w:p>
        </w:tc>
        <w:tc>
          <w:tcPr>
            <w:tcW w:type="dxa" w:w="2608"/>
            <w:shd w:val="clear" w:color="auto" w:fill="F2F4F7"/>
          </w:tcPr>
          <w:p>
            <w:pPr>
              <w:spacing w:after="0" w:line="240" w:lineRule="auto"/>
            </w:pPr>
            <w:r/>
            <w:r>
              <w:rPr>
                <w:sz w:val="18"/>
              </w:rPr>
              <w:t>Option B payouts depend on it in downside</w:t>
            </w:r>
          </w:p>
        </w:tc>
        <w:tc>
          <w:tcPr>
            <w:tcW w:type="dxa" w:w="3061"/>
            <w:shd w:val="clear" w:color="auto" w:fill="F2F4F7"/>
          </w:tcPr>
          <w:p>
            <w:pPr>
              <w:spacing w:after="0" w:line="240" w:lineRule="auto"/>
            </w:pPr>
            <w:r/>
            <w:r>
              <w:rPr>
                <w:sz w:val="18"/>
              </w:rPr>
              <w:t>Funding undertaking; audited accounts; payment priority</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Legal and regulatory</w:t>
            </w:r>
          </w:p>
        </w:tc>
        <w:tc>
          <w:tcPr>
            <w:tcW w:type="dxa" w:w="2608"/>
          </w:tcPr>
          <w:p>
            <w:pPr>
              <w:spacing w:after="0" w:line="240" w:lineRule="auto"/>
            </w:pPr>
            <w:r/>
            <w:r>
              <w:rPr>
                <w:sz w:val="18"/>
              </w:rPr>
              <w:t>Structure may need change</w:t>
            </w:r>
          </w:p>
        </w:tc>
        <w:tc>
          <w:tcPr>
            <w:tcW w:type="dxa" w:w="3061"/>
          </w:tcPr>
          <w:p>
            <w:pPr>
              <w:spacing w:after="0" w:line="240" w:lineRule="auto"/>
            </w:pPr>
            <w:r/>
            <w:r>
              <w:rPr>
                <w:sz w:val="18"/>
              </w:rPr>
              <w:t>Counsel review before signing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Liquidity</w:t>
            </w:r>
          </w:p>
        </w:tc>
        <w:tc>
          <w:tcPr>
            <w:tcW w:type="dxa" w:w="2608"/>
            <w:shd w:val="clear" w:color="auto" w:fill="F2F4F7"/>
          </w:tcPr>
          <w:p>
            <w:pPr>
              <w:spacing w:after="0" w:line="240" w:lineRule="auto"/>
            </w:pPr>
            <w:r/>
            <w:r>
              <w:rPr>
                <w:sz w:val="18"/>
              </w:rPr>
              <w:t>No market for Option B; Option A resale discount</w:t>
            </w:r>
          </w:p>
        </w:tc>
        <w:tc>
          <w:tcPr>
            <w:tcW w:type="dxa" w:w="3061"/>
            <w:shd w:val="clear" w:color="auto" w:fill="F2F4F7"/>
          </w:tcPr>
          <w:p>
            <w:pPr>
              <w:spacing w:after="0" w:line="240" w:lineRule="auto"/>
            </w:pPr>
            <w:r/>
            <w:r>
              <w:rPr>
                <w:sz w:val="18"/>
              </w:rPr>
              <w:t>Contractual schedule; early-assignment table</w:t>
            </w:r>
          </w:p>
        </w:tc>
        <w:tc>
          <w:tcPr>
            <w:tcW w:type="dxa" w:w="1474"/>
            <w:shd w:val="clear" w:color="auto" w:fill="F2F4F7"/>
          </w:tcPr>
          <w:p>
            <w:pPr>
              <w:spacing w:after="0" w:line="240" w:lineRule="auto"/>
            </w:pPr>
            <w:r/>
            <w:r>
              <w:rPr>
                <w:sz w:val="18"/>
              </w:rPr>
              <w:t>Medium</w:t>
            </w:r>
          </w:p>
        </w:tc>
      </w:tr>
    </w:tbl>
    <w:p>
      <w:pPr>
        <w:spacing w:after="80"/>
      </w:pPr>
    </w:p>
    <w:p>
      <w:pPr>
        <w:pStyle w:val="Heading1"/>
        <w:pageBreakBefore/>
      </w:pPr>
      <w:r>
        <w:t>10. Red-flag disclosure list</w:t>
      </w:r>
    </w:p>
    <w:p>
      <w:pPr>
        <w:keepNext/>
      </w:pPr>
      <w:r>
        <w:rPr>
          <w:b w:val="0"/>
          <w:i w:val="0"/>
        </w:rPr>
        <w:t>Candid disclosure protects both sides. These points are known to Jalour and may reduce the investor's return or increase risk.</w:t>
      </w:r>
    </w:p>
    <w:p>
      <w:pPr>
        <w:pStyle w:val="ListNumber"/>
        <w:spacing w:after="60"/>
      </w:pPr>
      <w:r>
        <w:rPr>
          <w:b/>
          <w:i w:val="0"/>
        </w:rPr>
        <w:t>Delivery payments are collected before handover.</w:t>
      </w:r>
      <w:r>
        <w:rPr>
          <w:b w:val="0"/>
          <w:i w:val="0"/>
        </w:rPr>
        <w:t xml:space="preserve"> The model collects them at project month 30, 18 months before handover. If collected at handover the peak shortage is EGP 269 million, not EGP 102.5 million.</w:t>
      </w:r>
    </w:p>
    <w:p>
      <w:pPr>
        <w:pStyle w:val="ListNumber"/>
        <w:spacing w:after="60"/>
      </w:pPr>
      <w:r>
        <w:rPr>
          <w:b/>
          <w:i w:val="0"/>
        </w:rPr>
        <w:t>Price growth.</w:t>
      </w:r>
      <w:r>
        <w:rPr>
          <w:b w:val="0"/>
          <w:i w:val="0"/>
        </w:rPr>
        <w:t xml:space="preserve"> The plan needs list prices to rise 33% (retail) and 48% (offices); launch office prices exceed current Mostakbal City asking prices; recent growth evidence is mixed.</w:t>
      </w:r>
    </w:p>
    <w:p>
      <w:pPr>
        <w:pStyle w:val="ListNumber"/>
        <w:spacing w:after="60"/>
      </w:pPr>
      <w:r>
        <w:rPr>
          <w:b/>
          <w:i w:val="0"/>
        </w:rPr>
        <w:t>Sellable office area</w:t>
      </w:r>
      <w:r>
        <w:rPr>
          <w:b w:val="0"/>
          <w:i w:val="0"/>
        </w:rPr>
        <w:t xml:space="preserve"> (10,129 m2) exceeds office built-up area (8,682 m2); not yet reconciled.</w:t>
      </w:r>
    </w:p>
    <w:p>
      <w:pPr>
        <w:pStyle w:val="ListNumber"/>
        <w:spacing w:after="60"/>
      </w:pPr>
      <w:r>
        <w:rPr>
          <w:b/>
          <w:i w:val="0"/>
        </w:rPr>
        <w:t>Cost basis.</w:t>
      </w:r>
      <w:r>
        <w:rPr>
          <w:b w:val="0"/>
          <w:i w:val="0"/>
        </w:rPr>
        <w:t xml:space="preserve"> Construction cost is a stage schedule multiplied by a factor of 8 that is not yet explained; no inflation; no separate pre-construction cost.</w:t>
      </w:r>
    </w:p>
    <w:p>
      <w:pPr>
        <w:pStyle w:val="ListNumber"/>
        <w:spacing w:after="60"/>
      </w:pPr>
      <w:r>
        <w:rPr>
          <w:b/>
          <w:i w:val="0"/>
        </w:rPr>
        <w:t>No sales are contracted yet</w:t>
      </w:r>
      <w:r>
        <w:rPr>
          <w:b w:val="0"/>
          <w:i w:val="0"/>
        </w:rPr>
        <w:t xml:space="preserve"> and the permit, title and consent documents in sections 2 and 3 are provided after the investor signs a non-disclosure agreement.</w:t>
      </w:r>
    </w:p>
    <w:p>
      <w:pPr>
        <w:pStyle w:val="ListNumber"/>
        <w:spacing w:after="60"/>
      </w:pPr>
      <w:r>
        <w:rPr>
          <w:b/>
          <w:i w:val="0"/>
        </w:rPr>
        <w:t>Payout coverage.</w:t>
      </w:r>
      <w:r>
        <w:rPr>
          <w:b w:val="0"/>
          <w:i w:val="0"/>
        </w:rPr>
        <w:t xml:space="preserve"> Net cash flow covers Option B instalments by 1.5x or more in only 4 of 12 quarters; the minimum on net cash flow is -11.9x. Pooled cash covers at least 5.5x in the base case.</w:t>
      </w:r>
    </w:p>
    <w:p>
      <w:pPr>
        <w:pStyle w:val="ListNumber"/>
        <w:spacing w:after="60"/>
      </w:pPr>
      <w:r>
        <w:rPr>
          <w:b/>
          <w:i w:val="0"/>
        </w:rPr>
        <w:t>Downside funding need.</w:t>
      </w:r>
      <w:r>
        <w:rPr>
          <w:b w:val="0"/>
          <w:i w:val="0"/>
        </w:rPr>
        <w:t xml:space="preserve"> With sales delayed 12 months and prices 10% lower the funding need is EGP 441 million and the lowest pooled cash after Option B payouts is EGP -424 million. The investor relies on Jalour's capacity to fund it; there is no parent guarantee and no restricted account.</w:t>
      </w:r>
    </w:p>
    <w:p>
      <w:pPr>
        <w:pStyle w:val="ListNumber"/>
        <w:spacing w:after="60"/>
      </w:pPr>
      <w:r>
        <w:rPr>
          <w:b/>
          <w:i w:val="0"/>
        </w:rPr>
        <w:t>Option A uses the first sales tranches.</w:t>
      </w:r>
      <w:r>
        <w:rPr>
          <w:b w:val="0"/>
          <w:i w:val="0"/>
        </w:rPr>
        <w:t xml:space="preserve"> The investor receives 25% of the launch-priced inventory, which raises the peak shortage before the ticket from EGP 102.5 million to EGP 110.6 million and gives the investor units that compete with Jalour's later sales.</w:t>
      </w:r>
    </w:p>
    <w:p>
      <w:pPr>
        <w:pStyle w:val="ListNumber"/>
        <w:spacing w:after="60"/>
      </w:pPr>
      <w:r>
        <w:rPr>
          <w:b/>
          <w:i w:val="0"/>
        </w:rPr>
        <w:t>Commission timing.</w:t>
      </w:r>
      <w:r>
        <w:rPr>
          <w:b w:val="0"/>
          <w:i w:val="0"/>
        </w:rPr>
        <w:t xml:space="preserve"> The model pays commission 12 months after each sale quarter; if paid at sale, early funding needs are higher.</w:t>
      </w:r>
    </w:p>
    <w:p>
      <w:pPr>
        <w:pStyle w:val="ListNumber"/>
        <w:spacing w:after="60"/>
      </w:pPr>
      <w:r>
        <w:rPr>
          <w:b/>
          <w:i w:val="0"/>
        </w:rPr>
        <w:t>Sponsor information</w:t>
      </w:r>
      <w:r>
        <w:rPr>
          <w:b w:val="0"/>
          <w:i w:val="0"/>
        </w:rPr>
        <w:t xml:space="preserve"> (track record, audited accounts) is provided only after the investor signs a non-disclosure agreement, and the </w:t>
      </w:r>
      <w:r>
        <w:rPr>
          <w:b/>
          <w:i w:val="0"/>
        </w:rPr>
        <w:t>form of the investor's instrument</w:t>
      </w:r>
      <w:r>
        <w:rPr>
          <w:b w:val="0"/>
          <w:i w:val="0"/>
        </w:rPr>
        <w:t xml:space="preserve"> is still open.</w:t>
      </w:r>
    </w:p>
    <w:p>
      <w:pPr>
        <w:pStyle w:val="ListNumber"/>
        <w:spacing w:after="60"/>
      </w:pPr>
      <w:r>
        <w:rPr>
          <w:b/>
          <w:i w:val="0"/>
        </w:rPr>
        <w:t>Market data</w:t>
      </w:r>
      <w:r>
        <w:rPr>
          <w:b w:val="0"/>
          <w:i w:val="0"/>
        </w:rPr>
        <w:t xml:space="preserve"> are reported from third-party summaries and asking prices; they are not audited.</w:t>
      </w:r>
    </w:p>
    <w:p>
      <w:pPr>
        <w:pStyle w:val="Heading1"/>
        <w:pageBreakBefore/>
      </w:pPr>
      <w:r>
        <w:t>11. Questions an investor is likely to ask</w:t>
      </w:r>
    </w:p>
    <w:p>
      <w:r>
        <w:rPr>
          <w:b/>
          <w:i w:val="0"/>
        </w:rPr>
        <w:t>Is the price growth realistic?</w:t>
      </w:r>
      <w:r>
        <w:rPr>
          <w:b w:val="0"/>
          <w:i w:val="0"/>
        </w:rPr>
        <w:t xml:space="preserve"> The plan needs +33% retail and +48% offices. Evidence is mixed (section 5). Option B removes the exposure; the Option A downside shows 18.6% IRR.</w:t>
      </w:r>
    </w:p>
    <w:p>
      <w:r>
        <w:rPr>
          <w:b/>
          <w:i w:val="0"/>
        </w:rPr>
        <w:t>What if delivery payments are not received early?</w:t>
      </w:r>
      <w:r>
        <w:rPr>
          <w:b w:val="0"/>
          <w:i w:val="0"/>
        </w:rPr>
        <w:t xml:space="preserve"> Peak funding rises to EGP 269 million (Investment Memorandum, section 11). Jalour funds the gap.</w:t>
      </w:r>
    </w:p>
    <w:p>
      <w:r>
        <w:rPr>
          <w:b/>
          <w:i w:val="0"/>
        </w:rPr>
        <w:t>Who pays if the project has a gap?</w:t>
      </w:r>
      <w:r>
        <w:rPr>
          <w:b w:val="0"/>
          <w:i w:val="0"/>
        </w:rPr>
        <w:t xml:space="preserve"> Jalour has said it will cover project funding gaps from its cash reserves and from cash generated by other projects it is constructing. The form and cap are to be documented; see red flag 7.</w:t>
      </w:r>
    </w:p>
    <w:p>
      <w:r>
        <w:rPr>
          <w:b/>
          <w:i w:val="0"/>
        </w:rPr>
        <w:t>Why is coverage below 1.5x in some quarters?</w:t>
      </w:r>
      <w:r>
        <w:rPr>
          <w:b w:val="0"/>
          <w:i w:val="0"/>
        </w:rPr>
        <w:t xml:space="preserve"> Instalments fall in the construction peak. The disclosure is in Investment Memorandum section 13.3.</w:t>
      </w:r>
    </w:p>
    <w:p>
      <w:r>
        <w:rPr>
          <w:b/>
          <w:i w:val="0"/>
        </w:rPr>
        <w:t>Can I sell the units early?</w:t>
      </w:r>
      <w:r>
        <w:rPr>
          <w:b w:val="0"/>
          <w:i w:val="0"/>
        </w:rPr>
        <w:t xml:space="preserve"> Only the contract, with Jalour consent and landlord acknowledgement, and likely at a discount (Investment Memorandum section 16).</w:t>
      </w:r>
    </w:p>
    <w:p>
      <w:pPr>
        <w:pStyle w:val="Heading1"/>
        <w:pageBreakBefore/>
      </w:pPr>
      <w:r>
        <w:t>12. Data-room index</w:t>
      </w:r>
    </w:p>
    <w:p>
      <w:pPr>
        <w:keepNext/>
        <w:spacing w:after="60"/>
      </w:pPr>
      <w:r>
        <w:rPr>
          <w:b/>
          <w:color w:val="17324D"/>
          <w:sz w:val="19"/>
        </w:rPr>
        <w:t>Table 14: Data-room index</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624"/>
            <w:shd w:val="clear" w:color="auto" w:fill="17324D"/>
          </w:tcPr>
          <w:p>
            <w:pPr>
              <w:spacing w:after="0" w:line="240" w:lineRule="auto"/>
            </w:pPr>
            <w:r/>
            <w:r>
              <w:rPr>
                <w:b/>
                <w:color w:val="FFFFFF"/>
                <w:sz w:val="19"/>
              </w:rPr>
              <w:t>No.</w:t>
            </w:r>
          </w:p>
        </w:tc>
        <w:tc>
          <w:tcPr>
            <w:tcW w:type="dxa" w:w="1814"/>
            <w:shd w:val="clear" w:color="auto" w:fill="17324D"/>
          </w:tcPr>
          <w:p>
            <w:pPr>
              <w:spacing w:after="0" w:line="240" w:lineRule="auto"/>
            </w:pPr>
            <w:r/>
            <w:r>
              <w:rPr>
                <w:b/>
                <w:color w:val="FFFFFF"/>
                <w:sz w:val="19"/>
              </w:rPr>
              <w:t>Folder</w:t>
            </w:r>
          </w:p>
        </w:tc>
        <w:tc>
          <w:tcPr>
            <w:tcW w:type="dxa" w:w="5102"/>
            <w:shd w:val="clear" w:color="auto" w:fill="17324D"/>
          </w:tcPr>
          <w:p>
            <w:pPr>
              <w:spacing w:after="0" w:line="240" w:lineRule="auto"/>
            </w:pPr>
            <w:r/>
            <w:r>
              <w:rPr>
                <w:b/>
                <w:color w:val="FFFFFF"/>
                <w:sz w:val="19"/>
              </w:rPr>
              <w:t>Contents</w:t>
            </w:r>
          </w:p>
        </w:tc>
        <w:tc>
          <w:tcPr>
            <w:tcW w:type="dxa" w:w="1701"/>
            <w:shd w:val="clear" w:color="auto" w:fill="17324D"/>
          </w:tcPr>
          <w:p>
            <w:pPr>
              <w:spacing w:after="0" w:line="240" w:lineRule="auto"/>
            </w:pPr>
            <w:r/>
            <w:r>
              <w:rPr>
                <w:b/>
                <w:color w:val="FFFFFF"/>
                <w:sz w:val="19"/>
              </w:rPr>
              <w:t>Status</w:t>
            </w:r>
          </w:p>
        </w:tc>
      </w:tr>
      <w:tr>
        <w:trPr>
          <w:cantSplit/>
        </w:trPr>
        <w:tc>
          <w:tcPr>
            <w:tcW w:type="dxa" w:w="624"/>
          </w:tcPr>
          <w:p>
            <w:pPr>
              <w:spacing w:after="0" w:line="240" w:lineRule="auto"/>
            </w:pPr>
            <w:r/>
            <w:r>
              <w:rPr>
                <w:sz w:val="19"/>
              </w:rPr>
              <w:t>1</w:t>
            </w:r>
          </w:p>
        </w:tc>
        <w:tc>
          <w:tcPr>
            <w:tcW w:type="dxa" w:w="1814"/>
          </w:tcPr>
          <w:p>
            <w:pPr>
              <w:spacing w:after="0" w:line="240" w:lineRule="auto"/>
            </w:pPr>
            <w:r/>
            <w:r>
              <w:rPr>
                <w:sz w:val="19"/>
              </w:rPr>
              <w:t>Corporate</w:t>
            </w:r>
          </w:p>
        </w:tc>
        <w:tc>
          <w:tcPr>
            <w:tcW w:type="dxa" w:w="5102"/>
          </w:tcPr>
          <w:p>
            <w:pPr>
              <w:spacing w:after="0" w:line="240" w:lineRule="auto"/>
            </w:pPr>
            <w:r/>
            <w:r>
              <w:rPr>
                <w:sz w:val="19"/>
              </w:rPr>
              <w:t>Constitutional documents, registrations, board approvals, structure chart</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2</w:t>
            </w:r>
          </w:p>
        </w:tc>
        <w:tc>
          <w:tcPr>
            <w:tcW w:type="dxa" w:w="1814"/>
            <w:shd w:val="clear" w:color="auto" w:fill="F2F4F7"/>
          </w:tcPr>
          <w:p>
            <w:pPr>
              <w:spacing w:after="0" w:line="240" w:lineRule="auto"/>
            </w:pPr>
            <w:r/>
            <w:r>
              <w:rPr>
                <w:sz w:val="19"/>
              </w:rPr>
              <w:t>Landlord</w:t>
            </w:r>
          </w:p>
        </w:tc>
        <w:tc>
          <w:tcPr>
            <w:tcW w:type="dxa" w:w="5102"/>
            <w:shd w:val="clear" w:color="auto" w:fill="F2F4F7"/>
          </w:tcPr>
          <w:p>
            <w:pPr>
              <w:spacing w:after="0" w:line="240" w:lineRule="auto"/>
            </w:pPr>
            <w:r/>
            <w:r>
              <w:rPr>
                <w:sz w:val="19"/>
              </w:rPr>
              <w:t>Agreement with Al Ahly Sabbour, payment schedule, down payment proof, consents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3</w:t>
            </w:r>
          </w:p>
        </w:tc>
        <w:tc>
          <w:tcPr>
            <w:tcW w:type="dxa" w:w="1814"/>
          </w:tcPr>
          <w:p>
            <w:pPr>
              <w:spacing w:after="0" w:line="240" w:lineRule="auto"/>
            </w:pPr>
            <w:r/>
            <w:r>
              <w:rPr>
                <w:sz w:val="19"/>
              </w:rPr>
              <w:t>Land and permits</w:t>
            </w:r>
          </w:p>
        </w:tc>
        <w:tc>
          <w:tcPr>
            <w:tcW w:type="dxa" w:w="5102"/>
          </w:tcPr>
          <w:p>
            <w:pPr>
              <w:spacing w:after="0" w:line="240" w:lineRule="auto"/>
            </w:pPr>
            <w:r/>
            <w:r>
              <w:rPr>
                <w:sz w:val="19"/>
              </w:rPr>
              <w:t>Title, plans approvals, building permit, licences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4</w:t>
            </w:r>
          </w:p>
        </w:tc>
        <w:tc>
          <w:tcPr>
            <w:tcW w:type="dxa" w:w="1814"/>
            <w:shd w:val="clear" w:color="auto" w:fill="F2F4F7"/>
          </w:tcPr>
          <w:p>
            <w:pPr>
              <w:spacing w:after="0" w:line="240" w:lineRule="auto"/>
            </w:pPr>
            <w:r/>
            <w:r>
              <w:rPr>
                <w:sz w:val="19"/>
              </w:rPr>
              <w:t>Design and cost</w:t>
            </w:r>
          </w:p>
        </w:tc>
        <w:tc>
          <w:tcPr>
            <w:tcW w:type="dxa" w:w="5102"/>
            <w:shd w:val="clear" w:color="auto" w:fill="F2F4F7"/>
          </w:tcPr>
          <w:p>
            <w:pPr>
              <w:spacing w:after="0" w:line="240" w:lineRule="auto"/>
            </w:pPr>
            <w:r/>
            <w:r>
              <w:rPr>
                <w:sz w:val="19"/>
              </w:rPr>
              <w:t>Drawings, area schedule, bill of quantities, contractor quotes, programme</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5</w:t>
            </w:r>
          </w:p>
        </w:tc>
        <w:tc>
          <w:tcPr>
            <w:tcW w:type="dxa" w:w="1814"/>
          </w:tcPr>
          <w:p>
            <w:pPr>
              <w:spacing w:after="0" w:line="240" w:lineRule="auto"/>
            </w:pPr>
            <w:r/>
            <w:r>
              <w:rPr>
                <w:sz w:val="19"/>
              </w:rPr>
              <w:t>Sales</w:t>
            </w:r>
          </w:p>
        </w:tc>
        <w:tc>
          <w:tcPr>
            <w:tcW w:type="dxa" w:w="5102"/>
          </w:tcPr>
          <w:p>
            <w:pPr>
              <w:spacing w:after="0" w:line="240" w:lineRule="auto"/>
            </w:pPr>
            <w:r/>
            <w:r>
              <w:rPr>
                <w:sz w:val="19"/>
              </w:rPr>
              <w:t>Price list, payment plans, standard sale contract, valuation, comparables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6</w:t>
            </w:r>
          </w:p>
        </w:tc>
        <w:tc>
          <w:tcPr>
            <w:tcW w:type="dxa" w:w="1814"/>
            <w:shd w:val="clear" w:color="auto" w:fill="F2F4F7"/>
          </w:tcPr>
          <w:p>
            <w:pPr>
              <w:spacing w:after="0" w:line="240" w:lineRule="auto"/>
            </w:pPr>
            <w:r/>
            <w:r>
              <w:rPr>
                <w:sz w:val="19"/>
              </w:rPr>
              <w:t>Financial model</w:t>
            </w:r>
          </w:p>
        </w:tc>
        <w:tc>
          <w:tcPr>
            <w:tcW w:type="dxa" w:w="5102"/>
            <w:shd w:val="clear" w:color="auto" w:fill="F2F4F7"/>
          </w:tcPr>
          <w:p>
            <w:pPr>
              <w:spacing w:after="0" w:line="240" w:lineRule="auto"/>
            </w:pPr>
            <w:r/>
            <w:r>
              <w:rPr>
                <w:sz w:val="19"/>
              </w:rPr>
              <w:t>Financial Annex (provided with this pack)</w:t>
            </w:r>
          </w:p>
        </w:tc>
        <w:tc>
          <w:tcPr>
            <w:tcW w:type="dxa" w:w="1701"/>
            <w:shd w:val="clear" w:color="auto" w:fill="F2F4F7"/>
          </w:tcPr>
          <w:p>
            <w:pPr>
              <w:spacing w:after="0" w:line="240" w:lineRule="auto"/>
            </w:pPr>
            <w:r/>
            <w:r>
              <w:rPr>
                <w:sz w:val="19"/>
              </w:rPr>
              <w:t>Provided</w:t>
            </w:r>
          </w:p>
        </w:tc>
      </w:tr>
      <w:tr>
        <w:trPr>
          <w:cantSplit/>
        </w:trPr>
        <w:tc>
          <w:tcPr>
            <w:tcW w:type="dxa" w:w="624"/>
          </w:tcPr>
          <w:p>
            <w:pPr>
              <w:spacing w:after="0" w:line="240" w:lineRule="auto"/>
            </w:pPr>
            <w:r/>
            <w:r>
              <w:rPr>
                <w:sz w:val="19"/>
              </w:rPr>
              <w:t>7</w:t>
            </w:r>
          </w:p>
        </w:tc>
        <w:tc>
          <w:tcPr>
            <w:tcW w:type="dxa" w:w="1814"/>
          </w:tcPr>
          <w:p>
            <w:pPr>
              <w:spacing w:after="0" w:line="240" w:lineRule="auto"/>
            </w:pPr>
            <w:r/>
            <w:r>
              <w:rPr>
                <w:sz w:val="19"/>
              </w:rPr>
              <w:t>Sponsor</w:t>
            </w:r>
          </w:p>
        </w:tc>
        <w:tc>
          <w:tcPr>
            <w:tcW w:type="dxa" w:w="5102"/>
          </w:tcPr>
          <w:p>
            <w:pPr>
              <w:spacing w:after="0" w:line="240" w:lineRule="auto"/>
            </w:pPr>
            <w:r/>
            <w:r>
              <w:rPr>
                <w:sz w:val="19"/>
              </w:rPr>
              <w:t>Track record, team, audited accounts of Jalour and Al Jalal Holding</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8</w:t>
            </w:r>
          </w:p>
        </w:tc>
        <w:tc>
          <w:tcPr>
            <w:tcW w:type="dxa" w:w="1814"/>
            <w:shd w:val="clear" w:color="auto" w:fill="F2F4F7"/>
          </w:tcPr>
          <w:p>
            <w:pPr>
              <w:spacing w:after="0" w:line="240" w:lineRule="auto"/>
            </w:pPr>
            <w:r/>
            <w:r>
              <w:rPr>
                <w:sz w:val="19"/>
              </w:rPr>
              <w:t>Legal</w:t>
            </w:r>
          </w:p>
        </w:tc>
        <w:tc>
          <w:tcPr>
            <w:tcW w:type="dxa" w:w="5102"/>
            <w:shd w:val="clear" w:color="auto" w:fill="F2F4F7"/>
          </w:tcPr>
          <w:p>
            <w:pPr>
              <w:spacing w:after="0" w:line="240" w:lineRule="auto"/>
            </w:pPr>
            <w:r/>
            <w:r>
              <w:rPr>
                <w:sz w:val="19"/>
              </w:rPr>
              <w:t>Draft investment agreement, security documents, opinions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9</w:t>
            </w:r>
          </w:p>
        </w:tc>
        <w:tc>
          <w:tcPr>
            <w:tcW w:type="dxa" w:w="1814"/>
          </w:tcPr>
          <w:p>
            <w:pPr>
              <w:spacing w:after="0" w:line="240" w:lineRule="auto"/>
            </w:pPr>
            <w:r/>
            <w:r>
              <w:rPr>
                <w:sz w:val="19"/>
              </w:rPr>
              <w:t>Market</w:t>
            </w:r>
          </w:p>
        </w:tc>
        <w:tc>
          <w:tcPr>
            <w:tcW w:type="dxa" w:w="5102"/>
          </w:tcPr>
          <w:p>
            <w:pPr>
              <w:spacing w:after="0" w:line="240" w:lineRule="auto"/>
            </w:pPr>
            <w:r/>
            <w:r>
              <w:rPr>
                <w:sz w:val="19"/>
              </w:rPr>
              <w:t>Reports and sources cited in Investment Memorandum Appendix D</w:t>
            </w:r>
          </w:p>
        </w:tc>
        <w:tc>
          <w:tcPr>
            <w:tcW w:type="dxa" w:w="1701"/>
          </w:tcPr>
          <w:p>
            <w:pPr>
              <w:spacing w:after="0" w:line="240" w:lineRule="auto"/>
            </w:pPr>
            <w:r/>
            <w:r>
              <w:rPr>
                <w:sz w:val="19"/>
              </w:rPr>
              <w:t>Provided (citations)</w:t>
            </w:r>
          </w:p>
        </w:tc>
      </w:tr>
    </w:tbl>
    <w:p>
      <w:pPr>
        <w:spacing w:after="80"/>
      </w:pPr>
    </w:p>
    <w:p>
      <w:pPr>
        <w:pStyle w:val="Heading1"/>
        <w:pageBreakBefore/>
      </w:pPr>
      <w:r>
        <w:t>13. Open items</w:t>
      </w:r>
    </w:p>
    <w:p>
      <w:pPr>
        <w:keepNext/>
        <w:spacing w:after="60"/>
      </w:pPr>
      <w:r>
        <w:rPr>
          <w:b/>
          <w:color w:val="17324D"/>
          <w:sz w:val="19"/>
        </w:rPr>
        <w:t>Table 15: Open items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680"/>
            <w:shd w:val="clear" w:color="auto" w:fill="17324D"/>
          </w:tcPr>
          <w:p>
            <w:pPr>
              <w:spacing w:after="0" w:line="240" w:lineRule="auto"/>
            </w:pPr>
            <w:r/>
            <w:r>
              <w:rPr>
                <w:b/>
                <w:color w:val="FFFFFF"/>
                <w:sz w:val="19"/>
              </w:rPr>
              <w:t>No.</w:t>
            </w:r>
          </w:p>
        </w:tc>
        <w:tc>
          <w:tcPr>
            <w:tcW w:type="dxa" w:w="6633"/>
            <w:shd w:val="clear" w:color="auto" w:fill="17324D"/>
          </w:tcPr>
          <w:p>
            <w:pPr>
              <w:spacing w:after="0" w:line="240" w:lineRule="auto"/>
            </w:pPr>
            <w:r/>
            <w:r>
              <w:rPr>
                <w:b/>
                <w:color w:val="FFFFFF"/>
                <w:sz w:val="19"/>
              </w:rPr>
              <w:t>Item</w:t>
            </w:r>
          </w:p>
        </w:tc>
        <w:tc>
          <w:tcPr>
            <w:tcW w:type="dxa" w:w="1928"/>
            <w:shd w:val="clear" w:color="auto" w:fill="17324D"/>
          </w:tcPr>
          <w:p>
            <w:pPr>
              <w:spacing w:after="0" w:line="240" w:lineRule="auto"/>
            </w:pPr>
            <w:r/>
            <w:r>
              <w:rPr>
                <w:b/>
                <w:color w:val="FFFFFF"/>
                <w:sz w:val="19"/>
              </w:rPr>
              <w:t>Owner</w:t>
            </w:r>
          </w:p>
        </w:tc>
      </w:tr>
      <w:tr>
        <w:trPr>
          <w:cantSplit/>
        </w:trPr>
        <w:tc>
          <w:tcPr>
            <w:tcW w:type="dxa" w:w="680"/>
          </w:tcPr>
          <w:p>
            <w:pPr>
              <w:spacing w:after="0" w:line="240" w:lineRule="auto"/>
            </w:pPr>
            <w:r/>
            <w:r>
              <w:rPr>
                <w:sz w:val="19"/>
              </w:rPr>
              <w:t>1</w:t>
            </w:r>
          </w:p>
        </w:tc>
        <w:tc>
          <w:tcPr>
            <w:tcW w:type="dxa" w:w="6633"/>
          </w:tcPr>
          <w:p>
            <w:pPr>
              <w:spacing w:after="0" w:line="240" w:lineRule="auto"/>
            </w:pPr>
            <w:r/>
            <w:r>
              <w:rPr>
                <w:sz w:val="19"/>
              </w:rPr>
              <w:t>Landlord written consent: allocation, assignment, earmark</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2</w:t>
            </w:r>
          </w:p>
        </w:tc>
        <w:tc>
          <w:tcPr>
            <w:tcW w:type="dxa" w:w="6633"/>
            <w:shd w:val="clear" w:color="auto" w:fill="F2F4F7"/>
          </w:tcPr>
          <w:p>
            <w:pPr>
              <w:spacing w:after="0" w:line="240" w:lineRule="auto"/>
            </w:pPr>
            <w:r/>
            <w:r>
              <w:rPr>
                <w:sz w:val="19"/>
              </w:rPr>
              <w:t>Legal form of the investor's instrument, project company name and jurisdiction</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3</w:t>
            </w:r>
          </w:p>
        </w:tc>
        <w:tc>
          <w:tcPr>
            <w:tcW w:type="dxa" w:w="6633"/>
          </w:tcPr>
          <w:p>
            <w:pPr>
              <w:spacing w:after="0" w:line="240" w:lineRule="auto"/>
            </w:pPr>
            <w:r/>
            <w:r>
              <w:rPr>
                <w:sz w:val="19"/>
              </w:rPr>
              <w:t>Confirm Jalour will not guarantee the return; documentation of the funding undertaking (form, amount)</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4</w:t>
            </w:r>
          </w:p>
        </w:tc>
        <w:tc>
          <w:tcPr>
            <w:tcW w:type="dxa" w:w="6633"/>
            <w:shd w:val="clear" w:color="auto" w:fill="F2F4F7"/>
          </w:tcPr>
          <w:p>
            <w:pPr>
              <w:spacing w:after="0" w:line="240" w:lineRule="auto"/>
            </w:pPr>
            <w:r/>
            <w:r>
              <w:rPr>
                <w:sz w:val="19"/>
              </w:rPr>
              <w:t>Evidence that delivery payments are contractual before handover</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5</w:t>
            </w:r>
          </w:p>
        </w:tc>
        <w:tc>
          <w:tcPr>
            <w:tcW w:type="dxa" w:w="6633"/>
          </w:tcPr>
          <w:p>
            <w:pPr>
              <w:spacing w:after="0" w:line="240" w:lineRule="auto"/>
            </w:pPr>
            <w:r/>
            <w:r>
              <w:rPr>
                <w:sz w:val="19"/>
              </w:rPr>
              <w:t>Area schedule reconciling sellable and built-up office area</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6</w:t>
            </w:r>
          </w:p>
        </w:tc>
        <w:tc>
          <w:tcPr>
            <w:tcW w:type="dxa" w:w="6633"/>
            <w:shd w:val="clear" w:color="auto" w:fill="F2F4F7"/>
          </w:tcPr>
          <w:p>
            <w:pPr>
              <w:spacing w:after="0" w:line="240" w:lineRule="auto"/>
            </w:pPr>
            <w:r/>
            <w:r>
              <w:rPr>
                <w:sz w:val="19"/>
              </w:rPr>
              <w:t>Cost basis: contractor quote, bill of quantities, factor of 8, pre-construction budget</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7</w:t>
            </w:r>
          </w:p>
        </w:tc>
        <w:tc>
          <w:tcPr>
            <w:tcW w:type="dxa" w:w="6633"/>
          </w:tcPr>
          <w:p>
            <w:pPr>
              <w:spacing w:after="0" w:line="240" w:lineRule="auto"/>
            </w:pPr>
            <w:r/>
            <w:r>
              <w:rPr>
                <w:sz w:val="19"/>
              </w:rPr>
              <w:t>Permits, licences, title status</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8</w:t>
            </w:r>
          </w:p>
        </w:tc>
        <w:tc>
          <w:tcPr>
            <w:tcW w:type="dxa" w:w="6633"/>
            <w:shd w:val="clear" w:color="auto" w:fill="F2F4F7"/>
          </w:tcPr>
          <w:p>
            <w:pPr>
              <w:spacing w:after="0" w:line="240" w:lineRule="auto"/>
            </w:pPr>
            <w:r/>
            <w:r>
              <w:rPr>
                <w:sz w:val="19"/>
              </w:rPr>
              <w:t>Track record, team, audited financial statements</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9</w:t>
            </w:r>
          </w:p>
        </w:tc>
        <w:tc>
          <w:tcPr>
            <w:tcW w:type="dxa" w:w="6633"/>
          </w:tcPr>
          <w:p>
            <w:pPr>
              <w:spacing w:after="0" w:line="240" w:lineRule="auto"/>
            </w:pPr>
            <w:r/>
            <w:r>
              <w:rPr>
                <w:sz w:val="19"/>
              </w:rPr>
              <w:t>Regulatory position of the placement; separate project account question</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10</w:t>
            </w:r>
          </w:p>
        </w:tc>
        <w:tc>
          <w:tcPr>
            <w:tcW w:type="dxa" w:w="6633"/>
            <w:shd w:val="clear" w:color="auto" w:fill="F2F4F7"/>
          </w:tcPr>
          <w:p>
            <w:pPr>
              <w:spacing w:after="0" w:line="240" w:lineRule="auto"/>
            </w:pPr>
            <w:r/>
            <w:r>
              <w:rPr>
                <w:sz w:val="19"/>
              </w:rPr>
              <w:t>Secondary transfer rules and fees for unit contracts</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11</w:t>
            </w:r>
          </w:p>
        </w:tc>
        <w:tc>
          <w:tcPr>
            <w:tcW w:type="dxa" w:w="6633"/>
          </w:tcPr>
          <w:p>
            <w:pPr>
              <w:spacing w:after="0" w:line="240" w:lineRule="auto"/>
            </w:pPr>
            <w:r/>
            <w:r>
              <w:rPr>
                <w:sz w:val="19"/>
              </w:rPr>
              <w:t>Foreign investor, FX and repatriation treatment</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12</w:t>
            </w:r>
          </w:p>
        </w:tc>
        <w:tc>
          <w:tcPr>
            <w:tcW w:type="dxa" w:w="6633"/>
            <w:shd w:val="clear" w:color="auto" w:fill="F2F4F7"/>
          </w:tcPr>
          <w:p>
            <w:pPr>
              <w:spacing w:after="0" w:line="240" w:lineRule="auto"/>
            </w:pPr>
            <w:r/>
            <w:r>
              <w:rPr>
                <w:sz w:val="19"/>
              </w:rPr>
              <w:t>Verification of market data against original sources</w:t>
            </w:r>
          </w:p>
        </w:tc>
        <w:tc>
          <w:tcPr>
            <w:tcW w:type="dxa" w:w="1928"/>
            <w:shd w:val="clear" w:color="auto" w:fill="F2F4F7"/>
          </w:tcPr>
          <w:p>
            <w:pPr>
              <w:spacing w:after="0" w:line="240" w:lineRule="auto"/>
            </w:pPr>
            <w:r/>
            <w:r>
              <w:rPr>
                <w:sz w:val="19"/>
              </w:rPr>
              <w:t>Jalour</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Green Square Due Diligence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Square - Due Diligence Memorandum (EGP 75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