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-19.1</w:t>
            </w:r>
          </w:p>
        </w:tc>
        <w:tc>
          <w:tcPr>
            <w:tcW w:type="dxa" w:w="1984"/>
          </w:tcPr>
          <w:p>
            <w:pPr>
              <w:spacing w:after="0" w:line="240" w:lineRule="auto"/>
              <w:jc w:val="right"/>
            </w:pPr>
            <w:r/>
            <w:r>
              <w:rPr>
                <w:sz w:val="19"/>
              </w:rPr>
              <w:t>Removes 33%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-47.8</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24.7%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-401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3.5%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-410</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3 of 12 quarters; the minimum on net cash flow is -9.0x. Pooled cash covers at least 3.0x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-418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33% of the launch-priced inventory, which raises the peak shortage before the ticket from EGP 102.5 million to EGP 117.9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