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125 million (USD 2.6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18</w:t>
      </w:r>
    </w:p>
    <w:p>
      <w:pPr>
        <w:tabs>
          <w:tab w:pos="9241" w:val="right" w:leader="dot"/>
        </w:tabs>
        <w:spacing w:after="60"/>
      </w:pPr>
      <w:r>
        <w:rPr>
          <w:sz w:val="22"/>
        </w:rPr>
        <w:t>13. Returns analysis and sensitivities</w:t>
        <w:tab/>
        <w:t>20</w:t>
      </w:r>
    </w:p>
    <w:p>
      <w:pPr>
        <w:tabs>
          <w:tab w:pos="9241" w:val="right" w:leader="dot"/>
        </w:tabs>
        <w:spacing w:after="60"/>
      </w:pPr>
      <w:r>
        <w:rPr>
          <w:sz w:val="22"/>
        </w:rPr>
        <w:t>14. Security and ranking</w:t>
        <w:tab/>
        <w:t>24</w:t>
      </w:r>
    </w:p>
    <w:p>
      <w:pPr>
        <w:tabs>
          <w:tab w:pos="9241" w:val="right" w:leader="dot"/>
        </w:tabs>
        <w:spacing w:after="60"/>
      </w:pPr>
      <w:r>
        <w:rPr>
          <w:sz w:val="22"/>
        </w:rPr>
        <w:t>15. Governance and information rights</w:t>
        <w:tab/>
        <w:t>24</w:t>
      </w:r>
    </w:p>
    <w:p>
      <w:pPr>
        <w:tabs>
          <w:tab w:pos="9241" w:val="right" w:leader="dot"/>
        </w:tabs>
        <w:spacing w:after="60"/>
      </w:pPr>
      <w:r>
        <w:rPr>
          <w:sz w:val="22"/>
        </w:rPr>
        <w:t>16. Exit and liquidity</w:t>
        <w:tab/>
        <w:t>25</w:t>
      </w:r>
    </w:p>
    <w:p>
      <w:pPr>
        <w:tabs>
          <w:tab w:pos="9241" w:val="right" w:leader="dot"/>
        </w:tabs>
        <w:spacing w:after="60"/>
      </w:pPr>
      <w:r>
        <w:rPr>
          <w:sz w:val="22"/>
        </w:rPr>
        <w:t>17. Risk factors</w:t>
        <w:tab/>
        <w:t>26</w:t>
      </w:r>
    </w:p>
    <w:p>
      <w:pPr>
        <w:tabs>
          <w:tab w:pos="9241" w:val="right" w:leader="dot"/>
        </w:tabs>
        <w:spacing w:after="60"/>
      </w:pPr>
      <w:r>
        <w:rPr>
          <w:sz w:val="22"/>
        </w:rPr>
        <w:t>18. Tax and legal considerations</w:t>
        <w:tab/>
        <w:t>27</w:t>
      </w:r>
    </w:p>
    <w:p>
      <w:pPr>
        <w:tabs>
          <w:tab w:pos="9241" w:val="right" w:leader="dot"/>
        </w:tabs>
        <w:spacing w:after="60"/>
      </w:pPr>
      <w:r>
        <w:rPr>
          <w:sz w:val="22"/>
        </w:rPr>
        <w:t>Appendices</w:t>
        <w:tab/>
        <w:t>28</w:t>
      </w:r>
    </w:p>
    <w:p>
      <w:pPr>
        <w:pStyle w:val="Heading1"/>
        <w:pageBreakBefore/>
      </w:pPr>
      <w:r>
        <w:t>1. Executive summary</w:t>
      </w:r>
    </w:p>
    <w:p>
      <w:r>
        <w:rPr>
          <w:b w:val="0"/>
          <w:i w:val="0"/>
        </w:rPr>
        <w:t>Jalour is raising EGP 125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250 million, twice the ticket, priced at the launch list (retail EGP 225,000 per m2, offices EGP 135,000 per m2), allocated from the first two sales tranches. At the model's delivery list prices the units are worth EGP 358 million. Projected investor IRR: 26.4% base, 18.6% downside, 29.2% upside.</w:t>
      </w:r>
    </w:p>
    <w:p>
      <w:pPr>
        <w:pStyle w:val="ListBullet"/>
        <w:spacing w:after="60"/>
      </w:pPr>
      <w:r>
        <w:rPr>
          <w:b/>
          <w:i w:val="0"/>
        </w:rPr>
        <w:t>Option B, cash.</w:t>
      </w:r>
      <w:r>
        <w:rPr>
          <w:b w:val="0"/>
          <w:i w:val="0"/>
        </w:rPr>
        <w:t xml:space="preserve"> EGP 288 million (2.3x the ticket) in 12 equal quarterly instalments of EGP 23.96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125.0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288</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9 of 12 quarters. Pooled cash including the ticket covers every instalment at least 1.4x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125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48). Measured from launch it is +33% for retail and +48% for offices (43% weighted by the launch tranches), against the 40% to 60% range Jalour expects. Measured from today's office asking prices, the delivery list is +77%, or about 15% a year over 4.2 years if the model timeline starts in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7, construction starts in month 13 and runs 36 months to handover in month 48.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 (applied to uses)</w:t>
            </w:r>
          </w:p>
        </w:tc>
        <w:tc>
          <w:tcPr>
            <w:tcW w:type="dxa" w:w="2041"/>
          </w:tcPr>
          <w:p>
            <w:pPr>
              <w:spacing w:after="0" w:line="240" w:lineRule="auto"/>
              <w:jc w:val="right"/>
            </w:pPr>
            <w:r/>
            <w:r>
              <w:rPr>
                <w:sz w:val="19"/>
              </w:rPr>
              <w:t>113.0</w:t>
            </w:r>
          </w:p>
        </w:tc>
        <w:tc>
          <w:tcPr>
            <w:tcW w:type="dxa" w:w="2098"/>
          </w:tcPr>
          <w:p>
            <w:pPr>
              <w:spacing w:after="0" w:line="240" w:lineRule="auto"/>
              <w:jc w:val="right"/>
            </w:pPr>
            <w:r/>
            <w:r>
              <w:rPr>
                <w:sz w:val="19"/>
              </w:rPr>
              <w:t>100%</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0.0</w:t>
            </w:r>
          </w:p>
        </w:tc>
        <w:tc>
          <w:tcPr>
            <w:tcW w:type="dxa" w:w="2098"/>
            <w:shd w:val="clear" w:color="auto" w:fill="F2F4F7"/>
          </w:tcPr>
          <w:p>
            <w:pPr>
              <w:spacing w:after="0" w:line="240" w:lineRule="auto"/>
              <w:jc w:val="right"/>
            </w:pPr>
            <w:r/>
            <w:r>
              <w:rPr>
                <w:sz w:val="19"/>
              </w:rPr>
              <w:t>0%</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12.0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125.0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122% of the modelled peak cumulative shortage of EGP 102.5 million (month 6).</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Ticket above the modelled peak.</w:t>
            </w:r>
            <w:r>
              <w:rPr>
                <w:b w:val="0"/>
                <w:i w:val="0"/>
                <w:sz w:val="20"/>
              </w:rPr>
              <w:t xml:space="preserve"> The ticket exceeds the modelled peak shortage by EGP 22.5 million (12.0 million above total modelled uses). The excess is general project liquidity, not held in a restricted account. It is available for the timing risk on delivery payments (peak shortage EGP 269 million if they arrive at handover) and for pre-construction cost overruns. Returns are contractual on the full ticket, so Jalour's cost of capital is measured on the full amount.</w:t>
            </w:r>
          </w:p>
        </w:tc>
      </w:tr>
    </w:tbl>
    <w:p>
      <w:pPr>
        <w:spacing w:after="80"/>
      </w:pP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41.3%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80.6 million (358 m2) and offices EGP 169.4 million (1,254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358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88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288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23.96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23.96</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47.92</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119.79</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167.71</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215.62</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239.58</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263.54</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287.50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41% of those tranches' collections. Jalour receives the ticket at funding and forgoes those collections (the units' face value of EGP 250 million at list) as they would have been received, partly offset by commission saved. The landlord share is unchanged. On this basis Jalour's cost of capital is 20.7%; the NPV effect at 14% is EGP -23.9 million and the project NPV after the deal is EGP 191 million (before: 215). Peak cumulative shortage before the ticket rises to EGP 125.3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10</w:t>
            </w:r>
          </w:p>
        </w:tc>
        <w:tc>
          <w:tcPr>
            <w:tcW w:type="dxa" w:w="1474"/>
            <w:shd w:val="clear" w:color="auto" w:fill="F2F4F7"/>
          </w:tcPr>
          <w:p>
            <w:pPr>
              <w:spacing w:after="0" w:line="240" w:lineRule="auto"/>
              <w:jc w:val="right"/>
            </w:pPr>
            <w:r/>
            <w:r>
              <w:rPr>
                <w:sz w:val="19"/>
              </w:rPr>
              <w:t>-412</w:t>
            </w:r>
          </w:p>
        </w:tc>
        <w:tc>
          <w:tcPr>
            <w:tcW w:type="dxa" w:w="1474"/>
            <w:shd w:val="clear" w:color="auto" w:fill="F2F4F7"/>
          </w:tcPr>
          <w:p>
            <w:pPr>
              <w:spacing w:after="0" w:line="240" w:lineRule="auto"/>
              <w:jc w:val="right"/>
            </w:pPr>
            <w:r/>
            <w:r>
              <w:rPr>
                <w:sz w:val="19"/>
              </w:rPr>
              <w:t>22</w:t>
            </w:r>
          </w:p>
        </w:tc>
        <w:tc>
          <w:tcPr>
            <w:tcW w:type="dxa" w:w="1474"/>
            <w:shd w:val="clear" w:color="auto" w:fill="F2F4F7"/>
          </w:tcPr>
          <w:p>
            <w:pPr>
              <w:spacing w:after="0" w:line="240" w:lineRule="auto"/>
              <w:jc w:val="right"/>
            </w:pPr>
            <w:r/>
            <w:r>
              <w:rPr>
                <w:sz w:val="19"/>
              </w:rPr>
              <w:t>-288</w:t>
            </w:r>
          </w:p>
        </w:tc>
      </w:tr>
    </w:tbl>
    <w:p>
      <w:pPr>
        <w:spacing w:after="80"/>
      </w:pPr>
    </w:p>
    <w:p>
      <w:r>
        <w:rPr>
          <w:b w:val="0"/>
          <w:i w:val="0"/>
        </w:rPr>
        <w:t>In the base case the lowest pooled cash of EGP 9.8 million arises in month 60,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17.6x</w:t>
            </w:r>
          </w:p>
        </w:tc>
        <w:tc>
          <w:tcPr>
            <w:tcW w:type="dxa" w:w="2041"/>
          </w:tcPr>
          <w:p>
            <w:pPr>
              <w:spacing w:after="0" w:line="240" w:lineRule="auto"/>
              <w:jc w:val="right"/>
            </w:pPr>
            <w:r/>
            <w:r>
              <w:rPr>
                <w:sz w:val="18"/>
              </w:rPr>
              <w:t>19.4x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5.8x</w:t>
            </w:r>
          </w:p>
        </w:tc>
        <w:tc>
          <w:tcPr>
            <w:tcW w:type="dxa" w:w="2041"/>
            <w:shd w:val="clear" w:color="auto" w:fill="F2F4F7"/>
          </w:tcPr>
          <w:p>
            <w:pPr>
              <w:spacing w:after="0" w:line="240" w:lineRule="auto"/>
              <w:jc w:val="right"/>
            </w:pPr>
            <w:r/>
            <w:r>
              <w:rPr>
                <w:sz w:val="18"/>
              </w:rPr>
              <w:t>24.2x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5.4x</w:t>
            </w:r>
          </w:p>
        </w:tc>
        <w:tc>
          <w:tcPr>
            <w:tcW w:type="dxa" w:w="2041"/>
          </w:tcPr>
          <w:p>
            <w:pPr>
              <w:spacing w:after="0" w:line="240" w:lineRule="auto"/>
              <w:jc w:val="right"/>
            </w:pPr>
            <w:r/>
            <w:r>
              <w:rPr>
                <w:sz w:val="18"/>
              </w:rPr>
              <w:t>28.6x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-3.9x</w:t>
            </w:r>
          </w:p>
        </w:tc>
        <w:tc>
          <w:tcPr>
            <w:tcW w:type="dxa" w:w="2041"/>
            <w:shd w:val="clear" w:color="auto" w:fill="F2F4F7"/>
          </w:tcPr>
          <w:p>
            <w:pPr>
              <w:spacing w:after="0" w:line="240" w:lineRule="auto"/>
              <w:jc w:val="right"/>
            </w:pPr>
            <w:r/>
            <w:r>
              <w:rPr>
                <w:sz w:val="18"/>
              </w:rPr>
              <w:t>23.7x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-5.0x</w:t>
            </w:r>
          </w:p>
        </w:tc>
        <w:tc>
          <w:tcPr>
            <w:tcW w:type="dxa" w:w="2041"/>
          </w:tcPr>
          <w:p>
            <w:pPr>
              <w:spacing w:after="0" w:line="240" w:lineRule="auto"/>
              <w:jc w:val="right"/>
            </w:pPr>
            <w:r/>
            <w:r>
              <w:rPr>
                <w:sz w:val="18"/>
              </w:rPr>
              <w:t>17.7x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-7.2x</w:t>
            </w:r>
          </w:p>
        </w:tc>
        <w:tc>
          <w:tcPr>
            <w:tcW w:type="dxa" w:w="2041"/>
            <w:shd w:val="clear" w:color="auto" w:fill="F2F4F7"/>
          </w:tcPr>
          <w:p>
            <w:pPr>
              <w:spacing w:after="0" w:line="240" w:lineRule="auto"/>
              <w:jc w:val="right"/>
            </w:pPr>
            <w:r/>
            <w:r>
              <w:rPr>
                <w:sz w:val="18"/>
              </w:rPr>
              <w:t>9.5x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-4.9x</w:t>
            </w:r>
          </w:p>
        </w:tc>
        <w:tc>
          <w:tcPr>
            <w:tcW w:type="dxa" w:w="2041"/>
          </w:tcPr>
          <w:p>
            <w:pPr>
              <w:spacing w:after="0" w:line="240" w:lineRule="auto"/>
              <w:jc w:val="right"/>
            </w:pPr>
            <w:r/>
            <w:r>
              <w:rPr>
                <w:sz w:val="18"/>
              </w:rPr>
              <w:t>3.6x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0.7x</w:t>
            </w:r>
          </w:p>
        </w:tc>
        <w:tc>
          <w:tcPr>
            <w:tcW w:type="dxa" w:w="2041"/>
            <w:shd w:val="clear" w:color="auto" w:fill="F2F4F7"/>
          </w:tcPr>
          <w:p>
            <w:pPr>
              <w:spacing w:after="0" w:line="240" w:lineRule="auto"/>
              <w:jc w:val="right"/>
            </w:pPr>
            <w:r/>
            <w:r>
              <w:rPr>
                <w:sz w:val="18"/>
              </w:rPr>
              <w:t>3.2x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0.6x</w:t>
            </w:r>
          </w:p>
        </w:tc>
        <w:tc>
          <w:tcPr>
            <w:tcW w:type="dxa" w:w="2041"/>
          </w:tcPr>
          <w:p>
            <w:pPr>
              <w:spacing w:after="0" w:line="240" w:lineRule="auto"/>
              <w:jc w:val="right"/>
            </w:pPr>
            <w:r/>
            <w:r>
              <w:rPr>
                <w:sz w:val="18"/>
              </w:rPr>
              <w:t>2.9x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0.4x</w:t>
            </w:r>
          </w:p>
        </w:tc>
        <w:tc>
          <w:tcPr>
            <w:tcW w:type="dxa" w:w="2041"/>
            <w:shd w:val="clear" w:color="auto" w:fill="F2F4F7"/>
          </w:tcPr>
          <w:p>
            <w:pPr>
              <w:spacing w:after="0" w:line="240" w:lineRule="auto"/>
              <w:jc w:val="right"/>
            </w:pPr>
            <w:r/>
            <w:r>
              <w:rPr>
                <w:sz w:val="18"/>
              </w:rPr>
              <w:t>2.2x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0.2x</w:t>
            </w:r>
          </w:p>
        </w:tc>
        <w:tc>
          <w:tcPr>
            <w:tcW w:type="dxa" w:w="2041"/>
          </w:tcPr>
          <w:p>
            <w:pPr>
              <w:spacing w:after="0" w:line="240" w:lineRule="auto"/>
              <w:jc w:val="right"/>
            </w:pPr>
            <w:r/>
            <w:r>
              <w:rPr>
                <w:sz w:val="18"/>
              </w:rPr>
              <w:t>1.4x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1.1x</w:t>
            </w:r>
          </w:p>
        </w:tc>
        <w:tc>
          <w:tcPr>
            <w:tcW w:type="dxa" w:w="2041"/>
            <w:shd w:val="clear" w:color="auto" w:fill="F2F4F7"/>
          </w:tcPr>
          <w:p>
            <w:pPr>
              <w:spacing w:after="0" w:line="240" w:lineRule="auto"/>
              <w:jc w:val="right"/>
            </w:pPr>
            <w:r/>
            <w:r>
              <w:rPr>
                <w:sz w:val="18"/>
              </w:rPr>
              <w:t>1.5x</w:t>
            </w:r>
          </w:p>
        </w:tc>
      </w:tr>
    </w:tbl>
    <w:p>
      <w:pPr>
        <w:spacing w:after="80"/>
      </w:pPr>
    </w:p>
    <w:p>
      <w:r>
        <w:rPr>
          <w:b w:val="0"/>
          <w:i w:val="0"/>
        </w:rPr>
        <w:t>Coverage on net cash flow alone is below the 1.5x threshold in 9 of 12 quarters, because instalments fall in the construction peak and in the quarters after handover when collections are thin. "Cash available" adds pooled project cash, including the ticket and earlier collections, and is at least 1.4x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-412</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30.9%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-391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4.3%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-402</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9.8</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