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280"/>
      </w:pPr>
      <w:r>
        <w:rPr>
          <w:b w:val="0"/>
          <w:i w:val="0"/>
          <w:color w:val="1B1F2A"/>
          <w:sz w:val="30"/>
        </w:rPr>
        <w:t>Commercial and office development, El Mostakbal City, Cairo</w:t>
      </w:r>
    </w:p>
    <w:p>
      <w:pPr>
        <w:spacing w:after="40"/>
      </w:pPr>
      <w:r>
        <w:rPr>
          <w:b/>
          <w:i w:val="0"/>
          <w:color w:val="17324D"/>
          <w:sz w:val="28"/>
        </w:rPr>
        <w:t>INVESTMENT MEMORANDUM</w:t>
      </w:r>
    </w:p>
    <w:p>
      <w:pPr>
        <w:spacing w:after="40"/>
      </w:pPr>
      <w:r>
        <w:rPr>
          <w:b w:val="0"/>
          <w:i w:val="0"/>
          <w:sz w:val="24"/>
        </w:rPr>
        <w:t>Private placement of EGP 100 million (USD 2.1 million at EGP 48 per USD)</w:t>
      </w:r>
    </w:p>
    <w:p>
      <w:pPr>
        <w:spacing w:after="720"/>
      </w:pPr>
      <w:r>
        <w:rPr>
          <w:b w:val="0"/>
          <w:i w:val="0"/>
          <w:sz w:val="24"/>
        </w:rPr>
        <w:t>Option A: units. Option B: cash.</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p>
      <w:r>
        <w:rPr>
          <w:b w:val="0"/>
          <w:i w:val="0"/>
        </w:rPr>
        <w:t>This memorandum has been prepared by Jalour Developments (Jalour) for the sole use of the investor to whom it is addressed. It is confidential. It must not be copied, distributed or disclosed to any other person without Jalour's written consent.</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in this memorandum is labelled with its case (base, downside or upside).</w:t>
      </w:r>
    </w:p>
    <w:p>
      <w:r>
        <w:rPr>
          <w:b w:val="0"/>
          <w:i w:val="0"/>
        </w:rPr>
        <w:t>Figures come from the Jalour financial model for the project and are reproduced in the Financial Annex, whose 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a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The investment has no exposure to other Jalour projects: the project is held in its own company, with no cross-collateral and no cross-default to any other project.</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5</w:t>
      </w:r>
    </w:p>
    <w:p>
      <w:pPr>
        <w:tabs>
          <w:tab w:pos="9241" w:val="right" w:leader="dot"/>
        </w:tabs>
        <w:spacing w:after="60"/>
      </w:pPr>
      <w:r>
        <w:rPr>
          <w:sz w:val="22"/>
        </w:rPr>
        <w:t>3. Investment thesis</w:t>
        <w:tab/>
        <w:t>6</w:t>
      </w:r>
    </w:p>
    <w:p>
      <w:pPr>
        <w:tabs>
          <w:tab w:pos="9241" w:val="right" w:leader="dot"/>
        </w:tabs>
        <w:spacing w:after="60"/>
      </w:pPr>
      <w:r>
        <w:rPr>
          <w:sz w:val="22"/>
        </w:rPr>
        <w:t>4. Market analysis</w:t>
        <w:tab/>
        <w:t>7</w:t>
      </w:r>
    </w:p>
    <w:p>
      <w:pPr>
        <w:tabs>
          <w:tab w:pos="9241" w:val="right" w:leader="dot"/>
        </w:tabs>
        <w:spacing w:after="60"/>
      </w:pPr>
      <w:r>
        <w:rPr>
          <w:sz w:val="22"/>
        </w:rPr>
        <w:t>5. Project description</w:t>
        <w:tab/>
        <w:t>10</w:t>
      </w:r>
    </w:p>
    <w:p>
      <w:pPr>
        <w:tabs>
          <w:tab w:pos="9241" w:val="right" w:leader="dot"/>
        </w:tabs>
        <w:spacing w:after="60"/>
      </w:pPr>
      <w:r>
        <w:rPr>
          <w:sz w:val="22"/>
        </w:rPr>
        <w:t>6. The Al Ahly Sabbour agreement and consents</w:t>
        <w:tab/>
        <w:t>11</w:t>
      </w:r>
    </w:p>
    <w:p>
      <w:pPr>
        <w:tabs>
          <w:tab w:pos="9241" w:val="right" w:leader="dot"/>
        </w:tabs>
        <w:spacing w:after="60"/>
      </w:pPr>
      <w:r>
        <w:rPr>
          <w:sz w:val="22"/>
        </w:rPr>
        <w:t>7. Sponsor and management</w:t>
        <w:tab/>
        <w:t>11</w:t>
      </w:r>
    </w:p>
    <w:p>
      <w:pPr>
        <w:tabs>
          <w:tab w:pos="9241" w:val="right" w:leader="dot"/>
        </w:tabs>
        <w:spacing w:after="60"/>
      </w:pPr>
      <w:r>
        <w:rPr>
          <w:sz w:val="22"/>
        </w:rPr>
        <w:t>8. Business plan and assumptions</w:t>
        <w:tab/>
        <w:t>13</w:t>
      </w:r>
    </w:p>
    <w:p>
      <w:pPr>
        <w:tabs>
          <w:tab w:pos="9241" w:val="right" w:leader="dot"/>
        </w:tabs>
        <w:spacing w:after="60"/>
      </w:pPr>
      <w:r>
        <w:rPr>
          <w:sz w:val="22"/>
        </w:rPr>
        <w:t>9. Sales and collections model</w:t>
        <w:tab/>
        <w:t>14</w:t>
      </w:r>
    </w:p>
    <w:p>
      <w:pPr>
        <w:tabs>
          <w:tab w:pos="9241" w:val="right" w:leader="dot"/>
        </w:tabs>
        <w:spacing w:after="60"/>
      </w:pPr>
      <w:r>
        <w:rPr>
          <w:sz w:val="22"/>
        </w:rPr>
        <w:t>10. Cost model</w:t>
        <w:tab/>
        <w:t>15</w:t>
      </w:r>
    </w:p>
    <w:p>
      <w:pPr>
        <w:tabs>
          <w:tab w:pos="9241" w:val="right" w:leader="dot"/>
        </w:tabs>
        <w:spacing w:after="60"/>
      </w:pPr>
      <w:r>
        <w:rPr>
          <w:sz w:val="22"/>
        </w:rPr>
        <w:t>11. Funding plan and use of funds</w:t>
        <w:tab/>
        <w:t>16</w:t>
      </w:r>
    </w:p>
    <w:p>
      <w:pPr>
        <w:tabs>
          <w:tab w:pos="9241" w:val="right" w:leader="dot"/>
        </w:tabs>
        <w:spacing w:after="60"/>
      </w:pPr>
      <w:r>
        <w:rPr>
          <w:sz w:val="22"/>
        </w:rPr>
        <w:t>12. Investment terms</w:t>
        <w:tab/>
        <w:t>17</w:t>
      </w:r>
    </w:p>
    <w:p>
      <w:pPr>
        <w:tabs>
          <w:tab w:pos="9241" w:val="right" w:leader="dot"/>
        </w:tabs>
        <w:spacing w:after="60"/>
      </w:pPr>
      <w:r>
        <w:rPr>
          <w:sz w:val="22"/>
        </w:rPr>
        <w:t>13. Returns analysis and sensitivities</w:t>
        <w:tab/>
        <w:t>19</w:t>
      </w:r>
    </w:p>
    <w:p>
      <w:pPr>
        <w:tabs>
          <w:tab w:pos="9241" w:val="right" w:leader="dot"/>
        </w:tabs>
        <w:spacing w:after="60"/>
      </w:pPr>
      <w:r>
        <w:rPr>
          <w:sz w:val="22"/>
        </w:rPr>
        <w:t>14. Security and ranking</w:t>
        <w:tab/>
        <w:t>23</w:t>
      </w:r>
    </w:p>
    <w:p>
      <w:pPr>
        <w:tabs>
          <w:tab w:pos="9241" w:val="right" w:leader="dot"/>
        </w:tabs>
        <w:spacing w:after="60"/>
      </w:pPr>
      <w:r>
        <w:rPr>
          <w:sz w:val="22"/>
        </w:rPr>
        <w:t>15. Governance and information rights</w:t>
        <w:tab/>
        <w:t>23</w:t>
      </w:r>
    </w:p>
    <w:p>
      <w:pPr>
        <w:tabs>
          <w:tab w:pos="9241" w:val="right" w:leader="dot"/>
        </w:tabs>
        <w:spacing w:after="60"/>
      </w:pPr>
      <w:r>
        <w:rPr>
          <w:sz w:val="22"/>
        </w:rPr>
        <w:t>16. Exit and liquidity</w:t>
        <w:tab/>
        <w:t>24</w:t>
      </w:r>
    </w:p>
    <w:p>
      <w:pPr>
        <w:tabs>
          <w:tab w:pos="9241" w:val="right" w:leader="dot"/>
        </w:tabs>
        <w:spacing w:after="60"/>
      </w:pPr>
      <w:r>
        <w:rPr>
          <w:sz w:val="22"/>
        </w:rPr>
        <w:t>17. Risk factors</w:t>
        <w:tab/>
        <w:t>25</w:t>
      </w:r>
    </w:p>
    <w:p>
      <w:pPr>
        <w:tabs>
          <w:tab w:pos="9241" w:val="right" w:leader="dot"/>
        </w:tabs>
        <w:spacing w:after="60"/>
      </w:pPr>
      <w:r>
        <w:rPr>
          <w:sz w:val="22"/>
        </w:rPr>
        <w:t>18. Tax and legal considerations</w:t>
        <w:tab/>
        <w:t>26</w:t>
      </w:r>
    </w:p>
    <w:p>
      <w:pPr>
        <w:tabs>
          <w:tab w:pos="9241" w:val="right" w:leader="dot"/>
        </w:tabs>
        <w:spacing w:after="60"/>
      </w:pPr>
      <w:r>
        <w:rPr>
          <w:sz w:val="22"/>
        </w:rPr>
        <w:t>Appendices</w:t>
        <w:tab/>
        <w:t>27</w:t>
      </w:r>
    </w:p>
    <w:p>
      <w:pPr>
        <w:pStyle w:val="Heading1"/>
        <w:pageBreakBefore/>
      </w:pPr>
      <w:r>
        <w:t>1. Executive summary</w:t>
      </w:r>
    </w:p>
    <w:p>
      <w:r>
        <w:rPr>
          <w:b w:val="0"/>
          <w:i w:val="0"/>
        </w:rPr>
        <w:t>Jalour is raising EGP 100 million from a single investor to part-fund L'avenir, a 13,419 m2 commercial and office development of G+2 buildings on a 14,910 m2 plot in El Mostakbal City, east of New Cairo. The land belongs to Al Ahly Sabbour. Jalour is developer and operator: it designs, obtains permits, builds to core-and-shell standard, markets, sells, collects and operates. Collections are shared 35% to the landowner (subject to a minimum guarantee of EGP 850 million over six years) and 65% to Jalour.</w:t>
      </w:r>
    </w:p>
    <w:p>
      <w:r>
        <w:rPr>
          <w:b w:val="0"/>
          <w:i w:val="0"/>
        </w:rPr>
        <w:t>The investor chooses one of two instruments at signing:</w:t>
      </w:r>
    </w:p>
    <w:p>
      <w:pPr>
        <w:pStyle w:val="ListBullet"/>
        <w:spacing w:after="60"/>
      </w:pPr>
      <w:r>
        <w:rPr>
          <w:b/>
          <w:i w:val="0"/>
        </w:rPr>
        <w:t>Option A, units.</w:t>
      </w:r>
      <w:r>
        <w:rPr>
          <w:b w:val="0"/>
          <w:i w:val="0"/>
        </w:rPr>
        <w:t xml:space="preserve"> Units with a face value of EGP 200 million, twice the ticket, priced at the launch list (retail EGP 250,000 per m2, offices EGP 160,000 per m2), allocated from the first two sales tranches. At the model's delivery list prices the units are worth EGP 296 million. Projected investor IRR: 29.2% base, 20.4% downside, 32.3% upside.</w:t>
      </w:r>
    </w:p>
    <w:p>
      <w:pPr>
        <w:pStyle w:val="ListBullet"/>
        <w:spacing w:after="60"/>
      </w:pPr>
      <w:r>
        <w:rPr>
          <w:b/>
          <w:i w:val="0"/>
        </w:rPr>
        <w:t>Option B, cash.</w:t>
      </w:r>
      <w:r>
        <w:rPr>
          <w:b w:val="0"/>
          <w:i w:val="0"/>
        </w:rPr>
        <w:t xml:space="preserve"> EGP 230 million (2.3x the ticket) in 12 equal quarterly instalments of EGP 19.17 million after a 24-month grace period, from month 39 to month 72.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236"/>
            <w:shd w:val="clear" w:color="auto" w:fill="17324D"/>
          </w:tcPr>
          <w:p>
            <w:pPr>
              <w:spacing w:after="0" w:line="240" w:lineRule="auto"/>
            </w:pPr>
            <w:r/>
            <w:r>
              <w:rPr>
                <w:b/>
                <w:color w:val="FFFFFF"/>
                <w:sz w:val="19"/>
              </w:rPr>
              <w:t>Key figures (EGP million unless stated)</w:t>
            </w:r>
          </w:p>
        </w:tc>
        <w:tc>
          <w:tcPr>
            <w:tcW w:type="dxa" w:w="3005"/>
            <w:shd w:val="clear" w:color="auto" w:fill="17324D"/>
          </w:tcPr>
          <w:p>
            <w:pPr>
              <w:spacing w:after="0" w:line="240" w:lineRule="auto"/>
              <w:jc w:val="right"/>
            </w:pPr>
            <w:r/>
            <w:r>
              <w:rPr>
                <w:b/>
                <w:color w:val="FFFFFF"/>
                <w:sz w:val="19"/>
              </w:rPr>
              <w:t>Value</w:t>
            </w:r>
          </w:p>
        </w:tc>
      </w:tr>
      <w:tr>
        <w:trPr>
          <w:cantSplit/>
        </w:trPr>
        <w:tc>
          <w:tcPr>
            <w:tcW w:type="dxa" w:w="6236"/>
          </w:tcPr>
          <w:p>
            <w:pPr>
              <w:spacing w:after="0" w:line="240" w:lineRule="auto"/>
            </w:pPr>
            <w:r/>
            <w:r>
              <w:rPr>
                <w:sz w:val="19"/>
              </w:rPr>
              <w:t>Investor ticket</w:t>
            </w:r>
          </w:p>
        </w:tc>
        <w:tc>
          <w:tcPr>
            <w:tcW w:type="dxa" w:w="3005"/>
          </w:tcPr>
          <w:p>
            <w:pPr>
              <w:spacing w:after="0" w:line="240" w:lineRule="auto"/>
              <w:jc w:val="right"/>
            </w:pPr>
            <w:r/>
            <w:r>
              <w:rPr>
                <w:sz w:val="19"/>
              </w:rPr>
              <w:t>100.0</w:t>
            </w:r>
          </w:p>
        </w:tc>
      </w:tr>
      <w:tr>
        <w:trPr>
          <w:cantSplit/>
        </w:trPr>
        <w:tc>
          <w:tcPr>
            <w:tcW w:type="dxa" w:w="6236"/>
            <w:shd w:val="clear" w:color="auto" w:fill="F2F4F7"/>
          </w:tcPr>
          <w:p>
            <w:pPr>
              <w:spacing w:after="0" w:line="240" w:lineRule="auto"/>
            </w:pPr>
            <w:r/>
            <w:r>
              <w:rPr>
                <w:sz w:val="19"/>
              </w:rPr>
              <w:t>Modelled peak cumulative cash shortage (month 30)</w:t>
            </w:r>
          </w:p>
        </w:tc>
        <w:tc>
          <w:tcPr>
            <w:tcW w:type="dxa" w:w="3005"/>
            <w:shd w:val="clear" w:color="auto" w:fill="F2F4F7"/>
          </w:tcPr>
          <w:p>
            <w:pPr>
              <w:spacing w:after="0" w:line="240" w:lineRule="auto"/>
              <w:jc w:val="right"/>
            </w:pPr>
            <w:r/>
            <w:r>
              <w:rPr>
                <w:sz w:val="19"/>
              </w:rPr>
              <w:t>102.0</w:t>
            </w:r>
          </w:p>
        </w:tc>
      </w:tr>
      <w:tr>
        <w:trPr>
          <w:cantSplit/>
        </w:trPr>
        <w:tc>
          <w:tcPr>
            <w:tcW w:type="dxa" w:w="6236"/>
          </w:tcPr>
          <w:p>
            <w:pPr>
              <w:spacing w:after="0" w:line="240" w:lineRule="auto"/>
            </w:pPr>
            <w:r/>
            <w:r>
              <w:rPr>
                <w:sz w:val="19"/>
              </w:rPr>
              <w:t>Total uses at the funding peak</w:t>
            </w:r>
          </w:p>
        </w:tc>
        <w:tc>
          <w:tcPr>
            <w:tcW w:type="dxa" w:w="3005"/>
          </w:tcPr>
          <w:p>
            <w:pPr>
              <w:spacing w:after="0" w:line="240" w:lineRule="auto"/>
              <w:jc w:val="right"/>
            </w:pPr>
            <w:r/>
            <w:r>
              <w:rPr>
                <w:sz w:val="19"/>
              </w:rPr>
              <w:t>112.5</w:t>
            </w:r>
          </w:p>
        </w:tc>
      </w:tr>
      <w:tr>
        <w:trPr>
          <w:cantSplit/>
        </w:trPr>
        <w:tc>
          <w:tcPr>
            <w:tcW w:type="dxa" w:w="6236"/>
            <w:shd w:val="clear" w:color="auto" w:fill="F2F4F7"/>
          </w:tcPr>
          <w:p>
            <w:pPr>
              <w:spacing w:after="0" w:line="240" w:lineRule="auto"/>
            </w:pPr>
            <w:r/>
            <w:r>
              <w:rPr>
                <w:sz w:val="19"/>
              </w:rPr>
              <w:t>Total sales at 80% of units (sales plan)</w:t>
            </w:r>
          </w:p>
        </w:tc>
        <w:tc>
          <w:tcPr>
            <w:tcW w:type="dxa" w:w="3005"/>
            <w:shd w:val="clear" w:color="auto" w:fill="F2F4F7"/>
          </w:tcPr>
          <w:p>
            <w:pPr>
              <w:spacing w:after="0" w:line="240" w:lineRule="auto"/>
              <w:jc w:val="right"/>
            </w:pPr>
            <w:r/>
            <w:r>
              <w:rPr>
                <w:sz w:val="19"/>
              </w:rPr>
              <w:t>2,674</w:t>
            </w:r>
          </w:p>
        </w:tc>
      </w:tr>
      <w:tr>
        <w:trPr>
          <w:cantSplit/>
        </w:trPr>
        <w:tc>
          <w:tcPr>
            <w:tcW w:type="dxa" w:w="6236"/>
          </w:tcPr>
          <w:p>
            <w:pPr>
              <w:spacing w:after="0" w:line="240" w:lineRule="auto"/>
            </w:pPr>
            <w:r/>
            <w:r>
              <w:rPr>
                <w:sz w:val="19"/>
              </w:rPr>
              <w:t>Jalour net cash flow, nominal</w:t>
            </w:r>
          </w:p>
        </w:tc>
        <w:tc>
          <w:tcPr>
            <w:tcW w:type="dxa" w:w="3005"/>
          </w:tcPr>
          <w:p>
            <w:pPr>
              <w:spacing w:after="0" w:line="240" w:lineRule="auto"/>
              <w:jc w:val="right"/>
            </w:pPr>
            <w:r/>
            <w:r>
              <w:rPr>
                <w:sz w:val="19"/>
              </w:rPr>
              <w:t>595.3</w:t>
            </w:r>
          </w:p>
        </w:tc>
      </w:tr>
      <w:tr>
        <w:trPr>
          <w:cantSplit/>
        </w:trPr>
        <w:tc>
          <w:tcPr>
            <w:tcW w:type="dxa" w:w="6236"/>
            <w:shd w:val="clear" w:color="auto" w:fill="F2F4F7"/>
          </w:tcPr>
          <w:p>
            <w:pPr>
              <w:spacing w:after="0" w:line="240" w:lineRule="auto"/>
            </w:pPr>
            <w:r/>
            <w:r>
              <w:rPr>
                <w:sz w:val="19"/>
              </w:rPr>
              <w:t>NPV of Jalour net cash flow at 14%</w:t>
            </w:r>
          </w:p>
        </w:tc>
        <w:tc>
          <w:tcPr>
            <w:tcW w:type="dxa" w:w="3005"/>
            <w:shd w:val="clear" w:color="auto" w:fill="F2F4F7"/>
          </w:tcPr>
          <w:p>
            <w:pPr>
              <w:spacing w:after="0" w:line="240" w:lineRule="auto"/>
              <w:jc w:val="right"/>
            </w:pPr>
            <w:r/>
            <w:r>
              <w:rPr>
                <w:sz w:val="19"/>
              </w:rPr>
              <w:t>307.5</w:t>
            </w:r>
          </w:p>
        </w:tc>
      </w:tr>
      <w:tr>
        <w:trPr>
          <w:cantSplit/>
        </w:trPr>
        <w:tc>
          <w:tcPr>
            <w:tcW w:type="dxa" w:w="6236"/>
          </w:tcPr>
          <w:p>
            <w:pPr>
              <w:spacing w:after="0" w:line="240" w:lineRule="auto"/>
            </w:pPr>
            <w:r/>
            <w:r>
              <w:rPr>
                <w:sz w:val="19"/>
              </w:rPr>
              <w:t>Handover (project month)</w:t>
            </w:r>
          </w:p>
        </w:tc>
        <w:tc>
          <w:tcPr>
            <w:tcW w:type="dxa" w:w="3005"/>
          </w:tcPr>
          <w:p>
            <w:pPr>
              <w:spacing w:after="0" w:line="240" w:lineRule="auto"/>
              <w:jc w:val="right"/>
            </w:pPr>
            <w:r/>
            <w:r>
              <w:rPr>
                <w:sz w:val="19"/>
              </w:rPr>
              <w:t>54</w:t>
            </w:r>
          </w:p>
        </w:tc>
      </w:tr>
      <w:tr>
        <w:trPr>
          <w:cantSplit/>
        </w:trPr>
        <w:tc>
          <w:tcPr>
            <w:tcW w:type="dxa" w:w="6236"/>
            <w:shd w:val="clear" w:color="auto" w:fill="F2F4F7"/>
          </w:tcPr>
          <w:p>
            <w:pPr>
              <w:spacing w:after="0" w:line="240" w:lineRule="auto"/>
            </w:pPr>
            <w:r/>
            <w:r>
              <w:rPr>
                <w:sz w:val="19"/>
              </w:rPr>
              <w:t>Option A units, face value</w:t>
            </w:r>
          </w:p>
        </w:tc>
        <w:tc>
          <w:tcPr>
            <w:tcW w:type="dxa" w:w="3005"/>
            <w:shd w:val="clear" w:color="auto" w:fill="F2F4F7"/>
          </w:tcPr>
          <w:p>
            <w:pPr>
              <w:spacing w:after="0" w:line="240" w:lineRule="auto"/>
              <w:jc w:val="right"/>
            </w:pPr>
            <w:r/>
            <w:r>
              <w:rPr>
                <w:sz w:val="19"/>
              </w:rPr>
              <w:t>200</w:t>
            </w:r>
          </w:p>
        </w:tc>
      </w:tr>
      <w:tr>
        <w:trPr>
          <w:cantSplit/>
        </w:trPr>
        <w:tc>
          <w:tcPr>
            <w:tcW w:type="dxa" w:w="6236"/>
          </w:tcPr>
          <w:p>
            <w:pPr>
              <w:spacing w:after="0" w:line="240" w:lineRule="auto"/>
            </w:pPr>
            <w:r/>
            <w:r>
              <w:rPr>
                <w:sz w:val="19"/>
              </w:rPr>
              <w:t>Option B total return</w:t>
            </w:r>
          </w:p>
        </w:tc>
        <w:tc>
          <w:tcPr>
            <w:tcW w:type="dxa" w:w="3005"/>
          </w:tcPr>
          <w:p>
            <w:pPr>
              <w:spacing w:after="0" w:line="240" w:lineRule="auto"/>
              <w:jc w:val="right"/>
            </w:pPr>
            <w:r/>
            <w:r>
              <w:rPr>
                <w:sz w:val="19"/>
              </w:rPr>
              <w:t>230</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 relies on list prices rising from EGP 250,000 to 360,000 per m2 for retail (+44%) and from 160,000 to 240,000 for offices (+50%) across the sales window. Recent evidence of price growth is lower than this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the delivery payment (20% to 25% of price) on a contractual milestone ahead of handover. If it were collected at handover the peak funding need would be EGP 244 million instead of EGP 102.0 million. Jalour has said it will cover project funding gaps above project cash from its cash reserves and from cash generated by other projects it is constructing (section 11).</w:t>
      </w:r>
    </w:p>
    <w:p>
      <w:pPr>
        <w:pStyle w:val="ListBullet"/>
        <w:spacing w:after="60"/>
      </w:pPr>
      <w:r>
        <w:rPr>
          <w:b/>
          <w:i w:val="0"/>
        </w:rPr>
        <w:t>Payout capacity (Option B).</w:t>
      </w:r>
      <w:r>
        <w:rPr>
          <w:b w:val="0"/>
          <w:i w:val="0"/>
        </w:rPr>
        <w:t xml:space="preserve"> Net project cash flow is negative in the construction peak (months 48 to 54, inside the payout window), so quarter-by-quarter coverage of instalments is below 1.5x in 4 of 12 quarters. Pooled cash including the ticket covers every instalment at least 3.5x in the base case (section 13).</w:t>
      </w:r>
    </w:p>
    <w:p>
      <w:r>
        <w:rPr>
          <w:b w:val="0"/>
          <w:i/>
        </w:rPr>
        <w:t>The balance of project funding is provided by Jalour sponsor equity, project collections and other capital sources.</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w:t>
            </w:r>
          </w:p>
        </w:tc>
      </w:tr>
      <w:tr>
        <w:trPr>
          <w:cantSplit/>
        </w:trPr>
        <w:tc>
          <w:tcPr>
            <w:tcW w:type="dxa" w:w="2381"/>
          </w:tcPr>
          <w:p>
            <w:pPr>
              <w:spacing w:after="0" w:line="240" w:lineRule="auto"/>
            </w:pPr>
            <w:r/>
            <w:r>
              <w:rPr>
                <w:b/>
                <w:sz w:val="19"/>
              </w:rPr>
              <w:t>Issuer</w:t>
            </w:r>
          </w:p>
        </w:tc>
        <w:tc>
          <w:tcPr>
            <w:tcW w:type="dxa" w:w="6860"/>
          </w:tcPr>
          <w:p>
            <w:pPr>
              <w:spacing w:after="0" w:line="240" w:lineRule="auto"/>
            </w:pPr>
            <w:r/>
            <w:r>
              <w:rPr>
                <w:sz w:val="19"/>
              </w:rPr>
              <w:t>The project company for this development [name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100 million</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not both</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w:t>
            </w:r>
          </w:p>
        </w:tc>
      </w:tr>
    </w:tbl>
    <w:p>
      <w:pPr>
        <w:spacing w:after="80"/>
      </w:pPr>
    </w:p>
    <w:p>
      <w:pPr>
        <w:pStyle w:val="Heading2"/>
      </w:pPr>
      <w:r>
        <w:t>2.2 Conditions and timetable</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w:t>
      </w:r>
    </w:p>
    <w:p>
      <w:pPr>
        <w:pStyle w:val="ListBullet"/>
        <w:spacing w:after="60"/>
      </w:pPr>
      <w:r>
        <w:rPr>
          <w:b w:val="0"/>
          <w:i w:val="0"/>
        </w:rPr>
        <w:t>Definitive agreements, including security documents reviewed by counsel for both sides.</w:t>
      </w:r>
    </w:p>
    <w:p>
      <w:pPr>
        <w:pStyle w:val="ListBullet"/>
        <w:spacing w:after="60"/>
      </w:pPr>
      <w:r>
        <w:rPr>
          <w:b w:val="0"/>
          <w:i w:val="0"/>
        </w:rPr>
        <w:t>Funding in cash into the project company, expected for project month 12 (the month the landlord down payment falls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The project company will not grant security over the investor's earmarked units or rank any new instrument ahead of the investor's entitlement without the consent given in the definitive agreements.</w:t>
      </w:r>
    </w:p>
    <w:p>
      <w:pPr>
        <w:pStyle w:val="Heading2"/>
      </w:pPr>
      <w:r>
        <w:t>2.4 Separation from other projects</w:t>
      </w:r>
    </w:p>
    <w:p>
      <w:r>
        <w:rPr>
          <w:b w:val="0"/>
          <w:i w:val="0"/>
        </w:rPr>
        <w:t>The project is held in its own company. There is no cross-collateral and no cross-default with any other Jalour project, and the investor has no exposure to other Jalour projects. The funds are project funding, not a restricted or segregated account; payment protections are contractual and described in section 14.</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A defined, permitted-scale asset: two G+2 buildings of 13,419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landlord's guarantee (EGP 850 million over six years) is payable even if sales are slow.</w:t>
            </w:r>
          </w:p>
        </w:tc>
      </w:tr>
      <w:tr>
        <w:trPr>
          <w:cantSplit/>
        </w:trPr>
        <w:tc>
          <w:tcPr>
            <w:tcW w:type="dxa" w:w="4706"/>
          </w:tcPr>
          <w:p>
            <w:pPr>
              <w:spacing w:after="0" w:line="240" w:lineRule="auto"/>
            </w:pPr>
            <w:r/>
            <w:r>
              <w:rPr>
                <w:sz w:val="19"/>
              </w:rPr>
              <w:t>Sales begin at a launch list of EGP 250,000 (retail) and 160,000 (offices) per m2, with list price steps built into the plan.</w:t>
            </w:r>
          </w:p>
        </w:tc>
        <w:tc>
          <w:tcPr>
            <w:tcW w:type="dxa" w:w="4535"/>
          </w:tcPr>
          <w:p>
            <w:pPr>
              <w:spacing w:after="0" w:line="240" w:lineRule="auto"/>
            </w:pPr>
            <w:r/>
            <w:r>
              <w:rPr>
                <w:sz w:val="19"/>
              </w:rPr>
              <w:t>Asking prices for Mostakbal City offices today are about EGP 106,000 to 120,000 per m2; the plan assumes higher.</w:t>
            </w:r>
          </w:p>
        </w:tc>
      </w:tr>
      <w:tr>
        <w:trPr>
          <w:cantSplit/>
        </w:trPr>
        <w:tc>
          <w:tcPr>
            <w:tcW w:type="dxa" w:w="4706"/>
            <w:shd w:val="clear" w:color="auto" w:fill="F2F4F7"/>
          </w:tcPr>
          <w:p>
            <w:pPr>
              <w:spacing w:after="0" w:line="240" w:lineRule="auto"/>
            </w:pPr>
            <w:r/>
            <w:r>
              <w:rPr>
                <w:sz w:val="19"/>
              </w:rPr>
              <w:t>Project funding peaks at EGP 102.0 million in the base case and the project generates EGP 595 million of net cash flow before the value of retained units.</w:t>
            </w:r>
          </w:p>
        </w:tc>
        <w:tc>
          <w:tcPr>
            <w:tcW w:type="dxa" w:w="4535"/>
            <w:shd w:val="clear" w:color="auto" w:fill="F2F4F7"/>
          </w:tcPr>
          <w:p>
            <w:pPr>
              <w:spacing w:after="0" w:line="240" w:lineRule="auto"/>
            </w:pPr>
            <w:r/>
            <w:r>
              <w:rPr>
                <w:sz w:val="19"/>
              </w:rPr>
              <w:t>Funding peak is EGP 244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r>
        <w:rPr>
          <w:b w:val="0"/>
          <w:i w:val="0"/>
        </w:rPr>
        <w:t>Jalour retains 20% of the units. They sit outside the sales plan, outside the cash flows shown here, and outside this offering.</w:t>
      </w: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here,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this development (Invest-Gate).</w:t>
      </w:r>
    </w:p>
    <w:p>
      <w:pPr>
        <w:pStyle w:val="Heading2"/>
      </w:pPr>
      <w:r>
        <w:t>4.4 Pricing evidence and the plan</w:t>
      </w:r>
    </w:p>
    <w:p>
      <w:pPr>
        <w:keepNext/>
        <w:spacing w:after="60"/>
      </w:pPr>
      <w:r>
        <w:rPr>
          <w:b/>
          <w:color w:val="17324D"/>
          <w:sz w:val="19"/>
        </w:rPr>
        <w:t>Table 4: Plan prices against market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701"/>
            <w:shd w:val="clear" w:color="auto" w:fill="17324D"/>
          </w:tcPr>
          <w:p>
            <w:pPr>
              <w:spacing w:after="0" w:line="240" w:lineRule="auto"/>
            </w:pPr>
            <w:r/>
            <w:r>
              <w:rPr>
                <w:b/>
                <w:color w:val="FFFFFF"/>
                <w:sz w:val="18"/>
              </w:rPr>
              <w:t>Measure (EGP per m2)</w:t>
            </w:r>
          </w:p>
        </w:tc>
        <w:tc>
          <w:tcPr>
            <w:tcW w:type="dxa" w:w="3288"/>
            <w:shd w:val="clear" w:color="auto" w:fill="17324D"/>
          </w:tcPr>
          <w:p>
            <w:pPr>
              <w:spacing w:after="0" w:line="240" w:lineRule="auto"/>
            </w:pPr>
            <w:r/>
            <w:r>
              <w:rPr>
                <w:b/>
                <w:color w:val="FFFFFF"/>
                <w:sz w:val="18"/>
              </w:rPr>
              <w:t>Evidence (asking prices)</w:t>
            </w:r>
          </w:p>
        </w:tc>
        <w:tc>
          <w:tcPr>
            <w:tcW w:type="dxa" w:w="1417"/>
            <w:shd w:val="clear" w:color="auto" w:fill="17324D"/>
          </w:tcPr>
          <w:p>
            <w:pPr>
              <w:spacing w:after="0" w:line="240" w:lineRule="auto"/>
              <w:jc w:val="right"/>
            </w:pPr>
            <w:r/>
            <w:r>
              <w:rPr>
                <w:b/>
                <w:color w:val="FFFFFF"/>
                <w:sz w:val="18"/>
              </w:rPr>
              <w:t>Plan: launch</w:t>
            </w:r>
          </w:p>
        </w:tc>
        <w:tc>
          <w:tcPr>
            <w:tcW w:type="dxa" w:w="1417"/>
            <w:shd w:val="clear" w:color="auto" w:fill="17324D"/>
          </w:tcPr>
          <w:p>
            <w:pPr>
              <w:spacing w:after="0" w:line="240" w:lineRule="auto"/>
              <w:jc w:val="right"/>
            </w:pPr>
            <w:r/>
            <w:r>
              <w:rPr>
                <w:b/>
                <w:color w:val="FFFFFF"/>
                <w:sz w:val="18"/>
              </w:rPr>
              <w:t>Plan: delivery list</w:t>
            </w:r>
          </w:p>
        </w:tc>
        <w:tc>
          <w:tcPr>
            <w:tcW w:type="dxa" w:w="1417"/>
            <w:shd w:val="clear" w:color="auto" w:fill="17324D"/>
          </w:tcPr>
          <w:p>
            <w:pPr>
              <w:spacing w:after="0" w:line="240" w:lineRule="auto"/>
              <w:jc w:val="right"/>
            </w:pPr>
            <w:r/>
            <w:r>
              <w:rPr>
                <w:b/>
                <w:color w:val="FFFFFF"/>
                <w:sz w:val="18"/>
              </w:rPr>
              <w:t>Plan: average</w:t>
            </w:r>
          </w:p>
        </w:tc>
      </w:tr>
      <w:tr>
        <w:trPr>
          <w:cantSplit/>
        </w:trPr>
        <w:tc>
          <w:tcPr>
            <w:tcW w:type="dxa" w:w="1701"/>
          </w:tcPr>
          <w:p>
            <w:pPr>
              <w:spacing w:after="0" w:line="240" w:lineRule="auto"/>
            </w:pPr>
            <w:r/>
            <w:r>
              <w:rPr>
                <w:sz w:val="18"/>
              </w:rPr>
              <w:t>Offices</w:t>
            </w:r>
          </w:p>
        </w:tc>
        <w:tc>
          <w:tcPr>
            <w:tcW w:type="dxa" w:w="3288"/>
          </w:tcPr>
          <w:p>
            <w:pPr>
              <w:spacing w:after="0" w:line="240" w:lineRule="auto"/>
            </w:pPr>
            <w:r/>
            <w:r>
              <w:rPr>
                <w:sz w:val="18"/>
              </w:rPr>
              <w:t>106,000 to 120,000 (Mostakbal City listings)</w:t>
            </w:r>
          </w:p>
        </w:tc>
        <w:tc>
          <w:tcPr>
            <w:tcW w:type="dxa" w:w="1417"/>
          </w:tcPr>
          <w:p>
            <w:pPr>
              <w:spacing w:after="0" w:line="240" w:lineRule="auto"/>
              <w:jc w:val="right"/>
            </w:pPr>
            <w:r/>
            <w:r>
              <w:rPr>
                <w:sz w:val="18"/>
              </w:rPr>
              <w:t>160,000</w:t>
            </w:r>
          </w:p>
        </w:tc>
        <w:tc>
          <w:tcPr>
            <w:tcW w:type="dxa" w:w="1417"/>
          </w:tcPr>
          <w:p>
            <w:pPr>
              <w:spacing w:after="0" w:line="240" w:lineRule="auto"/>
              <w:jc w:val="right"/>
            </w:pPr>
            <w:r/>
            <w:r>
              <w:rPr>
                <w:sz w:val="18"/>
              </w:rPr>
              <w:t>240,000</w:t>
            </w:r>
          </w:p>
        </w:tc>
        <w:tc>
          <w:tcPr>
            <w:tcW w:type="dxa" w:w="1417"/>
          </w:tcPr>
          <w:p>
            <w:pPr>
              <w:spacing w:after="0" w:line="240" w:lineRule="auto"/>
              <w:jc w:val="right"/>
            </w:pPr>
            <w:r/>
            <w:r>
              <w:rPr>
                <w:sz w:val="18"/>
              </w:rPr>
              <w:t>191,250</w:t>
            </w:r>
          </w:p>
        </w:tc>
      </w:tr>
      <w:tr>
        <w:trPr>
          <w:cantSplit/>
        </w:trPr>
        <w:tc>
          <w:tcPr>
            <w:tcW w:type="dxa" w:w="1701"/>
            <w:shd w:val="clear" w:color="auto" w:fill="F2F4F7"/>
          </w:tcPr>
          <w:p>
            <w:pPr>
              <w:spacing w:after="0" w:line="240" w:lineRule="auto"/>
            </w:pPr>
            <w:r/>
            <w:r>
              <w:rPr>
                <w:sz w:val="18"/>
              </w:rPr>
              <w:t>Retail</w:t>
            </w:r>
          </w:p>
        </w:tc>
        <w:tc>
          <w:tcPr>
            <w:tcW w:type="dxa" w:w="3288"/>
            <w:shd w:val="clear" w:color="auto" w:fill="F2F4F7"/>
          </w:tcPr>
          <w:p>
            <w:pPr>
              <w:spacing w:after="0" w:line="240" w:lineRule="auto"/>
            </w:pPr>
            <w:r/>
            <w:r>
              <w:rPr>
                <w:sz w:val="18"/>
              </w:rPr>
              <w:t>139,000 to 325,000 (New Cairo listings, individual)</w:t>
            </w:r>
          </w:p>
        </w:tc>
        <w:tc>
          <w:tcPr>
            <w:tcW w:type="dxa" w:w="1417"/>
            <w:shd w:val="clear" w:color="auto" w:fill="F2F4F7"/>
          </w:tcPr>
          <w:p>
            <w:pPr>
              <w:spacing w:after="0" w:line="240" w:lineRule="auto"/>
              <w:jc w:val="right"/>
            </w:pPr>
            <w:r/>
            <w:r>
              <w:rPr>
                <w:sz w:val="18"/>
              </w:rPr>
              <w:t>250,000</w:t>
            </w:r>
          </w:p>
        </w:tc>
        <w:tc>
          <w:tcPr>
            <w:tcW w:type="dxa" w:w="1417"/>
            <w:shd w:val="clear" w:color="auto" w:fill="F2F4F7"/>
          </w:tcPr>
          <w:p>
            <w:pPr>
              <w:spacing w:after="0" w:line="240" w:lineRule="auto"/>
              <w:jc w:val="right"/>
            </w:pPr>
            <w:r/>
            <w:r>
              <w:rPr>
                <w:sz w:val="18"/>
              </w:rPr>
              <w:t>360,000</w:t>
            </w:r>
          </w:p>
        </w:tc>
        <w:tc>
          <w:tcPr>
            <w:tcW w:type="dxa" w:w="1417"/>
            <w:shd w:val="clear" w:color="auto" w:fill="F2F4F7"/>
          </w:tcPr>
          <w:p>
            <w:pPr>
              <w:spacing w:after="0" w:line="240" w:lineRule="auto"/>
              <w:jc w:val="right"/>
            </w:pPr>
            <w:r/>
            <w:r>
              <w:rPr>
                <w:sz w:val="18"/>
              </w:rPr>
              <w:t>300,938</w:t>
            </w:r>
          </w:p>
        </w:tc>
      </w:tr>
    </w:tbl>
    <w:p>
      <w:pPr>
        <w:spacing w:after="80"/>
      </w:pPr>
    </w:p>
    <w:p>
      <w:pPr>
        <w:keepNext/>
        <w:spacing w:after="60"/>
      </w:pPr>
      <w:r>
        <w:rPr>
          <w:b/>
          <w:color w:val="17324D"/>
          <w:sz w:val="19"/>
        </w:rPr>
        <w:t>Table 5: Launch, average realised and delivery list prices against today's asking prices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964"/>
            <w:shd w:val="clear" w:color="auto" w:fill="17324D"/>
          </w:tcPr>
          <w:p>
            <w:pPr>
              <w:spacing w:after="0" w:line="240" w:lineRule="auto"/>
            </w:pPr>
            <w:r/>
            <w:r>
              <w:rPr>
                <w:b/>
                <w:color w:val="FFFFFF"/>
                <w:sz w:val="16"/>
              </w:rPr>
              <w:t>EGP per m2</w:t>
            </w:r>
          </w:p>
        </w:tc>
        <w:tc>
          <w:tcPr>
            <w:tcW w:type="dxa" w:w="907"/>
            <w:shd w:val="clear" w:color="auto" w:fill="17324D"/>
          </w:tcPr>
          <w:p>
            <w:pPr>
              <w:spacing w:after="0" w:line="240" w:lineRule="auto"/>
              <w:jc w:val="right"/>
            </w:pPr>
            <w:r/>
            <w:r>
              <w:rPr>
                <w:b/>
                <w:color w:val="FFFFFF"/>
                <w:sz w:val="16"/>
              </w:rPr>
              <w:t>Launch list</w:t>
            </w:r>
          </w:p>
        </w:tc>
        <w:tc>
          <w:tcPr>
            <w:tcW w:type="dxa" w:w="964"/>
            <w:shd w:val="clear" w:color="auto" w:fill="17324D"/>
          </w:tcPr>
          <w:p>
            <w:pPr>
              <w:spacing w:after="0" w:line="240" w:lineRule="auto"/>
              <w:jc w:val="right"/>
            </w:pPr>
            <w:r/>
            <w:r>
              <w:rPr>
                <w:b/>
                <w:color w:val="FFFFFF"/>
                <w:sz w:val="16"/>
              </w:rPr>
              <w:t>Average realised</w:t>
            </w:r>
          </w:p>
        </w:tc>
        <w:tc>
          <w:tcPr>
            <w:tcW w:type="dxa" w:w="907"/>
            <w:shd w:val="clear" w:color="auto" w:fill="17324D"/>
          </w:tcPr>
          <w:p>
            <w:pPr>
              <w:spacing w:after="0" w:line="240" w:lineRule="auto"/>
              <w:jc w:val="right"/>
            </w:pPr>
            <w:r/>
            <w:r>
              <w:rPr>
                <w:b/>
                <w:color w:val="FFFFFF"/>
                <w:sz w:val="16"/>
              </w:rPr>
              <w:t>Delivery list</w:t>
            </w:r>
          </w:p>
        </w:tc>
        <w:tc>
          <w:tcPr>
            <w:tcW w:type="dxa" w:w="964"/>
            <w:shd w:val="clear" w:color="auto" w:fill="17324D"/>
          </w:tcPr>
          <w:p>
            <w:pPr>
              <w:spacing w:after="0" w:line="240" w:lineRule="auto"/>
              <w:jc w:val="right"/>
            </w:pPr>
            <w:r/>
            <w:r>
              <w:rPr>
                <w:b/>
                <w:color w:val="FFFFFF"/>
                <w:sz w:val="16"/>
              </w:rPr>
              <w:t>Delivery vs launch</w:t>
            </w:r>
          </w:p>
        </w:tc>
        <w:tc>
          <w:tcPr>
            <w:tcW w:type="dxa" w:w="964"/>
            <w:shd w:val="clear" w:color="auto" w:fill="17324D"/>
          </w:tcPr>
          <w:p>
            <w:pPr>
              <w:spacing w:after="0" w:line="240" w:lineRule="auto"/>
              <w:jc w:val="right"/>
            </w:pPr>
            <w:r/>
            <w:r>
              <w:rPr>
                <w:b/>
                <w:color w:val="FFFFFF"/>
                <w:sz w:val="16"/>
              </w:rPr>
              <w:t>Average vs launch</w:t>
            </w:r>
          </w:p>
        </w:tc>
        <w:tc>
          <w:tcPr>
            <w:tcW w:type="dxa" w:w="1361"/>
            <w:shd w:val="clear" w:color="auto" w:fill="17324D"/>
          </w:tcPr>
          <w:p>
            <w:pPr>
              <w:spacing w:after="0" w:line="240" w:lineRule="auto"/>
              <w:jc w:val="right"/>
            </w:pPr>
            <w:r/>
            <w:r>
              <w:rPr>
                <w:b/>
                <w:color w:val="FFFFFF"/>
                <w:sz w:val="16"/>
              </w:rPr>
              <w:t>Today's asking</w:t>
            </w:r>
          </w:p>
        </w:tc>
        <w:tc>
          <w:tcPr>
            <w:tcW w:type="dxa" w:w="1474"/>
            <w:shd w:val="clear" w:color="auto" w:fill="17324D"/>
          </w:tcPr>
          <w:p>
            <w:pPr>
              <w:spacing w:after="0" w:line="240" w:lineRule="auto"/>
              <w:jc w:val="right"/>
            </w:pPr>
            <w:r/>
            <w:r>
              <w:rPr>
                <w:b/>
                <w:color w:val="FFFFFF"/>
                <w:sz w:val="16"/>
              </w:rPr>
              <w:t>Delivery list vs today's asking</w:t>
            </w:r>
          </w:p>
        </w:tc>
        <w:tc>
          <w:tcPr>
            <w:tcW w:type="dxa" w:w="907"/>
            <w:shd w:val="clear" w:color="auto" w:fill="17324D"/>
          </w:tcPr>
          <w:p>
            <w:pPr>
              <w:spacing w:after="0" w:line="240" w:lineRule="auto"/>
              <w:jc w:val="right"/>
            </w:pPr>
            <w:r/>
            <w:r>
              <w:rPr>
                <w:b/>
                <w:color w:val="FFFFFF"/>
                <w:sz w:val="16"/>
              </w:rPr>
              <w:t>Growth a year to handover</w:t>
            </w:r>
          </w:p>
        </w:tc>
      </w:tr>
      <w:tr>
        <w:trPr>
          <w:cantSplit/>
        </w:trPr>
        <w:tc>
          <w:tcPr>
            <w:tcW w:type="dxa" w:w="964"/>
          </w:tcPr>
          <w:p>
            <w:pPr>
              <w:spacing w:after="0" w:line="240" w:lineRule="auto"/>
            </w:pPr>
            <w:r/>
            <w:r>
              <w:rPr>
                <w:sz w:val="16"/>
              </w:rPr>
              <w:t>Offices</w:t>
            </w:r>
          </w:p>
        </w:tc>
        <w:tc>
          <w:tcPr>
            <w:tcW w:type="dxa" w:w="907"/>
          </w:tcPr>
          <w:p>
            <w:pPr>
              <w:spacing w:after="0" w:line="240" w:lineRule="auto"/>
              <w:jc w:val="right"/>
            </w:pPr>
            <w:r/>
            <w:r>
              <w:rPr>
                <w:sz w:val="16"/>
              </w:rPr>
              <w:t>160,000</w:t>
            </w:r>
          </w:p>
        </w:tc>
        <w:tc>
          <w:tcPr>
            <w:tcW w:type="dxa" w:w="964"/>
          </w:tcPr>
          <w:p>
            <w:pPr>
              <w:spacing w:after="0" w:line="240" w:lineRule="auto"/>
              <w:jc w:val="right"/>
            </w:pPr>
            <w:r/>
            <w:r>
              <w:rPr>
                <w:sz w:val="16"/>
              </w:rPr>
              <w:t>191,250</w:t>
            </w:r>
          </w:p>
        </w:tc>
        <w:tc>
          <w:tcPr>
            <w:tcW w:type="dxa" w:w="907"/>
          </w:tcPr>
          <w:p>
            <w:pPr>
              <w:spacing w:after="0" w:line="240" w:lineRule="auto"/>
              <w:jc w:val="right"/>
            </w:pPr>
            <w:r/>
            <w:r>
              <w:rPr>
                <w:sz w:val="16"/>
              </w:rPr>
              <w:t>240,000</w:t>
            </w:r>
          </w:p>
        </w:tc>
        <w:tc>
          <w:tcPr>
            <w:tcW w:type="dxa" w:w="964"/>
          </w:tcPr>
          <w:p>
            <w:pPr>
              <w:spacing w:after="0" w:line="240" w:lineRule="auto"/>
              <w:jc w:val="right"/>
            </w:pPr>
            <w:r/>
            <w:r>
              <w:rPr>
                <w:sz w:val="16"/>
              </w:rPr>
              <w:t>+50%</w:t>
            </w:r>
          </w:p>
        </w:tc>
        <w:tc>
          <w:tcPr>
            <w:tcW w:type="dxa" w:w="964"/>
          </w:tcPr>
          <w:p>
            <w:pPr>
              <w:spacing w:after="0" w:line="240" w:lineRule="auto"/>
              <w:jc w:val="right"/>
            </w:pPr>
            <w:r/>
            <w:r>
              <w:rPr>
                <w:sz w:val="16"/>
              </w:rPr>
              <w:t>+20%</w:t>
            </w:r>
          </w:p>
        </w:tc>
        <w:tc>
          <w:tcPr>
            <w:tcW w:type="dxa" w:w="1361"/>
          </w:tcPr>
          <w:p>
            <w:pPr>
              <w:spacing w:after="0" w:line="240" w:lineRule="auto"/>
              <w:jc w:val="right"/>
            </w:pPr>
            <w:r/>
            <w:r>
              <w:rPr>
                <w:sz w:val="16"/>
              </w:rPr>
              <w:t>106,000 to 120,000</w:t>
            </w:r>
          </w:p>
        </w:tc>
        <w:tc>
          <w:tcPr>
            <w:tcW w:type="dxa" w:w="1474"/>
          </w:tcPr>
          <w:p>
            <w:pPr>
              <w:spacing w:after="0" w:line="240" w:lineRule="auto"/>
              <w:jc w:val="right"/>
            </w:pPr>
            <w:r/>
            <w:r>
              <w:rPr>
                <w:sz w:val="16"/>
              </w:rPr>
              <w:t>+112% (mid-point 113,000)</w:t>
            </w:r>
          </w:p>
        </w:tc>
        <w:tc>
          <w:tcPr>
            <w:tcW w:type="dxa" w:w="907"/>
          </w:tcPr>
          <w:p>
            <w:pPr>
              <w:spacing w:after="0" w:line="240" w:lineRule="auto"/>
              <w:jc w:val="right"/>
            </w:pPr>
            <w:r/>
            <w:r>
              <w:rPr>
                <w:sz w:val="16"/>
              </w:rPr>
              <w:t>17.5%</w:t>
            </w:r>
          </w:p>
        </w:tc>
      </w:tr>
      <w:tr>
        <w:trPr>
          <w:cantSplit/>
        </w:trPr>
        <w:tc>
          <w:tcPr>
            <w:tcW w:type="dxa" w:w="964"/>
            <w:shd w:val="clear" w:color="auto" w:fill="F2F4F7"/>
          </w:tcPr>
          <w:p>
            <w:pPr>
              <w:spacing w:after="0" w:line="240" w:lineRule="auto"/>
            </w:pPr>
            <w:r/>
            <w:r>
              <w:rPr>
                <w:sz w:val="16"/>
              </w:rPr>
              <w:t>Retail</w:t>
            </w:r>
          </w:p>
        </w:tc>
        <w:tc>
          <w:tcPr>
            <w:tcW w:type="dxa" w:w="907"/>
            <w:shd w:val="clear" w:color="auto" w:fill="F2F4F7"/>
          </w:tcPr>
          <w:p>
            <w:pPr>
              <w:spacing w:after="0" w:line="240" w:lineRule="auto"/>
              <w:jc w:val="right"/>
            </w:pPr>
            <w:r/>
            <w:r>
              <w:rPr>
                <w:sz w:val="16"/>
              </w:rPr>
              <w:t>250,000</w:t>
            </w:r>
          </w:p>
        </w:tc>
        <w:tc>
          <w:tcPr>
            <w:tcW w:type="dxa" w:w="964"/>
            <w:shd w:val="clear" w:color="auto" w:fill="F2F4F7"/>
          </w:tcPr>
          <w:p>
            <w:pPr>
              <w:spacing w:after="0" w:line="240" w:lineRule="auto"/>
              <w:jc w:val="right"/>
            </w:pPr>
            <w:r/>
            <w:r>
              <w:rPr>
                <w:sz w:val="16"/>
              </w:rPr>
              <w:t>300,938</w:t>
            </w:r>
          </w:p>
        </w:tc>
        <w:tc>
          <w:tcPr>
            <w:tcW w:type="dxa" w:w="907"/>
            <w:shd w:val="clear" w:color="auto" w:fill="F2F4F7"/>
          </w:tcPr>
          <w:p>
            <w:pPr>
              <w:spacing w:after="0" w:line="240" w:lineRule="auto"/>
              <w:jc w:val="right"/>
            </w:pPr>
            <w:r/>
            <w:r>
              <w:rPr>
                <w:sz w:val="16"/>
              </w:rPr>
              <w:t>360,000</w:t>
            </w:r>
          </w:p>
        </w:tc>
        <w:tc>
          <w:tcPr>
            <w:tcW w:type="dxa" w:w="964"/>
            <w:shd w:val="clear" w:color="auto" w:fill="F2F4F7"/>
          </w:tcPr>
          <w:p>
            <w:pPr>
              <w:spacing w:after="0" w:line="240" w:lineRule="auto"/>
              <w:jc w:val="right"/>
            </w:pPr>
            <w:r/>
            <w:r>
              <w:rPr>
                <w:sz w:val="16"/>
              </w:rPr>
              <w:t>+44%</w:t>
            </w:r>
          </w:p>
        </w:tc>
        <w:tc>
          <w:tcPr>
            <w:tcW w:type="dxa" w:w="964"/>
            <w:shd w:val="clear" w:color="auto" w:fill="F2F4F7"/>
          </w:tcPr>
          <w:p>
            <w:pPr>
              <w:spacing w:after="0" w:line="240" w:lineRule="auto"/>
              <w:jc w:val="right"/>
            </w:pPr>
            <w:r/>
            <w:r>
              <w:rPr>
                <w:sz w:val="16"/>
              </w:rPr>
              <w:t>+20%</w:t>
            </w:r>
          </w:p>
        </w:tc>
        <w:tc>
          <w:tcPr>
            <w:tcW w:type="dxa" w:w="1361"/>
            <w:shd w:val="clear" w:color="auto" w:fill="F2F4F7"/>
          </w:tcPr>
          <w:p>
            <w:pPr>
              <w:spacing w:after="0" w:line="240" w:lineRule="auto"/>
              <w:jc w:val="right"/>
            </w:pPr>
            <w:r/>
            <w:r>
              <w:rPr>
                <w:sz w:val="16"/>
              </w:rPr>
              <w:t>139,000 to 325,000 (listings)</w:t>
            </w:r>
          </w:p>
        </w:tc>
        <w:tc>
          <w:tcPr>
            <w:tcW w:type="dxa" w:w="1474"/>
            <w:shd w:val="clear" w:color="auto" w:fill="F2F4F7"/>
          </w:tcPr>
          <w:p>
            <w:pPr>
              <w:spacing w:after="0" w:line="240" w:lineRule="auto"/>
              <w:jc w:val="right"/>
            </w:pPr>
            <w:r/>
            <w:r>
              <w:rPr>
                <w:sz w:val="16"/>
              </w:rPr>
              <w:t>Within the listed range</w:t>
            </w:r>
          </w:p>
        </w:tc>
        <w:tc>
          <w:tcPr>
            <w:tcW w:type="dxa" w:w="907"/>
            <w:shd w:val="clear" w:color="auto" w:fill="F2F4F7"/>
          </w:tcPr>
          <w:p>
            <w:pPr>
              <w:spacing w:after="0" w:line="240" w:lineRule="auto"/>
              <w:jc w:val="right"/>
            </w:pPr>
            <w:r/>
            <w:r>
              <w:rPr>
                <w:sz w:val="16"/>
              </w:rPr>
              <w:t>n/a</w:t>
            </w:r>
          </w:p>
        </w:tc>
      </w:tr>
    </w:tbl>
    <w:p>
      <w:pPr>
        <w:spacing w:after="80"/>
      </w:pPr>
    </w:p>
    <w:p>
      <w:r>
        <w:rPr>
          <w:b w:val="0"/>
          <w:i w:val="0"/>
        </w:rPr>
        <w:t>The delivery list is the last list price in the plan and is unchanged to handover (month 54). Measured from launch it is +44% for retail and +50% for offices (48% weighted by the launch tranches), against the 40% to 60% range Jalour expects. Measured from today's office asking prices, the delivery list is +112%, or about 18% a year over 4.7 years if the model timeline starts in December 2026.</w:t>
      </w:r>
    </w:p>
    <w:p>
      <w:r>
        <w:rPr>
          <w:b w:val="0"/>
          <w:i w:val="0"/>
        </w:rPr>
        <w:t>The plan's launch price for offices (160,000) is above current Mostakbal City asking prices, and it then rises by 50%.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a non-disclosure agreement. Counsel should confirm which other rules apply to a private placement of this kind. Resale of contracts is common but developer approval and fees are contractual; no specific rule on developer consent to resale was found.</w:t>
      </w:r>
    </w:p>
    <w:p>
      <w:pPr>
        <w:keepNext/>
        <w:jc w:val="center"/>
      </w:pPr>
      <w:r>
        <w:drawing>
          <wp:inline xmlns:a="http://schemas.openxmlformats.org/drawingml/2006/main" xmlns:pic="http://schemas.openxmlformats.org/drawingml/2006/picture">
            <wp:extent cx="5580000" cy="2480000"/>
            <wp:docPr id="1" name="Picture 1"/>
            <wp:cNvGraphicFramePr>
              <a:graphicFrameLocks noChangeAspect="1"/>
            </wp:cNvGraphicFramePr>
            <a:graphic>
              <a:graphicData uri="http://schemas.openxmlformats.org/drawingml/2006/picture">
                <pic:pic>
                  <pic:nvPicPr>
                    <pic:cNvPr id="0" name="fig_sales.png"/>
                    <pic:cNvPicPr/>
                  </pic:nvPicPr>
                  <pic:blipFill>
                    <a:blip r:embed="rId11"/>
                    <a:stretch>
                      <a:fillRect/>
                    </a:stretch>
                  </pic:blipFill>
                  <pic:spPr>
                    <a:xfrm>
                      <a:off x="0" y="0"/>
                      <a:ext cx="5580000" cy="2480000"/>
                    </a:xfrm>
                    <a:prstGeom prst="rect"/>
                  </pic:spPr>
                </pic:pic>
              </a:graphicData>
            </a:graphic>
          </wp:inline>
        </w:drawing>
      </w:r>
    </w:p>
    <w:p>
      <w:pPr>
        <w:jc w:val="center"/>
      </w:pPr>
      <w:r>
        <w:rPr>
          <w:b/>
          <w:color w:val="17324D"/>
          <w:sz w:val="18"/>
        </w:rPr>
        <w:t xml:space="preserve">Figure 1: Sales value by quarter of sale. </w:t>
      </w:r>
      <w:r>
        <w:rPr>
          <w:i/>
          <w:color w:val="6B7280"/>
          <w:sz w:val="18"/>
        </w:rPr>
        <w:t>Source: Jalour financial model; Financial Annex, Source_Data sheet</w:t>
      </w:r>
    </w:p>
    <w:p>
      <w:pPr>
        <w:pStyle w:val="Heading1"/>
        <w:pageBreakBefore/>
      </w:pPr>
      <w:r>
        <w:t>5. Project description</w:t>
      </w:r>
    </w:p>
    <w:p>
      <w:pPr>
        <w:keepNext/>
        <w:spacing w:after="60"/>
      </w:pPr>
      <w:r>
        <w:rPr>
          <w:b/>
          <w:color w:val="17324D"/>
          <w:sz w:val="19"/>
        </w:rPr>
        <w:t>Table 6: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14,910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8,946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13,419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13</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19 to 54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54</w:t>
            </w:r>
          </w:p>
        </w:tc>
      </w:tr>
      <w:tr>
        <w:trPr>
          <w:cantSplit/>
        </w:trPr>
        <w:tc>
          <w:tcPr>
            <w:tcW w:type="dxa" w:w="3402"/>
          </w:tcPr>
          <w:p>
            <w:pPr>
              <w:spacing w:after="0" w:line="240" w:lineRule="auto"/>
            </w:pPr>
            <w:r/>
            <w:r>
              <w:rPr>
                <w:b/>
                <w:sz w:val="19"/>
              </w:rPr>
              <w:t>Retained by Jalour</w:t>
            </w:r>
          </w:p>
        </w:tc>
        <w:tc>
          <w:tcPr>
            <w:tcW w:type="dxa" w:w="5839"/>
          </w:tcPr>
          <w:p>
            <w:pPr>
              <w:spacing w:after="0" w:line="240" w:lineRule="auto"/>
            </w:pPr>
            <w:r/>
            <w:r>
              <w:rPr>
                <w:sz w:val="19"/>
              </w:rPr>
              <w:t>20% of units (not offered, not in the cash flows)</w:t>
            </w:r>
          </w:p>
        </w:tc>
      </w:tr>
    </w:tbl>
    <w:p>
      <w:pPr>
        <w:spacing w:after="80"/>
      </w:pPr>
    </w:p>
    <w:p>
      <w:r>
        <w:rPr>
          <w:b w:val="0"/>
          <w:i w:val="0"/>
        </w:rPr>
        <w:t>The development comprises retail on the ground floor and offices above, in G+2 buildings over a 30% footprint. Retail accounts for 33% of built-up area and offices for 67%. Jalour is responsible for design, permits and licences, construction to core and shell, project branding, marketing, sales and collection, and for operation, management and maintenance directly or through a facility management company.</w:t>
      </w:r>
    </w:p>
    <w:p>
      <w:r>
        <w:rPr>
          <w:b w:val="0"/>
          <w:i w:val="0"/>
        </w:rPr>
        <w:t>The model sells offices on a sellable area of 10,437 m2, which is larger than the 8,946 m2 of office built-up area. The area schedule that reconciles the two is provided after the investor signs a non-disclosure agreement; the investor should require it in due diligence.</w:t>
      </w:r>
    </w:p>
    <w:p>
      <w:r>
        <w:rPr>
          <w:b w:val="0"/>
          <w:i w:val="0"/>
        </w:rPr>
        <w:t>Phasing: sales launch in project month 13, construction starts in month 19 and runs 36 months to handover in month 54. Permits, licences and title status are listed in the Due Diligence Memorandum [available after the investor signs a non-disclosure agreement].</w:t>
      </w:r>
    </w:p>
    <w:p>
      <w:pPr>
        <w:pStyle w:val="Heading1"/>
        <w:pageBreakBefore/>
      </w:pPr>
      <w:r>
        <w:t>6. The Al Ahly Sabbour agreement and consents</w:t>
      </w:r>
    </w:p>
    <w:p>
      <w:r>
        <w:rPr>
          <w:b w:val="0"/>
          <w:i w:val="0"/>
        </w:rPr>
        <w:t>The following terms are taken from the Jalour financial model and are to be verified against the signed agreement in the data room.</w:t>
      </w:r>
    </w:p>
    <w:p>
      <w:pPr>
        <w:keepNext/>
        <w:spacing w:after="60"/>
      </w:pPr>
      <w:r>
        <w:rPr>
          <w:b/>
          <w:color w:val="17324D"/>
          <w:sz w:val="19"/>
        </w:rPr>
        <w:t>Table 7: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Term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Landlord share of collections</w:t>
            </w:r>
          </w:p>
        </w:tc>
        <w:tc>
          <w:tcPr>
            <w:tcW w:type="dxa" w:w="5839"/>
          </w:tcPr>
          <w:p>
            <w:pPr>
              <w:spacing w:after="0" w:line="240" w:lineRule="auto"/>
            </w:pPr>
            <w:r/>
            <w:r>
              <w:rPr>
                <w:sz w:val="19"/>
              </w:rPr>
              <w:t>35%</w:t>
            </w:r>
          </w:p>
        </w:tc>
      </w:tr>
      <w:tr>
        <w:trPr>
          <w:cantSplit/>
        </w:trPr>
        <w:tc>
          <w:tcPr>
            <w:tcW w:type="dxa" w:w="3402"/>
            <w:shd w:val="clear" w:color="auto" w:fill="F2F4F7"/>
          </w:tcPr>
          <w:p>
            <w:pPr>
              <w:spacing w:after="0" w:line="240" w:lineRule="auto"/>
            </w:pPr>
            <w:r/>
            <w:r>
              <w:rPr>
                <w:b/>
                <w:sz w:val="19"/>
              </w:rPr>
              <w:t>Developer (Jalour) share</w:t>
            </w:r>
          </w:p>
        </w:tc>
        <w:tc>
          <w:tcPr>
            <w:tcW w:type="dxa" w:w="5839"/>
            <w:shd w:val="clear" w:color="auto" w:fill="F2F4F7"/>
          </w:tcPr>
          <w:p>
            <w:pPr>
              <w:spacing w:after="0" w:line="240" w:lineRule="auto"/>
            </w:pPr>
            <w:r/>
            <w:r>
              <w:rPr>
                <w:sz w:val="19"/>
              </w:rPr>
              <w:t>65%</w:t>
            </w:r>
          </w:p>
        </w:tc>
      </w:tr>
      <w:tr>
        <w:trPr>
          <w:cantSplit/>
        </w:trPr>
        <w:tc>
          <w:tcPr>
            <w:tcW w:type="dxa" w:w="3402"/>
          </w:tcPr>
          <w:p>
            <w:pPr>
              <w:spacing w:after="0" w:line="240" w:lineRule="auto"/>
            </w:pPr>
            <w:r/>
            <w:r>
              <w:rPr>
                <w:b/>
                <w:sz w:val="19"/>
              </w:rPr>
              <w:t>Minimum guaranteed amount</w:t>
            </w:r>
          </w:p>
        </w:tc>
        <w:tc>
          <w:tcPr>
            <w:tcW w:type="dxa" w:w="5839"/>
          </w:tcPr>
          <w:p>
            <w:pPr>
              <w:spacing w:after="0" w:line="240" w:lineRule="auto"/>
            </w:pPr>
            <w:r/>
            <w:r>
              <w:rPr>
                <w:sz w:val="19"/>
              </w:rPr>
              <w:t>EGP 850 million over six years</w:t>
            </w:r>
          </w:p>
        </w:tc>
      </w:tr>
      <w:tr>
        <w:trPr>
          <w:cantSplit/>
        </w:trPr>
        <w:tc>
          <w:tcPr>
            <w:tcW w:type="dxa" w:w="3402"/>
            <w:shd w:val="clear" w:color="auto" w:fill="F2F4F7"/>
          </w:tcPr>
          <w:p>
            <w:pPr>
              <w:spacing w:after="0" w:line="240" w:lineRule="auto"/>
            </w:pPr>
            <w:r/>
            <w:r>
              <w:rPr>
                <w:b/>
                <w:sz w:val="19"/>
              </w:rPr>
              <w:t>Down payment</w:t>
            </w:r>
          </w:p>
        </w:tc>
        <w:tc>
          <w:tcPr>
            <w:tcW w:type="dxa" w:w="5839"/>
            <w:shd w:val="clear" w:color="auto" w:fill="F2F4F7"/>
          </w:tcPr>
          <w:p>
            <w:pPr>
              <w:spacing w:after="0" w:line="240" w:lineRule="auto"/>
            </w:pPr>
            <w:r/>
            <w:r>
              <w:rPr>
                <w:sz w:val="19"/>
              </w:rPr>
              <w:t>EGP 85 million (10% of the guarantee), paid up front</w:t>
            </w:r>
          </w:p>
        </w:tc>
      </w:tr>
      <w:tr>
        <w:trPr>
          <w:cantSplit/>
        </w:trPr>
        <w:tc>
          <w:tcPr>
            <w:tcW w:type="dxa" w:w="3402"/>
          </w:tcPr>
          <w:p>
            <w:pPr>
              <w:spacing w:after="0" w:line="240" w:lineRule="auto"/>
            </w:pPr>
            <w:r/>
            <w:r>
              <w:rPr>
                <w:b/>
                <w:sz w:val="19"/>
              </w:rPr>
              <w:t>Payment rule</w:t>
            </w:r>
          </w:p>
        </w:tc>
        <w:tc>
          <w:tcPr>
            <w:tcW w:type="dxa" w:w="5839"/>
          </w:tcPr>
          <w:p>
            <w:pPr>
              <w:spacing w:after="0" w:line="240" w:lineRule="auto"/>
            </w:pPr>
            <w:r/>
            <w:r>
              <w:rPr>
                <w:sz w:val="19"/>
              </w:rPr>
              <w:t>35% of collections or the guaranteed instalment, whichever is higher</w:t>
            </w:r>
          </w:p>
        </w:tc>
      </w:tr>
      <w:tr>
        <w:trPr>
          <w:cantSplit/>
        </w:trPr>
        <w:tc>
          <w:tcPr>
            <w:tcW w:type="dxa" w:w="3402"/>
            <w:shd w:val="clear" w:color="auto" w:fill="F2F4F7"/>
          </w:tcPr>
          <w:p>
            <w:pPr>
              <w:spacing w:after="0" w:line="240" w:lineRule="auto"/>
            </w:pPr>
            <w:r/>
            <w:r>
              <w:rPr>
                <w:b/>
                <w:sz w:val="19"/>
              </w:rPr>
              <w:t>Settlement of any excess over the guarantee</w:t>
            </w:r>
          </w:p>
        </w:tc>
        <w:tc>
          <w:tcPr>
            <w:tcW w:type="dxa" w:w="5839"/>
            <w:shd w:val="clear" w:color="auto" w:fill="F2F4F7"/>
          </w:tcPr>
          <w:p>
            <w:pPr>
              <w:spacing w:after="0" w:line="240" w:lineRule="auto"/>
            </w:pPr>
            <w:r/>
            <w:r>
              <w:rPr>
                <w:sz w:val="19"/>
              </w:rPr>
              <w:t>From year 8</w:t>
            </w:r>
          </w:p>
        </w:tc>
      </w:tr>
      <w:tr>
        <w:trPr>
          <w:cantSplit/>
        </w:trPr>
        <w:tc>
          <w:tcPr>
            <w:tcW w:type="dxa" w:w="3402"/>
          </w:tcPr>
          <w:p>
            <w:pPr>
              <w:spacing w:after="0" w:line="240" w:lineRule="auto"/>
            </w:pPr>
            <w:r/>
            <w:r>
              <w:rPr>
                <w:b/>
                <w:sz w:val="19"/>
              </w:rPr>
              <w:t>Jalour scope</w:t>
            </w:r>
          </w:p>
        </w:tc>
        <w:tc>
          <w:tcPr>
            <w:tcW w:type="dxa" w:w="5839"/>
          </w:tcPr>
          <w:p>
            <w:pPr>
              <w:spacing w:after="0" w:line="240" w:lineRule="auto"/>
            </w:pPr>
            <w:r/>
            <w:r>
              <w:rPr>
                <w:sz w:val="19"/>
              </w:rPr>
              <w:t>Design, permits, construction (core and shell), marketing, sales, collection, project name, operation and maintenance</w:t>
            </w:r>
          </w:p>
        </w:tc>
      </w:tr>
      <w:tr>
        <w:trPr>
          <w:cantSplit/>
        </w:trPr>
        <w:tc>
          <w:tcPr>
            <w:tcW w:type="dxa" w:w="3402"/>
            <w:shd w:val="clear" w:color="auto" w:fill="F2F4F7"/>
          </w:tcPr>
          <w:p>
            <w:pPr>
              <w:spacing w:after="0" w:line="240" w:lineRule="auto"/>
            </w:pPr>
            <w:r/>
            <w:r>
              <w:rPr>
                <w:b/>
                <w:sz w:val="19"/>
              </w:rPr>
              <w:t>Delivery</w:t>
            </w:r>
          </w:p>
        </w:tc>
        <w:tc>
          <w:tcPr>
            <w:tcW w:type="dxa" w:w="5839"/>
            <w:shd w:val="clear" w:color="auto" w:fill="F2F4F7"/>
          </w:tcPr>
          <w:p>
            <w:pPr>
              <w:spacing w:after="0" w:line="240" w:lineRule="auto"/>
            </w:pPr>
            <w:r/>
            <w:r>
              <w:rPr>
                <w:sz w:val="19"/>
              </w:rPr>
              <w:t>Month 54</w:t>
            </w:r>
          </w:p>
        </w:tc>
      </w:tr>
    </w:tbl>
    <w:p>
      <w:pPr>
        <w:spacing w:after="80"/>
      </w:pPr>
    </w:p>
    <w:p>
      <w:pPr>
        <w:keepNext/>
        <w:spacing w:after="60"/>
      </w:pPr>
      <w:r>
        <w:rPr>
          <w:b/>
          <w:color w:val="17324D"/>
          <w:sz w:val="19"/>
        </w:rPr>
        <w:t>Table 8: Minimum guarantee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Guaranteed payment</w:t>
            </w:r>
          </w:p>
        </w:tc>
        <w:tc>
          <w:tcPr>
            <w:tcW w:type="dxa" w:w="1077"/>
          </w:tcPr>
          <w:p>
            <w:pPr>
              <w:spacing w:after="0" w:line="240" w:lineRule="auto"/>
              <w:jc w:val="right"/>
            </w:pPr>
            <w:r/>
            <w:r>
              <w:rPr>
                <w:sz w:val="18"/>
              </w:rPr>
              <w:t>85</w:t>
            </w:r>
          </w:p>
        </w:tc>
        <w:tc>
          <w:tcPr>
            <w:tcW w:type="dxa" w:w="850"/>
          </w:tcPr>
          <w:p>
            <w:pPr>
              <w:spacing w:after="0" w:line="240" w:lineRule="auto"/>
              <w:jc w:val="right"/>
            </w:pPr>
            <w:r/>
            <w:r>
              <w:rPr>
                <w:sz w:val="18"/>
              </w:rPr>
              <w:t>0</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225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850</w:t>
            </w:r>
          </w:p>
        </w:tc>
      </w:tr>
    </w:tbl>
    <w:p>
      <w:pPr>
        <w:spacing w:after="80"/>
      </w:pPr>
    </w:p>
    <w:p>
      <w:r>
        <w:rPr>
          <w:b w:val="0"/>
          <w:i w:val="0"/>
        </w:rPr>
        <w:t>In the plan the landlord receives EGP 1,170 million in total, equal to 35% of the value of all units at modelled prices, including the 20% retained by Jalour. EGP 320 million of that is the excess over the guarantee, settled from year 8. Jalour pays the landlord share on the retained units in cash and keeps those units.</w:t>
      </w:r>
    </w:p>
    <w:p>
      <w:pPr>
        <w:pStyle w:val="Heading2"/>
      </w:pPr>
      <w:r>
        <w:t>6.1 Consents</w:t>
      </w:r>
    </w:p>
    <w:p>
      <w:pPr>
        <w:keepNext/>
      </w:pPr>
      <w:r>
        <w:rPr>
          <w:b w:val="0"/>
          <w:i w:val="0"/>
        </w:rPr>
        <w:t>Al Ahly Sabbour's written consent is required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a non-disclosure agreement]. Receipt of consent is a condition precedent to signing.</w:t>
      </w:r>
    </w:p>
    <w:p>
      <w:pPr>
        <w:pStyle w:val="Heading1"/>
      </w:pPr>
      <w:r>
        <w:t>7. Sponsor and management</w:t>
      </w:r>
    </w:p>
    <w:p>
      <w:r>
        <w:rPr>
          <w:b w:val="0"/>
          <w:i w:val="0"/>
        </w:rPr>
        <w:t>Jalour Developments is the real estate arm of Al Jalal Holding, Cairo. In this project it acts as developer and operator and carries all design, permit, construction, marketing, sales, collection and operating costs.</w:t>
      </w:r>
    </w:p>
    <w:p>
      <w:pPr>
        <w:keepNext/>
        <w:spacing w:after="60"/>
      </w:pPr>
      <w:r>
        <w:rPr>
          <w:b/>
          <w:color w:val="17324D"/>
          <w:sz w:val="19"/>
        </w:rPr>
        <w:t>Table 9: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a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a non-disclosure agreement]</w:t>
            </w:r>
          </w:p>
        </w:tc>
      </w:tr>
      <w:tr>
        <w:trPr>
          <w:cantSplit/>
        </w:trPr>
        <w:tc>
          <w:tcPr>
            <w:tcW w:type="dxa" w:w="5669"/>
          </w:tcPr>
          <w:p>
            <w:pPr>
              <w:spacing w:after="0" w:line="240" w:lineRule="auto"/>
            </w:pPr>
            <w:r/>
            <w:r>
              <w:rPr>
                <w:sz w:val="19"/>
              </w:rPr>
              <w:t>Contractor and consultant appointments for this project</w:t>
            </w:r>
          </w:p>
        </w:tc>
        <w:tc>
          <w:tcPr>
            <w:tcW w:type="dxa" w:w="3572"/>
          </w:tcPr>
          <w:p>
            <w:pPr>
              <w:spacing w:after="0" w:line="240" w:lineRule="auto"/>
            </w:pPr>
            <w:r/>
            <w:r>
              <w:rPr>
                <w:sz w:val="19"/>
              </w:rPr>
              <w:t>[Provided after the investor signs a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 not a guarantee of the investor's return. Jalour's capacity therefore rests on its own cash reserves and on distributions from those other projects, which are subject to those projects' own agreements and progress and are not held for this project. Jalour's audited accounts and track record are provided after the investor signs a non-disclosure agreement.</w:t>
      </w:r>
    </w:p>
    <w:p>
      <w:pPr>
        <w:pStyle w:val="Heading1"/>
        <w:pageBreakBefore/>
      </w:pPr>
      <w:r>
        <w:t>8. Business plan and assumptions</w:t>
      </w:r>
    </w:p>
    <w:p>
      <w:pPr>
        <w:keepNext/>
        <w:spacing w:after="60"/>
      </w:pPr>
      <w:r>
        <w:rPr>
          <w:b/>
          <w:color w:val="17324D"/>
          <w:sz w:val="19"/>
        </w:rPr>
        <w:t>Table 10: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Assumption</w:t>
            </w:r>
          </w:p>
        </w:tc>
        <w:tc>
          <w:tcPr>
            <w:tcW w:type="dxa" w:w="4195"/>
            <w:shd w:val="clear" w:color="auto" w:fill="17324D"/>
          </w:tcPr>
          <w:p>
            <w:pPr>
              <w:spacing w:after="0" w:line="240" w:lineRule="auto"/>
            </w:pPr>
            <w:r/>
            <w:r>
              <w:rPr>
                <w:b/>
                <w:color w:val="FFFFFF"/>
                <w:sz w:val="18"/>
              </w:rPr>
              <w:t>Value</w:t>
            </w:r>
          </w:p>
        </w:tc>
        <w:tc>
          <w:tcPr>
            <w:tcW w:type="dxa" w:w="3005"/>
            <w:shd w:val="clear" w:color="auto" w:fill="17324D"/>
          </w:tcPr>
          <w:p>
            <w:pPr>
              <w:spacing w:after="0" w:line="240" w:lineRule="auto"/>
            </w:pPr>
            <w:r/>
            <w:r>
              <w:rPr>
                <w:b/>
                <w:color w:val="FFFFFF"/>
                <w:sz w:val="18"/>
              </w:rPr>
              <w:t>Basis</w:t>
            </w:r>
          </w:p>
        </w:tc>
      </w:tr>
      <w:tr>
        <w:trPr>
          <w:cantSplit/>
        </w:trPr>
        <w:tc>
          <w:tcPr>
            <w:tcW w:type="dxa" w:w="2041"/>
          </w:tcPr>
          <w:p>
            <w:pPr>
              <w:spacing w:after="0" w:line="240" w:lineRule="auto"/>
            </w:pPr>
            <w:r/>
            <w:r>
              <w:rPr>
                <w:sz w:val="18"/>
              </w:rPr>
              <w:t>Discount rate</w:t>
            </w:r>
          </w:p>
        </w:tc>
        <w:tc>
          <w:tcPr>
            <w:tcW w:type="dxa" w:w="4195"/>
          </w:tcPr>
          <w:p>
            <w:pPr>
              <w:spacing w:after="0" w:line="240" w:lineRule="auto"/>
            </w:pPr>
            <w:r/>
            <w:r>
              <w:rPr>
                <w:sz w:val="18"/>
              </w:rPr>
              <w:t>14% a year</w:t>
            </w:r>
          </w:p>
        </w:tc>
        <w:tc>
          <w:tcPr>
            <w:tcW w:type="dxa" w:w="3005"/>
          </w:tcPr>
          <w:p>
            <w:pPr>
              <w:spacing w:after="0" w:line="240" w:lineRule="auto"/>
            </w:pPr>
            <w:r/>
            <w:r>
              <w:rPr>
                <w:sz w:val="18"/>
              </w:rPr>
              <w:t>Jalour model (labelled cost of capital)</w:t>
            </w:r>
          </w:p>
        </w:tc>
      </w:tr>
      <w:tr>
        <w:trPr>
          <w:cantSplit/>
        </w:trPr>
        <w:tc>
          <w:tcPr>
            <w:tcW w:type="dxa" w:w="2041"/>
            <w:shd w:val="clear" w:color="auto" w:fill="F2F4F7"/>
          </w:tcPr>
          <w:p>
            <w:pPr>
              <w:spacing w:after="0" w:line="240" w:lineRule="auto"/>
            </w:pPr>
            <w:r/>
            <w:r>
              <w:rPr>
                <w:sz w:val="18"/>
              </w:rPr>
              <w:t>Sales plan</w:t>
            </w:r>
          </w:p>
        </w:tc>
        <w:tc>
          <w:tcPr>
            <w:tcW w:type="dxa" w:w="4195"/>
            <w:shd w:val="clear" w:color="auto" w:fill="F2F4F7"/>
          </w:tcPr>
          <w:p>
            <w:pPr>
              <w:spacing w:after="0" w:line="240" w:lineRule="auto"/>
            </w:pPr>
            <w:r/>
            <w:r>
              <w:rPr>
                <w:sz w:val="18"/>
              </w:rPr>
              <w:t>80% of units sold; 20% retained</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Sales window</w:t>
            </w:r>
          </w:p>
        </w:tc>
        <w:tc>
          <w:tcPr>
            <w:tcW w:type="dxa" w:w="4195"/>
          </w:tcPr>
          <w:p>
            <w:pPr>
              <w:spacing w:after="0" w:line="240" w:lineRule="auto"/>
            </w:pPr>
            <w:r/>
            <w:r>
              <w:rPr>
                <w:sz w:val="18"/>
              </w:rPr>
              <w:t>Months 13 to 48</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Launch list prices</w:t>
            </w:r>
          </w:p>
        </w:tc>
        <w:tc>
          <w:tcPr>
            <w:tcW w:type="dxa" w:w="4195"/>
            <w:shd w:val="clear" w:color="auto" w:fill="F2F4F7"/>
          </w:tcPr>
          <w:p>
            <w:pPr>
              <w:spacing w:after="0" w:line="240" w:lineRule="auto"/>
            </w:pPr>
            <w:r/>
            <w:r>
              <w:rPr>
                <w:sz w:val="18"/>
              </w:rPr>
              <w:t>Retail 250,000; offices 160,000 EGP per m2</w:t>
            </w:r>
          </w:p>
        </w:tc>
        <w:tc>
          <w:tcPr>
            <w:tcW w:type="dxa" w:w="3005"/>
            <w:shd w:val="clear" w:color="auto" w:fill="F2F4F7"/>
          </w:tcPr>
          <w:p>
            <w:pPr>
              <w:spacing w:after="0" w:line="240" w:lineRule="auto"/>
            </w:pPr>
            <w:r/>
            <w:r>
              <w:rPr>
                <w:sz w:val="18"/>
              </w:rPr>
              <w:t>Jalour model, first sales column</w:t>
            </w:r>
          </w:p>
        </w:tc>
      </w:tr>
      <w:tr>
        <w:trPr>
          <w:cantSplit/>
        </w:trPr>
        <w:tc>
          <w:tcPr>
            <w:tcW w:type="dxa" w:w="2041"/>
          </w:tcPr>
          <w:p>
            <w:pPr>
              <w:spacing w:after="0" w:line="240" w:lineRule="auto"/>
            </w:pPr>
            <w:r/>
            <w:r>
              <w:rPr>
                <w:sz w:val="18"/>
              </w:rPr>
              <w:t>Delivery list prices</w:t>
            </w:r>
          </w:p>
        </w:tc>
        <w:tc>
          <w:tcPr>
            <w:tcW w:type="dxa" w:w="4195"/>
          </w:tcPr>
          <w:p>
            <w:pPr>
              <w:spacing w:after="0" w:line="240" w:lineRule="auto"/>
            </w:pPr>
            <w:r/>
            <w:r>
              <w:rPr>
                <w:sz w:val="18"/>
              </w:rPr>
              <w:t>Retail 360,000; offices 240,000 EGP per m2</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Payment plans</w:t>
            </w:r>
          </w:p>
        </w:tc>
        <w:tc>
          <w:tcPr>
            <w:tcW w:type="dxa" w:w="4195"/>
            <w:shd w:val="clear" w:color="auto" w:fill="F2F4F7"/>
          </w:tcPr>
          <w:p>
            <w:pPr>
              <w:spacing w:after="0" w:line="240" w:lineRule="auto"/>
            </w:pPr>
            <w:r/>
            <w:r>
              <w:rPr>
                <w:sz w:val="18"/>
              </w:rPr>
              <w:t>Down payment 5% to 20%; equal second payment after 3 months; instalments 2 to 8 years; delivery payment 20% to 25%</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Construction cost</w:t>
            </w:r>
          </w:p>
        </w:tc>
        <w:tc>
          <w:tcPr>
            <w:tcW w:type="dxa" w:w="4195"/>
          </w:tcPr>
          <w:p>
            <w:pPr>
              <w:spacing w:after="0" w:line="240" w:lineRule="auto"/>
            </w:pPr>
            <w:r/>
            <w:r>
              <w:rPr>
                <w:sz w:val="18"/>
              </w:rPr>
              <w:t>EGP 697.2 million, flat in nominal terms</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Sales commission</w:t>
            </w:r>
          </w:p>
        </w:tc>
        <w:tc>
          <w:tcPr>
            <w:tcW w:type="dxa" w:w="4195"/>
            <w:shd w:val="clear" w:color="auto" w:fill="F2F4F7"/>
          </w:tcPr>
          <w:p>
            <w:pPr>
              <w:spacing w:after="0" w:line="240" w:lineRule="auto"/>
            </w:pPr>
            <w:r/>
            <w:r>
              <w:rPr>
                <w:sz w:val="18"/>
              </w:rPr>
              <w:t>4% of sales value, paid 12 months after the sale quarter</w:t>
            </w:r>
          </w:p>
        </w:tc>
        <w:tc>
          <w:tcPr>
            <w:tcW w:type="dxa" w:w="3005"/>
            <w:shd w:val="clear" w:color="auto" w:fill="F2F4F7"/>
          </w:tcPr>
          <w:p>
            <w:pPr>
              <w:spacing w:after="0" w:line="240" w:lineRule="auto"/>
            </w:pPr>
            <w:r/>
            <w:r>
              <w:rPr>
                <w:sz w:val="18"/>
              </w:rPr>
              <w:t>Jalour model</w:t>
            </w:r>
          </w:p>
        </w:tc>
      </w:tr>
      <w:tr>
        <w:trPr>
          <w:cantSplit/>
        </w:trPr>
        <w:tc>
          <w:tcPr>
            <w:tcW w:type="dxa" w:w="2041"/>
          </w:tcPr>
          <w:p>
            <w:pPr>
              <w:spacing w:after="0" w:line="240" w:lineRule="auto"/>
            </w:pPr>
            <w:r/>
            <w:r>
              <w:rPr>
                <w:sz w:val="18"/>
              </w:rPr>
              <w:t>SG&amp;A and others</w:t>
            </w:r>
          </w:p>
        </w:tc>
        <w:tc>
          <w:tcPr>
            <w:tcW w:type="dxa" w:w="4195"/>
          </w:tcPr>
          <w:p>
            <w:pPr>
              <w:spacing w:after="0" w:line="240" w:lineRule="auto"/>
            </w:pPr>
            <w:r/>
            <w:r>
              <w:rPr>
                <w:sz w:val="18"/>
              </w:rPr>
              <w:t>15% of construction cost (5% contingency, 5% professional fees, 5% overhead)</w:t>
            </w:r>
          </w:p>
        </w:tc>
        <w:tc>
          <w:tcPr>
            <w:tcW w:type="dxa" w:w="3005"/>
          </w:tcPr>
          <w:p>
            <w:pPr>
              <w:spacing w:after="0" w:line="240" w:lineRule="auto"/>
            </w:pPr>
            <w:r/>
            <w:r>
              <w:rPr>
                <w:sz w:val="18"/>
              </w:rPr>
              <w:t>Jalour model</w:t>
            </w:r>
          </w:p>
        </w:tc>
      </w:tr>
      <w:tr>
        <w:trPr>
          <w:cantSplit/>
        </w:trPr>
        <w:tc>
          <w:tcPr>
            <w:tcW w:type="dxa" w:w="2041"/>
            <w:shd w:val="clear" w:color="auto" w:fill="F2F4F7"/>
          </w:tcPr>
          <w:p>
            <w:pPr>
              <w:spacing w:after="0" w:line="240" w:lineRule="auto"/>
            </w:pPr>
            <w:r/>
            <w:r>
              <w:rPr>
                <w:sz w:val="18"/>
              </w:rPr>
              <w:t>Landlord</w:t>
            </w:r>
          </w:p>
        </w:tc>
        <w:tc>
          <w:tcPr>
            <w:tcW w:type="dxa" w:w="4195"/>
            <w:shd w:val="clear" w:color="auto" w:fill="F2F4F7"/>
          </w:tcPr>
          <w:p>
            <w:pPr>
              <w:spacing w:after="0" w:line="240" w:lineRule="auto"/>
            </w:pPr>
            <w:r/>
            <w:r>
              <w:rPr>
                <w:sz w:val="18"/>
              </w:rPr>
              <w:t>35% share; guarantee schedule; excess from year 8</w:t>
            </w:r>
          </w:p>
        </w:tc>
        <w:tc>
          <w:tcPr>
            <w:tcW w:type="dxa" w:w="3005"/>
            <w:shd w:val="clear" w:color="auto" w:fill="F2F4F7"/>
          </w:tcPr>
          <w:p>
            <w:pPr>
              <w:spacing w:after="0" w:line="240" w:lineRule="auto"/>
            </w:pPr>
            <w:r/>
            <w:r>
              <w:rPr>
                <w:sz w:val="18"/>
              </w:rPr>
              <w:t>Agreement terms (section 6)</w:t>
            </w:r>
          </w:p>
        </w:tc>
      </w:tr>
      <w:tr>
        <w:trPr>
          <w:cantSplit/>
        </w:trPr>
        <w:tc>
          <w:tcPr>
            <w:tcW w:type="dxa" w:w="2041"/>
          </w:tcPr>
          <w:p>
            <w:pPr>
              <w:spacing w:after="0" w:line="240" w:lineRule="auto"/>
            </w:pPr>
            <w:r/>
            <w:r>
              <w:rPr>
                <w:sz w:val="18"/>
              </w:rPr>
              <w:t>Timeline</w:t>
            </w:r>
          </w:p>
        </w:tc>
        <w:tc>
          <w:tcPr>
            <w:tcW w:type="dxa" w:w="4195"/>
          </w:tcPr>
          <w:p>
            <w:pPr>
              <w:spacing w:after="0" w:line="240" w:lineRule="auto"/>
            </w:pPr>
            <w:r/>
            <w:r>
              <w:rPr>
                <w:sz w:val="18"/>
              </w:rPr>
              <w:t>Month 1 is the start of the model; investor funds in month 12</w:t>
            </w:r>
          </w:p>
        </w:tc>
        <w:tc>
          <w:tcPr>
            <w:tcW w:type="dxa" w:w="3005"/>
          </w:tcPr>
          <w:p>
            <w:pPr>
              <w:spacing w:after="0" w:line="240" w:lineRule="auto"/>
            </w:pPr>
            <w:r/>
            <w:r>
              <w:rPr>
                <w:sz w:val="18"/>
              </w:rPr>
              <w:t>Assumption</w:t>
            </w:r>
          </w:p>
        </w:tc>
      </w:tr>
    </w:tbl>
    <w:p>
      <w:pPr>
        <w:spacing w:after="80"/>
      </w:pPr>
    </w:p>
    <w:p>
      <w:r>
        <w:rPr>
          <w:b w:val="0"/>
          <w:i w:val="0"/>
        </w:rPr>
        <w:t>The model is quarterly, in EGP million. Net cash flow equals collections less landlord payments, construction, commission and SG&amp;A. It excludes the retained units, any financing costs and taxes, and any cost escalation.</w:t>
      </w:r>
    </w:p>
    <w:p>
      <w:pPr>
        <w:pStyle w:val="Heading1"/>
        <w:pageBreakBefore/>
      </w:pPr>
      <w:r>
        <w:t>9. Sales and collections model</w:t>
      </w:r>
    </w:p>
    <w:p>
      <w:pPr>
        <w:keepNext/>
        <w:spacing w:after="60"/>
      </w:pPr>
      <w:r>
        <w:rPr>
          <w:b/>
          <w:color w:val="17324D"/>
          <w:sz w:val="19"/>
        </w:rPr>
        <w:t>Table 11: Sales plan by tranche (80% of units)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8"/>
              </w:rPr>
              <w:t>Quarter of sale</w:t>
            </w:r>
          </w:p>
        </w:tc>
        <w:tc>
          <w:tcPr>
            <w:tcW w:type="dxa" w:w="1701"/>
            <w:shd w:val="clear" w:color="auto" w:fill="17324D"/>
          </w:tcPr>
          <w:p>
            <w:pPr>
              <w:spacing w:after="0" w:line="240" w:lineRule="auto"/>
              <w:jc w:val="right"/>
            </w:pPr>
            <w:r/>
            <w:r>
              <w:rPr>
                <w:b/>
                <w:color w:val="FFFFFF"/>
                <w:sz w:val="18"/>
              </w:rPr>
              <w:t>Retail (EGP m)</w:t>
            </w:r>
          </w:p>
        </w:tc>
        <w:tc>
          <w:tcPr>
            <w:tcW w:type="dxa" w:w="1814"/>
            <w:shd w:val="clear" w:color="auto" w:fill="17324D"/>
          </w:tcPr>
          <w:p>
            <w:pPr>
              <w:spacing w:after="0" w:line="240" w:lineRule="auto"/>
              <w:jc w:val="right"/>
            </w:pPr>
            <w:r/>
            <w:r>
              <w:rPr>
                <w:b/>
                <w:color w:val="FFFFFF"/>
                <w:sz w:val="18"/>
              </w:rPr>
              <w:t>Offices (EGP m)</w:t>
            </w:r>
          </w:p>
        </w:tc>
        <w:tc>
          <w:tcPr>
            <w:tcW w:type="dxa" w:w="1928"/>
            <w:shd w:val="clear" w:color="auto" w:fill="17324D"/>
          </w:tcPr>
          <w:p>
            <w:pPr>
              <w:spacing w:after="0" w:line="240" w:lineRule="auto"/>
              <w:jc w:val="right"/>
            </w:pPr>
            <w:r/>
            <w:r>
              <w:rPr>
                <w:b/>
                <w:color w:val="FFFFFF"/>
                <w:sz w:val="18"/>
              </w:rPr>
              <w:t>Retail price (EGP k/m2)</w:t>
            </w:r>
          </w:p>
        </w:tc>
        <w:tc>
          <w:tcPr>
            <w:tcW w:type="dxa" w:w="1871"/>
            <w:shd w:val="clear" w:color="auto" w:fill="17324D"/>
          </w:tcPr>
          <w:p>
            <w:pPr>
              <w:spacing w:after="0" w:line="240" w:lineRule="auto"/>
              <w:jc w:val="right"/>
            </w:pPr>
            <w:r/>
            <w:r>
              <w:rPr>
                <w:b/>
                <w:color w:val="FFFFFF"/>
                <w:sz w:val="18"/>
              </w:rPr>
              <w:t>Office price (EGP k/m2)</w:t>
            </w:r>
          </w:p>
        </w:tc>
      </w:tr>
      <w:tr>
        <w:trPr>
          <w:cantSplit/>
        </w:trPr>
        <w:tc>
          <w:tcPr>
            <w:tcW w:type="dxa" w:w="1928"/>
          </w:tcPr>
          <w:p>
            <w:pPr>
              <w:spacing w:after="0" w:line="240" w:lineRule="auto"/>
            </w:pPr>
            <w:r/>
            <w:r>
              <w:rPr>
                <w:sz w:val="18"/>
              </w:rPr>
              <w:t>Month 15</w:t>
            </w:r>
          </w:p>
        </w:tc>
        <w:tc>
          <w:tcPr>
            <w:tcW w:type="dxa" w:w="1701"/>
          </w:tcPr>
          <w:p>
            <w:pPr>
              <w:spacing w:after="0" w:line="240" w:lineRule="auto"/>
              <w:jc w:val="right"/>
            </w:pPr>
            <w:r/>
            <w:r>
              <w:rPr>
                <w:sz w:val="18"/>
              </w:rPr>
              <w:t>111.8</w:t>
            </w:r>
          </w:p>
        </w:tc>
        <w:tc>
          <w:tcPr>
            <w:tcW w:type="dxa" w:w="1814"/>
          </w:tcPr>
          <w:p>
            <w:pPr>
              <w:spacing w:after="0" w:line="240" w:lineRule="auto"/>
              <w:jc w:val="right"/>
            </w:pPr>
            <w:r/>
            <w:r>
              <w:rPr>
                <w:sz w:val="18"/>
              </w:rPr>
              <w:t>250.5</w:t>
            </w:r>
          </w:p>
        </w:tc>
        <w:tc>
          <w:tcPr>
            <w:tcW w:type="dxa" w:w="1928"/>
          </w:tcPr>
          <w:p>
            <w:pPr>
              <w:spacing w:after="0" w:line="240" w:lineRule="auto"/>
              <w:jc w:val="right"/>
            </w:pPr>
            <w:r/>
            <w:r>
              <w:rPr>
                <w:sz w:val="18"/>
              </w:rPr>
              <w:t>250</w:t>
            </w:r>
          </w:p>
        </w:tc>
        <w:tc>
          <w:tcPr>
            <w:tcW w:type="dxa" w:w="1871"/>
          </w:tcPr>
          <w:p>
            <w:pPr>
              <w:spacing w:after="0" w:line="240" w:lineRule="auto"/>
              <w:jc w:val="right"/>
            </w:pPr>
            <w:r/>
            <w:r>
              <w:rPr>
                <w:sz w:val="18"/>
              </w:rPr>
              <w:t>160</w:t>
            </w:r>
          </w:p>
        </w:tc>
      </w:tr>
      <w:tr>
        <w:trPr>
          <w:cantSplit/>
        </w:trPr>
        <w:tc>
          <w:tcPr>
            <w:tcW w:type="dxa" w:w="1928"/>
            <w:shd w:val="clear" w:color="auto" w:fill="F2F4F7"/>
          </w:tcPr>
          <w:p>
            <w:pPr>
              <w:spacing w:after="0" w:line="240" w:lineRule="auto"/>
            </w:pPr>
            <w:r/>
            <w:r>
              <w:rPr>
                <w:sz w:val="18"/>
              </w:rPr>
              <w:t>Month 18</w:t>
            </w:r>
          </w:p>
        </w:tc>
        <w:tc>
          <w:tcPr>
            <w:tcW w:type="dxa" w:w="1701"/>
            <w:shd w:val="clear" w:color="auto" w:fill="F2F4F7"/>
          </w:tcPr>
          <w:p>
            <w:pPr>
              <w:spacing w:after="0" w:line="240" w:lineRule="auto"/>
              <w:jc w:val="right"/>
            </w:pPr>
            <w:r/>
            <w:r>
              <w:rPr>
                <w:sz w:val="18"/>
              </w:rPr>
              <w:t>111.8</w:t>
            </w:r>
          </w:p>
        </w:tc>
        <w:tc>
          <w:tcPr>
            <w:tcW w:type="dxa" w:w="1814"/>
            <w:shd w:val="clear" w:color="auto" w:fill="F2F4F7"/>
          </w:tcPr>
          <w:p>
            <w:pPr>
              <w:spacing w:after="0" w:line="240" w:lineRule="auto"/>
              <w:jc w:val="right"/>
            </w:pPr>
            <w:r/>
            <w:r>
              <w:rPr>
                <w:sz w:val="18"/>
              </w:rPr>
              <w:t>250.5</w:t>
            </w:r>
          </w:p>
        </w:tc>
        <w:tc>
          <w:tcPr>
            <w:tcW w:type="dxa" w:w="1928"/>
            <w:shd w:val="clear" w:color="auto" w:fill="F2F4F7"/>
          </w:tcPr>
          <w:p>
            <w:pPr>
              <w:spacing w:after="0" w:line="240" w:lineRule="auto"/>
              <w:jc w:val="right"/>
            </w:pPr>
            <w:r/>
            <w:r>
              <w:rPr>
                <w:sz w:val="18"/>
              </w:rPr>
              <w:t>250</w:t>
            </w:r>
          </w:p>
        </w:tc>
        <w:tc>
          <w:tcPr>
            <w:tcW w:type="dxa" w:w="1871"/>
            <w:shd w:val="clear" w:color="auto" w:fill="F2F4F7"/>
          </w:tcPr>
          <w:p>
            <w:pPr>
              <w:spacing w:after="0" w:line="240" w:lineRule="auto"/>
              <w:jc w:val="right"/>
            </w:pPr>
            <w:r/>
            <w:r>
              <w:rPr>
                <w:sz w:val="18"/>
              </w:rPr>
              <w:t>160</w:t>
            </w:r>
          </w:p>
        </w:tc>
      </w:tr>
      <w:tr>
        <w:trPr>
          <w:cantSplit/>
        </w:trPr>
        <w:tc>
          <w:tcPr>
            <w:tcW w:type="dxa" w:w="1928"/>
          </w:tcPr>
          <w:p>
            <w:pPr>
              <w:spacing w:after="0" w:line="240" w:lineRule="auto"/>
            </w:pPr>
            <w:r/>
            <w:r>
              <w:rPr>
                <w:sz w:val="18"/>
              </w:rPr>
              <w:t>Month 21</w:t>
            </w:r>
          </w:p>
        </w:tc>
        <w:tc>
          <w:tcPr>
            <w:tcW w:type="dxa" w:w="1701"/>
          </w:tcPr>
          <w:p>
            <w:pPr>
              <w:spacing w:after="0" w:line="240" w:lineRule="auto"/>
              <w:jc w:val="right"/>
            </w:pPr>
            <w:r/>
            <w:r>
              <w:rPr>
                <w:sz w:val="18"/>
              </w:rPr>
              <w:t>123.0</w:t>
            </w:r>
          </w:p>
        </w:tc>
        <w:tc>
          <w:tcPr>
            <w:tcW w:type="dxa" w:w="1814"/>
          </w:tcPr>
          <w:p>
            <w:pPr>
              <w:spacing w:after="0" w:line="240" w:lineRule="auto"/>
              <w:jc w:val="right"/>
            </w:pPr>
            <w:r/>
            <w:r>
              <w:rPr>
                <w:sz w:val="18"/>
              </w:rPr>
              <w:t>187.9</w:t>
            </w:r>
          </w:p>
        </w:tc>
        <w:tc>
          <w:tcPr>
            <w:tcW w:type="dxa" w:w="1928"/>
          </w:tcPr>
          <w:p>
            <w:pPr>
              <w:spacing w:after="0" w:line="240" w:lineRule="auto"/>
              <w:jc w:val="right"/>
            </w:pPr>
            <w:r/>
            <w:r>
              <w:rPr>
                <w:sz w:val="18"/>
              </w:rPr>
              <w:t>275</w:t>
            </w:r>
          </w:p>
        </w:tc>
        <w:tc>
          <w:tcPr>
            <w:tcW w:type="dxa" w:w="1871"/>
          </w:tcPr>
          <w:p>
            <w:pPr>
              <w:spacing w:after="0" w:line="240" w:lineRule="auto"/>
              <w:jc w:val="right"/>
            </w:pPr>
            <w:r/>
            <w:r>
              <w:rPr>
                <w:sz w:val="18"/>
              </w:rPr>
              <w:t>180</w:t>
            </w:r>
          </w:p>
        </w:tc>
      </w:tr>
      <w:tr>
        <w:trPr>
          <w:cantSplit/>
        </w:trPr>
        <w:tc>
          <w:tcPr>
            <w:tcW w:type="dxa" w:w="1928"/>
            <w:shd w:val="clear" w:color="auto" w:fill="F2F4F7"/>
          </w:tcPr>
          <w:p>
            <w:pPr>
              <w:spacing w:after="0" w:line="240" w:lineRule="auto"/>
            </w:pPr>
            <w:r/>
            <w:r>
              <w:rPr>
                <w:sz w:val="18"/>
              </w:rPr>
              <w:t>Month 24</w:t>
            </w:r>
          </w:p>
        </w:tc>
        <w:tc>
          <w:tcPr>
            <w:tcW w:type="dxa" w:w="1701"/>
            <w:shd w:val="clear" w:color="auto" w:fill="F2F4F7"/>
          </w:tcPr>
          <w:p>
            <w:pPr>
              <w:spacing w:after="0" w:line="240" w:lineRule="auto"/>
              <w:jc w:val="right"/>
            </w:pPr>
            <w:r/>
            <w:r>
              <w:rPr>
                <w:sz w:val="18"/>
              </w:rPr>
              <w:t>86.1</w:t>
            </w:r>
          </w:p>
        </w:tc>
        <w:tc>
          <w:tcPr>
            <w:tcW w:type="dxa" w:w="1814"/>
            <w:shd w:val="clear" w:color="auto" w:fill="F2F4F7"/>
          </w:tcPr>
          <w:p>
            <w:pPr>
              <w:spacing w:after="0" w:line="240" w:lineRule="auto"/>
              <w:jc w:val="right"/>
            </w:pPr>
            <w:r/>
            <w:r>
              <w:rPr>
                <w:sz w:val="18"/>
              </w:rPr>
              <w:t>93.9</w:t>
            </w:r>
          </w:p>
        </w:tc>
        <w:tc>
          <w:tcPr>
            <w:tcW w:type="dxa" w:w="1928"/>
            <w:shd w:val="clear" w:color="auto" w:fill="F2F4F7"/>
          </w:tcPr>
          <w:p>
            <w:pPr>
              <w:spacing w:after="0" w:line="240" w:lineRule="auto"/>
              <w:jc w:val="right"/>
            </w:pPr>
            <w:r/>
            <w:r>
              <w:rPr>
                <w:sz w:val="18"/>
              </w:rPr>
              <w:t>275</w:t>
            </w:r>
          </w:p>
        </w:tc>
        <w:tc>
          <w:tcPr>
            <w:tcW w:type="dxa" w:w="1871"/>
            <w:shd w:val="clear" w:color="auto" w:fill="F2F4F7"/>
          </w:tcPr>
          <w:p>
            <w:pPr>
              <w:spacing w:after="0" w:line="240" w:lineRule="auto"/>
              <w:jc w:val="right"/>
            </w:pPr>
            <w:r/>
            <w:r>
              <w:rPr>
                <w:sz w:val="18"/>
              </w:rPr>
              <w:t>180</w:t>
            </w:r>
          </w:p>
        </w:tc>
      </w:tr>
      <w:tr>
        <w:trPr>
          <w:cantSplit/>
        </w:trPr>
        <w:tc>
          <w:tcPr>
            <w:tcW w:type="dxa" w:w="1928"/>
          </w:tcPr>
          <w:p>
            <w:pPr>
              <w:spacing w:after="0" w:line="240" w:lineRule="auto"/>
            </w:pPr>
            <w:r/>
            <w:r>
              <w:rPr>
                <w:sz w:val="18"/>
              </w:rPr>
              <w:t>Month 27</w:t>
            </w:r>
          </w:p>
        </w:tc>
        <w:tc>
          <w:tcPr>
            <w:tcW w:type="dxa" w:w="1701"/>
          </w:tcPr>
          <w:p>
            <w:pPr>
              <w:spacing w:after="0" w:line="240" w:lineRule="auto"/>
              <w:jc w:val="right"/>
            </w:pPr>
            <w:r/>
            <w:r>
              <w:rPr>
                <w:sz w:val="18"/>
              </w:rPr>
              <w:t>93.9</w:t>
            </w:r>
          </w:p>
        </w:tc>
        <w:tc>
          <w:tcPr>
            <w:tcW w:type="dxa" w:w="1814"/>
          </w:tcPr>
          <w:p>
            <w:pPr>
              <w:spacing w:after="0" w:line="240" w:lineRule="auto"/>
              <w:jc w:val="right"/>
            </w:pPr>
            <w:r/>
            <w:r>
              <w:rPr>
                <w:sz w:val="18"/>
              </w:rPr>
              <w:t>104.4</w:t>
            </w:r>
          </w:p>
        </w:tc>
        <w:tc>
          <w:tcPr>
            <w:tcW w:type="dxa" w:w="1928"/>
          </w:tcPr>
          <w:p>
            <w:pPr>
              <w:spacing w:after="0" w:line="240" w:lineRule="auto"/>
              <w:jc w:val="right"/>
            </w:pPr>
            <w:r/>
            <w:r>
              <w:rPr>
                <w:sz w:val="18"/>
              </w:rPr>
              <w:t>300</w:t>
            </w:r>
          </w:p>
        </w:tc>
        <w:tc>
          <w:tcPr>
            <w:tcW w:type="dxa" w:w="1871"/>
          </w:tcPr>
          <w:p>
            <w:pPr>
              <w:spacing w:after="0" w:line="240" w:lineRule="auto"/>
              <w:jc w:val="right"/>
            </w:pPr>
            <w:r/>
            <w:r>
              <w:rPr>
                <w:sz w:val="18"/>
              </w:rPr>
              <w:t>200</w:t>
            </w:r>
          </w:p>
        </w:tc>
      </w:tr>
      <w:tr>
        <w:trPr>
          <w:cantSplit/>
        </w:trPr>
        <w:tc>
          <w:tcPr>
            <w:tcW w:type="dxa" w:w="1928"/>
            <w:shd w:val="clear" w:color="auto" w:fill="F2F4F7"/>
          </w:tcPr>
          <w:p>
            <w:pPr>
              <w:spacing w:after="0" w:line="240" w:lineRule="auto"/>
            </w:pPr>
            <w:r/>
            <w:r>
              <w:rPr>
                <w:sz w:val="18"/>
              </w:rPr>
              <w:t>Month 30</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104.4</w:t>
            </w:r>
          </w:p>
        </w:tc>
        <w:tc>
          <w:tcPr>
            <w:tcW w:type="dxa" w:w="1928"/>
            <w:shd w:val="clear" w:color="auto" w:fill="F2F4F7"/>
          </w:tcPr>
          <w:p>
            <w:pPr>
              <w:spacing w:after="0" w:line="240" w:lineRule="auto"/>
              <w:jc w:val="right"/>
            </w:pPr>
            <w:r/>
            <w:r>
              <w:rPr>
                <w:sz w:val="18"/>
              </w:rPr>
              <w:t>300</w:t>
            </w:r>
          </w:p>
        </w:tc>
        <w:tc>
          <w:tcPr>
            <w:tcW w:type="dxa" w:w="1871"/>
            <w:shd w:val="clear" w:color="auto" w:fill="F2F4F7"/>
          </w:tcPr>
          <w:p>
            <w:pPr>
              <w:spacing w:after="0" w:line="240" w:lineRule="auto"/>
              <w:jc w:val="right"/>
            </w:pPr>
            <w:r/>
            <w:r>
              <w:rPr>
                <w:sz w:val="18"/>
              </w:rPr>
              <w:t>200</w:t>
            </w:r>
          </w:p>
        </w:tc>
      </w:tr>
      <w:tr>
        <w:trPr>
          <w:cantSplit/>
        </w:trPr>
        <w:tc>
          <w:tcPr>
            <w:tcW w:type="dxa" w:w="1928"/>
          </w:tcPr>
          <w:p>
            <w:pPr>
              <w:spacing w:after="0" w:line="240" w:lineRule="auto"/>
            </w:pPr>
            <w:r/>
            <w:r>
              <w:rPr>
                <w:sz w:val="18"/>
              </w:rPr>
              <w:t>Month 33</w:t>
            </w:r>
          </w:p>
        </w:tc>
        <w:tc>
          <w:tcPr>
            <w:tcW w:type="dxa" w:w="1701"/>
          </w:tcPr>
          <w:p>
            <w:pPr>
              <w:spacing w:after="0" w:line="240" w:lineRule="auto"/>
              <w:jc w:val="right"/>
            </w:pPr>
            <w:r/>
            <w:r>
              <w:rPr>
                <w:sz w:val="18"/>
              </w:rPr>
              <w:t>73.8</w:t>
            </w:r>
          </w:p>
        </w:tc>
        <w:tc>
          <w:tcPr>
            <w:tcW w:type="dxa" w:w="1814"/>
          </w:tcPr>
          <w:p>
            <w:pPr>
              <w:spacing w:after="0" w:line="240" w:lineRule="auto"/>
              <w:jc w:val="right"/>
            </w:pPr>
            <w:r/>
            <w:r>
              <w:rPr>
                <w:sz w:val="18"/>
              </w:rPr>
              <w:t>114.8</w:t>
            </w:r>
          </w:p>
        </w:tc>
        <w:tc>
          <w:tcPr>
            <w:tcW w:type="dxa" w:w="1928"/>
          </w:tcPr>
          <w:p>
            <w:pPr>
              <w:spacing w:after="0" w:line="240" w:lineRule="auto"/>
              <w:jc w:val="right"/>
            </w:pPr>
            <w:r/>
            <w:r>
              <w:rPr>
                <w:sz w:val="18"/>
              </w:rPr>
              <w:t>330</w:t>
            </w:r>
          </w:p>
        </w:tc>
        <w:tc>
          <w:tcPr>
            <w:tcW w:type="dxa" w:w="1871"/>
          </w:tcPr>
          <w:p>
            <w:pPr>
              <w:spacing w:after="0" w:line="240" w:lineRule="auto"/>
              <w:jc w:val="right"/>
            </w:pPr>
            <w:r/>
            <w:r>
              <w:rPr>
                <w:sz w:val="18"/>
              </w:rPr>
              <w:t>220</w:t>
            </w:r>
          </w:p>
        </w:tc>
      </w:tr>
      <w:tr>
        <w:trPr>
          <w:cantSplit/>
        </w:trPr>
        <w:tc>
          <w:tcPr>
            <w:tcW w:type="dxa" w:w="1928"/>
            <w:shd w:val="clear" w:color="auto" w:fill="F2F4F7"/>
          </w:tcPr>
          <w:p>
            <w:pPr>
              <w:spacing w:after="0" w:line="240" w:lineRule="auto"/>
            </w:pPr>
            <w:r/>
            <w:r>
              <w:rPr>
                <w:sz w:val="18"/>
              </w:rPr>
              <w:t>Month 36</w:t>
            </w:r>
          </w:p>
        </w:tc>
        <w:tc>
          <w:tcPr>
            <w:tcW w:type="dxa" w:w="1701"/>
            <w:shd w:val="clear" w:color="auto" w:fill="F2F4F7"/>
          </w:tcPr>
          <w:p>
            <w:pPr>
              <w:spacing w:after="0" w:line="240" w:lineRule="auto"/>
              <w:jc w:val="right"/>
            </w:pPr>
            <w:r/>
            <w:r>
              <w:rPr>
                <w:sz w:val="18"/>
              </w:rPr>
              <w:t>73.8</w:t>
            </w:r>
          </w:p>
        </w:tc>
        <w:tc>
          <w:tcPr>
            <w:tcW w:type="dxa" w:w="1814"/>
            <w:shd w:val="clear" w:color="auto" w:fill="F2F4F7"/>
          </w:tcPr>
          <w:p>
            <w:pPr>
              <w:spacing w:after="0" w:line="240" w:lineRule="auto"/>
              <w:jc w:val="right"/>
            </w:pPr>
            <w:r/>
            <w:r>
              <w:rPr>
                <w:sz w:val="18"/>
              </w:rPr>
              <w:t>114.8</w:t>
            </w:r>
          </w:p>
        </w:tc>
        <w:tc>
          <w:tcPr>
            <w:tcW w:type="dxa" w:w="1928"/>
            <w:shd w:val="clear" w:color="auto" w:fill="F2F4F7"/>
          </w:tcPr>
          <w:p>
            <w:pPr>
              <w:spacing w:after="0" w:line="240" w:lineRule="auto"/>
              <w:jc w:val="right"/>
            </w:pPr>
            <w:r/>
            <w:r>
              <w:rPr>
                <w:sz w:val="18"/>
              </w:rPr>
              <w:t>330</w:t>
            </w:r>
          </w:p>
        </w:tc>
        <w:tc>
          <w:tcPr>
            <w:tcW w:type="dxa" w:w="1871"/>
            <w:shd w:val="clear" w:color="auto" w:fill="F2F4F7"/>
          </w:tcPr>
          <w:p>
            <w:pPr>
              <w:spacing w:after="0" w:line="240" w:lineRule="auto"/>
              <w:jc w:val="right"/>
            </w:pPr>
            <w:r/>
            <w:r>
              <w:rPr>
                <w:sz w:val="18"/>
              </w:rPr>
              <w:t>220</w:t>
            </w:r>
          </w:p>
        </w:tc>
      </w:tr>
      <w:tr>
        <w:trPr>
          <w:cantSplit/>
        </w:trPr>
        <w:tc>
          <w:tcPr>
            <w:tcW w:type="dxa" w:w="1928"/>
          </w:tcPr>
          <w:p>
            <w:pPr>
              <w:spacing w:after="0" w:line="240" w:lineRule="auto"/>
            </w:pPr>
            <w:r/>
            <w:r>
              <w:rPr>
                <w:sz w:val="18"/>
              </w:rPr>
              <w:t>Month 39</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125.2</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42</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125.2</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sz w:val="18"/>
              </w:rPr>
              <w:t>Month 45</w:t>
            </w:r>
          </w:p>
        </w:tc>
        <w:tc>
          <w:tcPr>
            <w:tcW w:type="dxa" w:w="1701"/>
          </w:tcPr>
          <w:p>
            <w:pPr>
              <w:spacing w:after="0" w:line="240" w:lineRule="auto"/>
              <w:jc w:val="right"/>
            </w:pPr>
            <w:r/>
            <w:r>
              <w:rPr>
                <w:sz w:val="18"/>
              </w:rPr>
              <w:t>80.5</w:t>
            </w:r>
          </w:p>
        </w:tc>
        <w:tc>
          <w:tcPr>
            <w:tcW w:type="dxa" w:w="1814"/>
          </w:tcPr>
          <w:p>
            <w:pPr>
              <w:spacing w:after="0" w:line="240" w:lineRule="auto"/>
              <w:jc w:val="right"/>
            </w:pPr>
            <w:r/>
            <w:r>
              <w:rPr>
                <w:sz w:val="18"/>
              </w:rPr>
              <w:t>62.6</w:t>
            </w:r>
          </w:p>
        </w:tc>
        <w:tc>
          <w:tcPr>
            <w:tcW w:type="dxa" w:w="1928"/>
          </w:tcPr>
          <w:p>
            <w:pPr>
              <w:spacing w:after="0" w:line="240" w:lineRule="auto"/>
              <w:jc w:val="right"/>
            </w:pPr>
            <w:r/>
            <w:r>
              <w:rPr>
                <w:sz w:val="18"/>
              </w:rPr>
              <w:t>360</w:t>
            </w:r>
          </w:p>
        </w:tc>
        <w:tc>
          <w:tcPr>
            <w:tcW w:type="dxa" w:w="1871"/>
          </w:tcPr>
          <w:p>
            <w:pPr>
              <w:spacing w:after="0" w:line="240" w:lineRule="auto"/>
              <w:jc w:val="right"/>
            </w:pPr>
            <w:r/>
            <w:r>
              <w:rPr>
                <w:sz w:val="18"/>
              </w:rPr>
              <w:t>240</w:t>
            </w:r>
          </w:p>
        </w:tc>
      </w:tr>
      <w:tr>
        <w:trPr>
          <w:cantSplit/>
        </w:trPr>
        <w:tc>
          <w:tcPr>
            <w:tcW w:type="dxa" w:w="1928"/>
            <w:shd w:val="clear" w:color="auto" w:fill="F2F4F7"/>
          </w:tcPr>
          <w:p>
            <w:pPr>
              <w:spacing w:after="0" w:line="240" w:lineRule="auto"/>
            </w:pPr>
            <w:r/>
            <w:r>
              <w:rPr>
                <w:sz w:val="18"/>
              </w:rPr>
              <w:t>Month 48</w:t>
            </w:r>
          </w:p>
        </w:tc>
        <w:tc>
          <w:tcPr>
            <w:tcW w:type="dxa" w:w="1701"/>
            <w:shd w:val="clear" w:color="auto" w:fill="F2F4F7"/>
          </w:tcPr>
          <w:p>
            <w:pPr>
              <w:spacing w:after="0" w:line="240" w:lineRule="auto"/>
              <w:jc w:val="right"/>
            </w:pPr>
            <w:r/>
            <w:r>
              <w:rPr>
                <w:sz w:val="18"/>
              </w:rPr>
              <w:t>80.5</w:t>
            </w:r>
          </w:p>
        </w:tc>
        <w:tc>
          <w:tcPr>
            <w:tcW w:type="dxa" w:w="1814"/>
            <w:shd w:val="clear" w:color="auto" w:fill="F2F4F7"/>
          </w:tcPr>
          <w:p>
            <w:pPr>
              <w:spacing w:after="0" w:line="240" w:lineRule="auto"/>
              <w:jc w:val="right"/>
            </w:pPr>
            <w:r/>
            <w:r>
              <w:rPr>
                <w:sz w:val="18"/>
              </w:rPr>
              <w:t>62.6</w:t>
            </w:r>
          </w:p>
        </w:tc>
        <w:tc>
          <w:tcPr>
            <w:tcW w:type="dxa" w:w="1928"/>
            <w:shd w:val="clear" w:color="auto" w:fill="F2F4F7"/>
          </w:tcPr>
          <w:p>
            <w:pPr>
              <w:spacing w:after="0" w:line="240" w:lineRule="auto"/>
              <w:jc w:val="right"/>
            </w:pPr>
            <w:r/>
            <w:r>
              <w:rPr>
                <w:sz w:val="18"/>
              </w:rPr>
              <w:t>360</w:t>
            </w:r>
          </w:p>
        </w:tc>
        <w:tc>
          <w:tcPr>
            <w:tcW w:type="dxa" w:w="1871"/>
            <w:shd w:val="clear" w:color="auto" w:fill="F2F4F7"/>
          </w:tcPr>
          <w:p>
            <w:pPr>
              <w:spacing w:after="0" w:line="240" w:lineRule="auto"/>
              <w:jc w:val="right"/>
            </w:pPr>
            <w:r/>
            <w:r>
              <w:rPr>
                <w:sz w:val="18"/>
              </w:rPr>
              <w:t>240</w:t>
            </w:r>
          </w:p>
        </w:tc>
      </w:tr>
      <w:tr>
        <w:trPr>
          <w:cantSplit/>
        </w:trPr>
        <w:tc>
          <w:tcPr>
            <w:tcW w:type="dxa" w:w="1928"/>
          </w:tcPr>
          <w:p>
            <w:pPr>
              <w:spacing w:after="0" w:line="240" w:lineRule="auto"/>
            </w:pPr>
            <w:r/>
            <w:r>
              <w:rPr>
                <w:b/>
                <w:sz w:val="18"/>
              </w:rPr>
              <w:t>Total</w:t>
            </w:r>
          </w:p>
        </w:tc>
        <w:tc>
          <w:tcPr>
            <w:tcW w:type="dxa" w:w="1701"/>
          </w:tcPr>
          <w:p>
            <w:pPr>
              <w:spacing w:after="0" w:line="240" w:lineRule="auto"/>
              <w:jc w:val="right"/>
            </w:pPr>
            <w:r/>
            <w:r>
              <w:rPr>
                <w:b/>
                <w:sz w:val="18"/>
              </w:rPr>
              <w:t>1,076.9</w:t>
            </w:r>
          </w:p>
        </w:tc>
        <w:tc>
          <w:tcPr>
            <w:tcW w:type="dxa" w:w="1814"/>
          </w:tcPr>
          <w:p>
            <w:pPr>
              <w:spacing w:after="0" w:line="240" w:lineRule="auto"/>
              <w:jc w:val="right"/>
            </w:pPr>
            <w:r/>
            <w:r>
              <w:rPr>
                <w:b/>
                <w:sz w:val="18"/>
              </w:rPr>
              <w:t>1,596.9</w:t>
            </w:r>
          </w:p>
        </w:tc>
        <w:tc>
          <w:tcPr>
            <w:tcW w:type="dxa" w:w="1928"/>
          </w:tcPr>
          <w:p>
            <w:pPr>
              <w:spacing w:after="0" w:line="240" w:lineRule="auto"/>
              <w:jc w:val="right"/>
            </w:pPr>
            <w:r/>
            <w:r>
              <w:rPr>
                <w:b/>
                <w:sz w:val="18"/>
              </w:rPr>
            </w:r>
          </w:p>
        </w:tc>
        <w:tc>
          <w:tcPr>
            <w:tcW w:type="dxa" w:w="1871"/>
          </w:tcPr>
          <w:p>
            <w:pPr>
              <w:spacing w:after="0" w:line="240" w:lineRule="auto"/>
              <w:jc w:val="right"/>
            </w:pPr>
            <w:r/>
            <w:r>
              <w:rPr>
                <w:b/>
                <w:sz w:val="18"/>
              </w:rPr>
            </w:r>
          </w:p>
        </w:tc>
      </w:tr>
    </w:tbl>
    <w:p>
      <w:pPr>
        <w:spacing w:after="80"/>
      </w:pPr>
    </w:p>
    <w:p>
      <w:r>
        <w:rPr>
          <w:b w:val="0"/>
          <w:i w:val="0"/>
        </w:rPr>
        <w:t>Total sales at 100% of units are EGP 3,342 million at modelled prices; the plan sells 80%, EGP 2,674 million. The first two tranches (months 15 and 18) carry the launch list and total EGP 725 million; Option A units come from these.</w:t>
      </w:r>
    </w:p>
    <w:p>
      <w:pPr>
        <w:keepNext/>
        <w:spacing w:after="60"/>
      </w:pPr>
      <w:r>
        <w:rPr>
          <w:b/>
          <w:color w:val="17324D"/>
          <w:sz w:val="19"/>
        </w:rPr>
        <w:t>Table 12: Annual cash flow, EGP million (years 1 to 11;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Project year</w:t>
            </w:r>
          </w:p>
        </w:tc>
        <w:tc>
          <w:tcPr>
            <w:tcW w:type="dxa" w:w="1417"/>
            <w:shd w:val="clear" w:color="auto" w:fill="17324D"/>
          </w:tcPr>
          <w:p>
            <w:pPr>
              <w:spacing w:after="0" w:line="240" w:lineRule="auto"/>
              <w:jc w:val="right"/>
            </w:pPr>
            <w:r/>
            <w:r>
              <w:rPr>
                <w:b/>
                <w:color w:val="FFFFFF"/>
                <w:sz w:val="18"/>
              </w:rPr>
              <w:t>Collections</w:t>
            </w:r>
          </w:p>
        </w:tc>
        <w:tc>
          <w:tcPr>
            <w:tcW w:type="dxa" w:w="1644"/>
            <w:shd w:val="clear" w:color="auto" w:fill="17324D"/>
          </w:tcPr>
          <w:p>
            <w:pPr>
              <w:spacing w:after="0" w:line="240" w:lineRule="auto"/>
              <w:jc w:val="right"/>
            </w:pPr>
            <w:r/>
            <w:r>
              <w:rPr>
                <w:b/>
                <w:color w:val="FFFFFF"/>
                <w:sz w:val="18"/>
              </w:rPr>
              <w:t>Landlord payments</w:t>
            </w:r>
          </w:p>
        </w:tc>
        <w:tc>
          <w:tcPr>
            <w:tcW w:type="dxa" w:w="2041"/>
            <w:shd w:val="clear" w:color="auto" w:fill="17324D"/>
          </w:tcPr>
          <w:p>
            <w:pPr>
              <w:spacing w:after="0" w:line="240" w:lineRule="auto"/>
              <w:jc w:val="right"/>
            </w:pPr>
            <w:r/>
            <w:r>
              <w:rPr>
                <w:b/>
                <w:color w:val="FFFFFF"/>
                <w:sz w:val="18"/>
              </w:rPr>
              <w:t>Construction, commission, SG&amp;A</w:t>
            </w:r>
          </w:p>
        </w:tc>
        <w:tc>
          <w:tcPr>
            <w:tcW w:type="dxa" w:w="1417"/>
            <w:shd w:val="clear" w:color="auto" w:fill="17324D"/>
          </w:tcPr>
          <w:p>
            <w:pPr>
              <w:spacing w:after="0" w:line="240" w:lineRule="auto"/>
              <w:jc w:val="right"/>
            </w:pPr>
            <w:r/>
            <w:r>
              <w:rPr>
                <w:b/>
                <w:color w:val="FFFFFF"/>
                <w:sz w:val="18"/>
              </w:rPr>
              <w:t>Net cash flow</w:t>
            </w:r>
          </w:p>
        </w:tc>
        <w:tc>
          <w:tcPr>
            <w:tcW w:type="dxa" w:w="1361"/>
            <w:shd w:val="clear" w:color="auto" w:fill="17324D"/>
          </w:tcPr>
          <w:p>
            <w:pPr>
              <w:spacing w:after="0" w:line="240" w:lineRule="auto"/>
              <w:jc w:val="right"/>
            </w:pPr>
            <w:r/>
            <w:r>
              <w:rPr>
                <w:b/>
                <w:color w:val="FFFFFF"/>
                <w:sz w:val="18"/>
              </w:rPr>
              <w:t>Cumulative</w:t>
            </w:r>
          </w:p>
        </w:tc>
      </w:tr>
      <w:tr>
        <w:trPr>
          <w:cantSplit/>
        </w:trPr>
        <w:tc>
          <w:tcPr>
            <w:tcW w:type="dxa" w:w="1361"/>
          </w:tcPr>
          <w:p>
            <w:pPr>
              <w:spacing w:after="0" w:line="240" w:lineRule="auto"/>
            </w:pPr>
            <w:r/>
            <w:r>
              <w:rPr>
                <w:sz w:val="18"/>
              </w:rPr>
              <w:t>Year 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-85.0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-85.0</w:t>
            </w:r>
          </w:p>
        </w:tc>
        <w:tc>
          <w:tcPr>
            <w:tcW w:type="dxa" w:w="1361"/>
          </w:tcPr>
          <w:p>
            <w:pPr>
              <w:spacing w:after="0" w:line="240" w:lineRule="auto"/>
              <w:jc w:val="right"/>
            </w:pPr>
            <w:r/>
            <w:r>
              <w:rPr>
                <w:sz w:val="18"/>
              </w:rPr>
              <w:t>-85.0</w:t>
            </w:r>
          </w:p>
        </w:tc>
      </w:tr>
      <w:tr>
        <w:trPr>
          <w:cantSplit/>
        </w:trPr>
        <w:tc>
          <w:tcPr>
            <w:tcW w:type="dxa" w:w="1361"/>
            <w:shd w:val="clear" w:color="auto" w:fill="F2F4F7"/>
          </w:tcPr>
          <w:p>
            <w:pPr>
              <w:spacing w:after="0" w:line="240" w:lineRule="auto"/>
            </w:pPr>
            <w:r/>
            <w:r>
              <w:rPr>
                <w:sz w:val="18"/>
              </w:rPr>
              <w:t>Year 2</w:t>
            </w:r>
          </w:p>
        </w:tc>
        <w:tc>
          <w:tcPr>
            <w:tcW w:type="dxa" w:w="1417"/>
            <w:shd w:val="clear" w:color="auto" w:fill="F2F4F7"/>
          </w:tcPr>
          <w:p>
            <w:pPr>
              <w:spacing w:after="0" w:line="240" w:lineRule="auto"/>
              <w:jc w:val="right"/>
            </w:pPr>
            <w:r/>
            <w:r>
              <w:rPr>
                <w:sz w:val="18"/>
              </w:rPr>
              <w:t>181.6</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-53.4</w:t>
            </w:r>
          </w:p>
        </w:tc>
        <w:tc>
          <w:tcPr>
            <w:tcW w:type="dxa" w:w="1417"/>
            <w:shd w:val="clear" w:color="auto" w:fill="F2F4F7"/>
          </w:tcPr>
          <w:p>
            <w:pPr>
              <w:spacing w:after="0" w:line="240" w:lineRule="auto"/>
              <w:jc w:val="right"/>
            </w:pPr>
            <w:r/>
            <w:r>
              <w:rPr>
                <w:sz w:val="18"/>
              </w:rPr>
              <w:t>38.3</w:t>
            </w:r>
          </w:p>
        </w:tc>
        <w:tc>
          <w:tcPr>
            <w:tcW w:type="dxa" w:w="1361"/>
            <w:shd w:val="clear" w:color="auto" w:fill="F2F4F7"/>
          </w:tcPr>
          <w:p>
            <w:pPr>
              <w:spacing w:after="0" w:line="240" w:lineRule="auto"/>
              <w:jc w:val="right"/>
            </w:pPr>
            <w:r/>
            <w:r>
              <w:rPr>
                <w:sz w:val="18"/>
              </w:rPr>
              <w:t>-46.7</w:t>
            </w:r>
          </w:p>
        </w:tc>
      </w:tr>
      <w:tr>
        <w:trPr>
          <w:cantSplit/>
        </w:trPr>
        <w:tc>
          <w:tcPr>
            <w:tcW w:type="dxa" w:w="1361"/>
          </w:tcPr>
          <w:p>
            <w:pPr>
              <w:spacing w:after="0" w:line="240" w:lineRule="auto"/>
            </w:pPr>
            <w:r/>
            <w:r>
              <w:rPr>
                <w:sz w:val="18"/>
              </w:rPr>
              <w:t>Year 3</w:t>
            </w:r>
          </w:p>
        </w:tc>
        <w:tc>
          <w:tcPr>
            <w:tcW w:type="dxa" w:w="1417"/>
          </w:tcPr>
          <w:p>
            <w:pPr>
              <w:spacing w:after="0" w:line="240" w:lineRule="auto"/>
              <w:jc w:val="right"/>
            </w:pPr>
            <w:r/>
            <w:r>
              <w:rPr>
                <w:sz w:val="18"/>
              </w:rPr>
              <w:t>334.5</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-185.7</w:t>
            </w:r>
          </w:p>
        </w:tc>
        <w:tc>
          <w:tcPr>
            <w:tcW w:type="dxa" w:w="1417"/>
          </w:tcPr>
          <w:p>
            <w:pPr>
              <w:spacing w:after="0" w:line="240" w:lineRule="auto"/>
              <w:jc w:val="right"/>
            </w:pPr>
            <w:r/>
            <w:r>
              <w:rPr>
                <w:sz w:val="18"/>
              </w:rPr>
              <w:t>-31.2</w:t>
            </w:r>
          </w:p>
        </w:tc>
        <w:tc>
          <w:tcPr>
            <w:tcW w:type="dxa" w:w="1361"/>
          </w:tcPr>
          <w:p>
            <w:pPr>
              <w:spacing w:after="0" w:line="240" w:lineRule="auto"/>
              <w:jc w:val="right"/>
            </w:pPr>
            <w:r/>
            <w:r>
              <w:rPr>
                <w:sz w:val="18"/>
              </w:rPr>
              <w:t>-77.9</w:t>
            </w:r>
          </w:p>
        </w:tc>
      </w:tr>
      <w:tr>
        <w:trPr>
          <w:cantSplit/>
        </w:trPr>
        <w:tc>
          <w:tcPr>
            <w:tcW w:type="dxa" w:w="1361"/>
            <w:shd w:val="clear" w:color="auto" w:fill="F2F4F7"/>
          </w:tcPr>
          <w:p>
            <w:pPr>
              <w:spacing w:after="0" w:line="240" w:lineRule="auto"/>
            </w:pPr>
            <w:r/>
            <w:r>
              <w:rPr>
                <w:sz w:val="18"/>
              </w:rPr>
              <w:t>Year 4</w:t>
            </w:r>
          </w:p>
        </w:tc>
        <w:tc>
          <w:tcPr>
            <w:tcW w:type="dxa" w:w="1417"/>
            <w:shd w:val="clear" w:color="auto" w:fill="F2F4F7"/>
          </w:tcPr>
          <w:p>
            <w:pPr>
              <w:spacing w:after="0" w:line="240" w:lineRule="auto"/>
              <w:jc w:val="right"/>
            </w:pPr>
            <w:r/>
            <w:r>
              <w:rPr>
                <w:sz w:val="18"/>
              </w:rPr>
              <w:t>1,094.9</w:t>
            </w:r>
          </w:p>
        </w:tc>
        <w:tc>
          <w:tcPr>
            <w:tcW w:type="dxa" w:w="1644"/>
            <w:shd w:val="clear" w:color="auto" w:fill="F2F4F7"/>
          </w:tcPr>
          <w:p>
            <w:pPr>
              <w:spacing w:after="0" w:line="240" w:lineRule="auto"/>
              <w:jc w:val="right"/>
            </w:pPr>
            <w:r/>
            <w:r>
              <w:rPr>
                <w:sz w:val="18"/>
              </w:rPr>
              <w:t>-225.0</w:t>
            </w:r>
          </w:p>
        </w:tc>
        <w:tc>
          <w:tcPr>
            <w:tcW w:type="dxa" w:w="2041"/>
            <w:shd w:val="clear" w:color="auto" w:fill="F2F4F7"/>
          </w:tcPr>
          <w:p>
            <w:pPr>
              <w:spacing w:after="0" w:line="240" w:lineRule="auto"/>
              <w:jc w:val="right"/>
            </w:pPr>
            <w:r/>
            <w:r>
              <w:rPr>
                <w:sz w:val="18"/>
              </w:rPr>
              <w:t>-318.6</w:t>
            </w:r>
          </w:p>
        </w:tc>
        <w:tc>
          <w:tcPr>
            <w:tcW w:type="dxa" w:w="1417"/>
            <w:shd w:val="clear" w:color="auto" w:fill="F2F4F7"/>
          </w:tcPr>
          <w:p>
            <w:pPr>
              <w:spacing w:after="0" w:line="240" w:lineRule="auto"/>
              <w:jc w:val="right"/>
            </w:pPr>
            <w:r/>
            <w:r>
              <w:rPr>
                <w:sz w:val="18"/>
              </w:rPr>
              <w:t>551.3</w:t>
            </w:r>
          </w:p>
        </w:tc>
        <w:tc>
          <w:tcPr>
            <w:tcW w:type="dxa" w:w="1361"/>
            <w:shd w:val="clear" w:color="auto" w:fill="F2F4F7"/>
          </w:tcPr>
          <w:p>
            <w:pPr>
              <w:spacing w:after="0" w:line="240" w:lineRule="auto"/>
              <w:jc w:val="right"/>
            </w:pPr>
            <w:r/>
            <w:r>
              <w:rPr>
                <w:sz w:val="18"/>
              </w:rPr>
              <w:t>473.4</w:t>
            </w:r>
          </w:p>
        </w:tc>
      </w:tr>
      <w:tr>
        <w:trPr>
          <w:cantSplit/>
        </w:trPr>
        <w:tc>
          <w:tcPr>
            <w:tcW w:type="dxa" w:w="1361"/>
          </w:tcPr>
          <w:p>
            <w:pPr>
              <w:spacing w:after="0" w:line="240" w:lineRule="auto"/>
            </w:pPr>
            <w:r/>
            <w:r>
              <w:rPr>
                <w:sz w:val="18"/>
              </w:rPr>
              <w:t>Year 5</w:t>
            </w:r>
          </w:p>
        </w:tc>
        <w:tc>
          <w:tcPr>
            <w:tcW w:type="dxa" w:w="1417"/>
          </w:tcPr>
          <w:p>
            <w:pPr>
              <w:spacing w:after="0" w:line="240" w:lineRule="auto"/>
              <w:jc w:val="right"/>
            </w:pPr>
            <w:r/>
            <w:r>
              <w:rPr>
                <w:sz w:val="18"/>
              </w:rPr>
              <w:t>375.2</w:t>
            </w:r>
          </w:p>
        </w:tc>
        <w:tc>
          <w:tcPr>
            <w:tcW w:type="dxa" w:w="1644"/>
          </w:tcPr>
          <w:p>
            <w:pPr>
              <w:spacing w:after="0" w:line="240" w:lineRule="auto"/>
              <w:jc w:val="right"/>
            </w:pPr>
            <w:r/>
            <w:r>
              <w:rPr>
                <w:sz w:val="18"/>
              </w:rPr>
              <w:t>-180.0</w:t>
            </w:r>
          </w:p>
        </w:tc>
        <w:tc>
          <w:tcPr>
            <w:tcW w:type="dxa" w:w="2041"/>
          </w:tcPr>
          <w:p>
            <w:pPr>
              <w:spacing w:after="0" w:line="240" w:lineRule="auto"/>
              <w:jc w:val="right"/>
            </w:pPr>
            <w:r/>
            <w:r>
              <w:rPr>
                <w:sz w:val="18"/>
              </w:rPr>
              <w:t>-351.1</w:t>
            </w:r>
          </w:p>
        </w:tc>
        <w:tc>
          <w:tcPr>
            <w:tcW w:type="dxa" w:w="1417"/>
          </w:tcPr>
          <w:p>
            <w:pPr>
              <w:spacing w:after="0" w:line="240" w:lineRule="auto"/>
              <w:jc w:val="right"/>
            </w:pPr>
            <w:r/>
            <w:r>
              <w:rPr>
                <w:sz w:val="18"/>
              </w:rPr>
              <w:t>-155.9</w:t>
            </w:r>
          </w:p>
        </w:tc>
        <w:tc>
          <w:tcPr>
            <w:tcW w:type="dxa" w:w="1361"/>
          </w:tcPr>
          <w:p>
            <w:pPr>
              <w:spacing w:after="0" w:line="240" w:lineRule="auto"/>
              <w:jc w:val="right"/>
            </w:pPr>
            <w:r/>
            <w:r>
              <w:rPr>
                <w:sz w:val="18"/>
              </w:rPr>
              <w:t>317.5</w:t>
            </w:r>
          </w:p>
        </w:tc>
      </w:tr>
      <w:tr>
        <w:trPr>
          <w:cantSplit/>
        </w:trPr>
        <w:tc>
          <w:tcPr>
            <w:tcW w:type="dxa" w:w="1361"/>
            <w:shd w:val="clear" w:color="auto" w:fill="F2F4F7"/>
          </w:tcPr>
          <w:p>
            <w:pPr>
              <w:spacing w:after="0" w:line="240" w:lineRule="auto"/>
            </w:pPr>
            <w:r/>
            <w:r>
              <w:rPr>
                <w:sz w:val="18"/>
              </w:rPr>
              <w:t>Year 6</w:t>
            </w:r>
          </w:p>
        </w:tc>
        <w:tc>
          <w:tcPr>
            <w:tcW w:type="dxa" w:w="1417"/>
            <w:shd w:val="clear" w:color="auto" w:fill="F2F4F7"/>
          </w:tcPr>
          <w:p>
            <w:pPr>
              <w:spacing w:after="0" w:line="240" w:lineRule="auto"/>
              <w:jc w:val="right"/>
            </w:pPr>
            <w:r/>
            <w:r>
              <w:rPr>
                <w:sz w:val="18"/>
              </w:rPr>
              <w:t>259.8</w:t>
            </w:r>
          </w:p>
        </w:tc>
        <w:tc>
          <w:tcPr>
            <w:tcW w:type="dxa" w:w="1644"/>
            <w:shd w:val="clear" w:color="auto" w:fill="F2F4F7"/>
          </w:tcPr>
          <w:p>
            <w:pPr>
              <w:spacing w:after="0" w:line="240" w:lineRule="auto"/>
              <w:jc w:val="right"/>
            </w:pPr>
            <w:r/>
            <w:r>
              <w:rPr>
                <w:sz w:val="18"/>
              </w:rPr>
              <w:t>-90.0</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169.8</w:t>
            </w:r>
          </w:p>
        </w:tc>
        <w:tc>
          <w:tcPr>
            <w:tcW w:type="dxa" w:w="1361"/>
            <w:shd w:val="clear" w:color="auto" w:fill="F2F4F7"/>
          </w:tcPr>
          <w:p>
            <w:pPr>
              <w:spacing w:after="0" w:line="240" w:lineRule="auto"/>
              <w:jc w:val="right"/>
            </w:pPr>
            <w:r/>
            <w:r>
              <w:rPr>
                <w:sz w:val="18"/>
              </w:rPr>
              <w:t>487.4</w:t>
            </w:r>
          </w:p>
        </w:tc>
      </w:tr>
      <w:tr>
        <w:trPr>
          <w:cantSplit/>
        </w:trPr>
        <w:tc>
          <w:tcPr>
            <w:tcW w:type="dxa" w:w="1361"/>
          </w:tcPr>
          <w:p>
            <w:pPr>
              <w:spacing w:after="0" w:line="240" w:lineRule="auto"/>
            </w:pPr>
            <w:r/>
            <w:r>
              <w:rPr>
                <w:sz w:val="18"/>
              </w:rPr>
              <w:t>Year 7</w:t>
            </w:r>
          </w:p>
        </w:tc>
        <w:tc>
          <w:tcPr>
            <w:tcW w:type="dxa" w:w="1417"/>
          </w:tcPr>
          <w:p>
            <w:pPr>
              <w:spacing w:after="0" w:line="240" w:lineRule="auto"/>
              <w:jc w:val="right"/>
            </w:pPr>
            <w:r/>
            <w:r>
              <w:rPr>
                <w:sz w:val="18"/>
              </w:rPr>
              <w:t>204.2</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204.2</w:t>
            </w:r>
          </w:p>
        </w:tc>
        <w:tc>
          <w:tcPr>
            <w:tcW w:type="dxa" w:w="1361"/>
          </w:tcPr>
          <w:p>
            <w:pPr>
              <w:spacing w:after="0" w:line="240" w:lineRule="auto"/>
              <w:jc w:val="right"/>
            </w:pPr>
            <w:r/>
            <w:r>
              <w:rPr>
                <w:sz w:val="18"/>
              </w:rPr>
              <w:t>691.5</w:t>
            </w:r>
          </w:p>
        </w:tc>
      </w:tr>
      <w:tr>
        <w:trPr>
          <w:cantSplit/>
        </w:trPr>
        <w:tc>
          <w:tcPr>
            <w:tcW w:type="dxa" w:w="1361"/>
            <w:shd w:val="clear" w:color="auto" w:fill="F2F4F7"/>
          </w:tcPr>
          <w:p>
            <w:pPr>
              <w:spacing w:after="0" w:line="240" w:lineRule="auto"/>
            </w:pPr>
            <w:r/>
            <w:r>
              <w:rPr>
                <w:sz w:val="18"/>
              </w:rPr>
              <w:t>Year 8</w:t>
            </w:r>
          </w:p>
        </w:tc>
        <w:tc>
          <w:tcPr>
            <w:tcW w:type="dxa" w:w="1417"/>
            <w:shd w:val="clear" w:color="auto" w:fill="F2F4F7"/>
          </w:tcPr>
          <w:p>
            <w:pPr>
              <w:spacing w:after="0" w:line="240" w:lineRule="auto"/>
              <w:jc w:val="right"/>
            </w:pPr>
            <w:r/>
            <w:r>
              <w:rPr>
                <w:sz w:val="18"/>
              </w:rPr>
              <w:t>142.8</w:t>
            </w:r>
          </w:p>
        </w:tc>
        <w:tc>
          <w:tcPr>
            <w:tcW w:type="dxa" w:w="1644"/>
            <w:shd w:val="clear" w:color="auto" w:fill="F2F4F7"/>
          </w:tcPr>
          <w:p>
            <w:pPr>
              <w:spacing w:after="0" w:line="240" w:lineRule="auto"/>
              <w:jc w:val="right"/>
            </w:pPr>
            <w:r/>
            <w:r>
              <w:rPr>
                <w:sz w:val="18"/>
              </w:rPr>
              <w:t>-284.4</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-141.6</w:t>
            </w:r>
          </w:p>
        </w:tc>
        <w:tc>
          <w:tcPr>
            <w:tcW w:type="dxa" w:w="1361"/>
            <w:shd w:val="clear" w:color="auto" w:fill="F2F4F7"/>
          </w:tcPr>
          <w:p>
            <w:pPr>
              <w:spacing w:after="0" w:line="240" w:lineRule="auto"/>
              <w:jc w:val="right"/>
            </w:pPr>
            <w:r/>
            <w:r>
              <w:rPr>
                <w:sz w:val="18"/>
              </w:rPr>
              <w:t>549.9</w:t>
            </w:r>
          </w:p>
        </w:tc>
      </w:tr>
      <w:tr>
        <w:trPr>
          <w:cantSplit/>
        </w:trPr>
        <w:tc>
          <w:tcPr>
            <w:tcW w:type="dxa" w:w="1361"/>
          </w:tcPr>
          <w:p>
            <w:pPr>
              <w:spacing w:after="0" w:line="240" w:lineRule="auto"/>
            </w:pPr>
            <w:r/>
            <w:r>
              <w:rPr>
                <w:sz w:val="18"/>
              </w:rPr>
              <w:t>Year 9</w:t>
            </w:r>
          </w:p>
        </w:tc>
        <w:tc>
          <w:tcPr>
            <w:tcW w:type="dxa" w:w="1417"/>
          </w:tcPr>
          <w:p>
            <w:pPr>
              <w:spacing w:after="0" w:line="240" w:lineRule="auto"/>
              <w:jc w:val="right"/>
            </w:pPr>
            <w:r/>
            <w:r>
              <w:rPr>
                <w:sz w:val="18"/>
              </w:rPr>
              <w:t>66.2</w:t>
            </w:r>
          </w:p>
        </w:tc>
        <w:tc>
          <w:tcPr>
            <w:tcW w:type="dxa" w:w="1644"/>
          </w:tcPr>
          <w:p>
            <w:pPr>
              <w:spacing w:after="0" w:line="240" w:lineRule="auto"/>
              <w:jc w:val="right"/>
            </w:pPr>
            <w:r/>
            <w:r>
              <w:rPr>
                <w:sz w:val="18"/>
              </w:rPr>
              <w:t>-29.0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37.2</w:t>
            </w:r>
          </w:p>
        </w:tc>
        <w:tc>
          <w:tcPr>
            <w:tcW w:type="dxa" w:w="1361"/>
          </w:tcPr>
          <w:p>
            <w:pPr>
              <w:spacing w:after="0" w:line="240" w:lineRule="auto"/>
              <w:jc w:val="right"/>
            </w:pPr>
            <w:r/>
            <w:r>
              <w:rPr>
                <w:sz w:val="18"/>
              </w:rPr>
              <w:t>587.1</w:t>
            </w:r>
          </w:p>
        </w:tc>
      </w:tr>
      <w:tr>
        <w:trPr>
          <w:cantSplit/>
        </w:trPr>
        <w:tc>
          <w:tcPr>
            <w:tcW w:type="dxa" w:w="1361"/>
            <w:shd w:val="clear" w:color="auto" w:fill="F2F4F7"/>
          </w:tcPr>
          <w:p>
            <w:pPr>
              <w:spacing w:after="0" w:line="240" w:lineRule="auto"/>
            </w:pPr>
            <w:r/>
            <w:r>
              <w:rPr>
                <w:sz w:val="18"/>
              </w:rPr>
              <w:t>Year 10</w:t>
            </w:r>
          </w:p>
        </w:tc>
        <w:tc>
          <w:tcPr>
            <w:tcW w:type="dxa" w:w="1417"/>
            <w:shd w:val="clear" w:color="auto" w:fill="F2F4F7"/>
          </w:tcPr>
          <w:p>
            <w:pPr>
              <w:spacing w:after="0" w:line="240" w:lineRule="auto"/>
              <w:jc w:val="right"/>
            </w:pPr>
            <w:r/>
            <w:r>
              <w:rPr>
                <w:sz w:val="18"/>
              </w:rPr>
              <w:t>14.5</w:t>
            </w:r>
          </w:p>
        </w:tc>
        <w:tc>
          <w:tcPr>
            <w:tcW w:type="dxa" w:w="1644"/>
            <w:shd w:val="clear" w:color="auto" w:fill="F2F4F7"/>
          </w:tcPr>
          <w:p>
            <w:pPr>
              <w:spacing w:after="0" w:line="240" w:lineRule="auto"/>
              <w:jc w:val="right"/>
            </w:pPr>
            <w:r/>
            <w:r>
              <w:rPr>
                <w:sz w:val="18"/>
              </w:rPr>
              <w:t>-6.3</w:t>
            </w:r>
          </w:p>
        </w:tc>
        <w:tc>
          <w:tcPr>
            <w:tcW w:type="dxa" w:w="2041"/>
            <w:shd w:val="clear" w:color="auto" w:fill="F2F4F7"/>
          </w:tcPr>
          <w:p>
            <w:pPr>
              <w:spacing w:after="0" w:line="240" w:lineRule="auto"/>
              <w:jc w:val="right"/>
            </w:pPr>
            <w:r/>
            <w:r>
              <w:rPr>
                <w:sz w:val="18"/>
              </w:rPr>
              <w:t>-0.0</w:t>
            </w:r>
          </w:p>
        </w:tc>
        <w:tc>
          <w:tcPr>
            <w:tcW w:type="dxa" w:w="1417"/>
            <w:shd w:val="clear" w:color="auto" w:fill="F2F4F7"/>
          </w:tcPr>
          <w:p>
            <w:pPr>
              <w:spacing w:after="0" w:line="240" w:lineRule="auto"/>
              <w:jc w:val="right"/>
            </w:pPr>
            <w:r/>
            <w:r>
              <w:rPr>
                <w:sz w:val="18"/>
              </w:rPr>
              <w:t>8.2</w:t>
            </w:r>
          </w:p>
        </w:tc>
        <w:tc>
          <w:tcPr>
            <w:tcW w:type="dxa" w:w="1361"/>
            <w:shd w:val="clear" w:color="auto" w:fill="F2F4F7"/>
          </w:tcPr>
          <w:p>
            <w:pPr>
              <w:spacing w:after="0" w:line="240" w:lineRule="auto"/>
              <w:jc w:val="right"/>
            </w:pPr>
            <w:r/>
            <w:r>
              <w:rPr>
                <w:sz w:val="18"/>
              </w:rPr>
              <w:t>595.3</w:t>
            </w:r>
          </w:p>
        </w:tc>
      </w:tr>
      <w:tr>
        <w:trPr>
          <w:cantSplit/>
        </w:trPr>
        <w:tc>
          <w:tcPr>
            <w:tcW w:type="dxa" w:w="1361"/>
          </w:tcPr>
          <w:p>
            <w:pPr>
              <w:spacing w:after="0" w:line="240" w:lineRule="auto"/>
            </w:pPr>
            <w:r/>
            <w:r>
              <w:rPr>
                <w:sz w:val="18"/>
              </w:rPr>
              <w:t>Year 11</w:t>
            </w:r>
          </w:p>
        </w:tc>
        <w:tc>
          <w:tcPr>
            <w:tcW w:type="dxa" w:w="1417"/>
          </w:tcPr>
          <w:p>
            <w:pPr>
              <w:spacing w:after="0" w:line="240" w:lineRule="auto"/>
              <w:jc w:val="right"/>
            </w:pPr>
            <w:r/>
            <w:r>
              <w:rPr>
                <w:sz w:val="18"/>
              </w:rPr>
              <w:t>0.0</w:t>
            </w:r>
          </w:p>
        </w:tc>
        <w:tc>
          <w:tcPr>
            <w:tcW w:type="dxa" w:w="1644"/>
          </w:tcPr>
          <w:p>
            <w:pPr>
              <w:spacing w:after="0" w:line="240" w:lineRule="auto"/>
              <w:jc w:val="right"/>
            </w:pPr>
            <w:r/>
            <w:r>
              <w:rPr>
                <w:sz w:val="18"/>
              </w:rPr>
              <w:t>-0.0</w:t>
            </w:r>
          </w:p>
        </w:tc>
        <w:tc>
          <w:tcPr>
            <w:tcW w:type="dxa" w:w="2041"/>
          </w:tcPr>
          <w:p>
            <w:pPr>
              <w:spacing w:after="0" w:line="240" w:lineRule="auto"/>
              <w:jc w:val="right"/>
            </w:pPr>
            <w:r/>
            <w:r>
              <w:rPr>
                <w:sz w:val="18"/>
              </w:rPr>
              <w:t>-0.0</w:t>
            </w:r>
          </w:p>
        </w:tc>
        <w:tc>
          <w:tcPr>
            <w:tcW w:type="dxa" w:w="1417"/>
          </w:tcPr>
          <w:p>
            <w:pPr>
              <w:spacing w:after="0" w:line="240" w:lineRule="auto"/>
              <w:jc w:val="right"/>
            </w:pPr>
            <w:r/>
            <w:r>
              <w:rPr>
                <w:sz w:val="18"/>
              </w:rPr>
              <w:t>0.0</w:t>
            </w:r>
          </w:p>
        </w:tc>
        <w:tc>
          <w:tcPr>
            <w:tcW w:type="dxa" w:w="1361"/>
          </w:tcPr>
          <w:p>
            <w:pPr>
              <w:spacing w:after="0" w:line="240" w:lineRule="auto"/>
              <w:jc w:val="right"/>
            </w:pPr>
            <w:r/>
            <w:r>
              <w:rPr>
                <w:sz w:val="18"/>
              </w:rPr>
              <w:t>595.3</w:t>
            </w:r>
          </w:p>
        </w:tc>
      </w:tr>
      <w:tr>
        <w:trPr>
          <w:cantSplit/>
        </w:trPr>
        <w:tc>
          <w:tcPr>
            <w:tcW w:type="dxa" w:w="1361"/>
            <w:shd w:val="clear" w:color="auto" w:fill="F2F4F7"/>
          </w:tcPr>
          <w:p>
            <w:pPr>
              <w:spacing w:after="0" w:line="240" w:lineRule="auto"/>
            </w:pPr>
            <w:r/>
            <w:r>
              <w:rPr>
                <w:b/>
                <w:sz w:val="18"/>
              </w:rPr>
              <w:t>Total</w:t>
            </w:r>
          </w:p>
        </w:tc>
        <w:tc>
          <w:tcPr>
            <w:tcW w:type="dxa" w:w="1417"/>
            <w:shd w:val="clear" w:color="auto" w:fill="F2F4F7"/>
          </w:tcPr>
          <w:p>
            <w:pPr>
              <w:spacing w:after="0" w:line="240" w:lineRule="auto"/>
              <w:jc w:val="right"/>
            </w:pPr>
            <w:r/>
            <w:r>
              <w:rPr>
                <w:b/>
                <w:sz w:val="18"/>
              </w:rPr>
              <w:t>2,673.7</w:t>
            </w:r>
          </w:p>
        </w:tc>
        <w:tc>
          <w:tcPr>
            <w:tcW w:type="dxa" w:w="1644"/>
            <w:shd w:val="clear" w:color="auto" w:fill="F2F4F7"/>
          </w:tcPr>
          <w:p>
            <w:pPr>
              <w:spacing w:after="0" w:line="240" w:lineRule="auto"/>
              <w:jc w:val="right"/>
            </w:pPr>
            <w:r/>
            <w:r>
              <w:rPr>
                <w:b/>
                <w:sz w:val="18"/>
              </w:rPr>
              <w:t>-1,169.8</w:t>
            </w:r>
          </w:p>
        </w:tc>
        <w:tc>
          <w:tcPr>
            <w:tcW w:type="dxa" w:w="2041"/>
            <w:shd w:val="clear" w:color="auto" w:fill="F2F4F7"/>
          </w:tcPr>
          <w:p>
            <w:pPr>
              <w:spacing w:after="0" w:line="240" w:lineRule="auto"/>
              <w:jc w:val="right"/>
            </w:pPr>
            <w:r/>
            <w:r>
              <w:rPr>
                <w:b/>
                <w:sz w:val="18"/>
              </w:rPr>
              <w:t>-908.7</w:t>
            </w:r>
          </w:p>
        </w:tc>
        <w:tc>
          <w:tcPr>
            <w:tcW w:type="dxa" w:w="1417"/>
            <w:shd w:val="clear" w:color="auto" w:fill="F2F4F7"/>
          </w:tcPr>
          <w:p>
            <w:pPr>
              <w:spacing w:after="0" w:line="240" w:lineRule="auto"/>
              <w:jc w:val="right"/>
            </w:pPr>
            <w:r/>
            <w:r>
              <w:rPr>
                <w:b/>
                <w:sz w:val="18"/>
              </w:rPr>
              <w:t>595.3</w:t>
            </w:r>
          </w:p>
        </w:tc>
        <w:tc>
          <w:tcPr>
            <w:tcW w:type="dxa" w:w="1361"/>
            <w:shd w:val="clear" w:color="auto" w:fill="F2F4F7"/>
          </w:tcPr>
          <w:p>
            <w:pPr>
              <w:spacing w:after="0" w:line="240" w:lineRule="auto"/>
              <w:jc w:val="right"/>
            </w:pPr>
            <w:r/>
            <w:r>
              <w:rPr>
                <w:b/>
                <w:sz w:val="18"/>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Project cash flow by year. </w:t>
      </w:r>
      <w:r>
        <w:rPr>
          <w:i/>
          <w:color w:val="6B7280"/>
          <w:sz w:val="18"/>
        </w:rPr>
        <w:t>Source: Jalour financial model; Financial Annex, Project_CF sheet</w:t>
      </w:r>
    </w:p>
    <w:p>
      <w:r>
        <w:rPr>
          <w:b w:val="0"/>
          <w:i w:val="0"/>
        </w:rPr>
        <w:t>The model collects the delivery payment on a contractual milestone ahead of handover, which produces a large collection in project month 45.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13: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8"/>
              </w:rPr>
              <w:t>Cost line</w:t>
            </w:r>
          </w:p>
        </w:tc>
        <w:tc>
          <w:tcPr>
            <w:tcW w:type="dxa" w:w="1474"/>
            <w:shd w:val="clear" w:color="auto" w:fill="17324D"/>
          </w:tcPr>
          <w:p>
            <w:pPr>
              <w:spacing w:after="0" w:line="240" w:lineRule="auto"/>
              <w:jc w:val="right"/>
            </w:pPr>
            <w:r/>
            <w:r>
              <w:rPr>
                <w:b/>
                <w:color w:val="FFFFFF"/>
                <w:sz w:val="18"/>
              </w:rPr>
              <w:t>EGP million</w:t>
            </w:r>
          </w:p>
        </w:tc>
        <w:tc>
          <w:tcPr>
            <w:tcW w:type="dxa" w:w="4932"/>
            <w:shd w:val="clear" w:color="auto" w:fill="17324D"/>
          </w:tcPr>
          <w:p>
            <w:pPr>
              <w:spacing w:after="0" w:line="240" w:lineRule="auto"/>
              <w:jc w:val="right"/>
            </w:pPr>
            <w:r/>
            <w:r>
              <w:rPr>
                <w:b/>
                <w:color w:val="FFFFFF"/>
                <w:sz w:val="18"/>
              </w:rPr>
              <w:t>Basis</w:t>
            </w:r>
          </w:p>
        </w:tc>
      </w:tr>
      <w:tr>
        <w:trPr>
          <w:cantSplit/>
        </w:trPr>
        <w:tc>
          <w:tcPr>
            <w:tcW w:type="dxa" w:w="2835"/>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4932"/>
          </w:tcPr>
          <w:p>
            <w:pPr>
              <w:spacing w:after="0" w:line="240" w:lineRule="auto"/>
              <w:jc w:val="right"/>
            </w:pPr>
            <w:r/>
            <w:r>
              <w:rPr>
                <w:sz w:val="18"/>
              </w:rPr>
              <w:t>About EGP 52.0 thousand per m2 of built-up area; stage schedule over 36 months</w:t>
            </w:r>
          </w:p>
        </w:tc>
      </w:tr>
      <w:tr>
        <w:trPr>
          <w:cantSplit/>
        </w:trPr>
        <w:tc>
          <w:tcPr>
            <w:tcW w:type="dxa" w:w="2835"/>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106.9</w:t>
            </w:r>
          </w:p>
        </w:tc>
        <w:tc>
          <w:tcPr>
            <w:tcW w:type="dxa" w:w="4932"/>
            <w:shd w:val="clear" w:color="auto" w:fill="F2F4F7"/>
          </w:tcPr>
          <w:p>
            <w:pPr>
              <w:spacing w:after="0" w:line="240" w:lineRule="auto"/>
              <w:jc w:val="right"/>
            </w:pPr>
            <w:r/>
            <w:r>
              <w:rPr>
                <w:sz w:val="18"/>
              </w:rPr>
              <w:t>4% of sales value, paid 12 months after each sale quarter</w:t>
            </w:r>
          </w:p>
        </w:tc>
      </w:tr>
      <w:tr>
        <w:trPr>
          <w:cantSplit/>
        </w:trPr>
        <w:tc>
          <w:tcPr>
            <w:tcW w:type="dxa" w:w="2835"/>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4932"/>
          </w:tcPr>
          <w:p>
            <w:pPr>
              <w:spacing w:after="0" w:line="240" w:lineRule="auto"/>
              <w:jc w:val="right"/>
            </w:pPr>
            <w:r/>
            <w:r>
              <w:rPr>
                <w:sz w:val="18"/>
              </w:rPr>
              <w:t>15% of construction: contingency 5%, professional fees 5%, overhead 5%</w:t>
            </w:r>
          </w:p>
        </w:tc>
      </w:tr>
      <w:tr>
        <w:trPr>
          <w:cantSplit/>
        </w:trPr>
        <w:tc>
          <w:tcPr>
            <w:tcW w:type="dxa" w:w="2835"/>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908.7</w:t>
            </w:r>
          </w:p>
        </w:tc>
        <w:tc>
          <w:tcPr>
            <w:tcW w:type="dxa" w:w="4932"/>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 uses a flat nominal cost with no inflation over the build period.</w:t>
      </w:r>
    </w:p>
    <w:p>
      <w:pPr>
        <w:pStyle w:val="ListBullet"/>
        <w:spacing w:after="60"/>
      </w:pPr>
      <w:r>
        <w:rPr>
          <w:b w:val="0"/>
          <w:i w:val="0"/>
        </w:rPr>
        <w:t>A 10% overrun lowers project NPV from EGP 308 million to EGP 258 million; a 20% overrun to EGP 208 million.</w:t>
      </w:r>
    </w:p>
    <w:p>
      <w:pPr>
        <w:pStyle w:val="ListBullet"/>
        <w:spacing w:after="60"/>
      </w:pPr>
      <w:r>
        <w:rPr>
          <w:b w:val="0"/>
          <w:i w:val="0"/>
        </w:rPr>
        <w:t>Pre-construction costs (design, permits) are not separately modelled; section 11 adds an allowance of EGP 10.5 million as an assumption.</w:t>
      </w:r>
    </w:p>
    <w:p>
      <w:pPr>
        <w:pStyle w:val="Heading1"/>
        <w:pageBreakBefore/>
      </w:pPr>
      <w:r>
        <w:t>11. Funding plan and use of funds</w:t>
      </w:r>
    </w:p>
    <w:p>
      <w:pPr>
        <w:keepNext/>
        <w:spacing w:after="60"/>
      </w:pPr>
      <w:r>
        <w:rPr>
          <w:b/>
          <w:color w:val="17324D"/>
          <w:sz w:val="19"/>
        </w:rPr>
        <w:t>Table 14: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9"/>
              </w:rPr>
              <w:t>Uses at the funding peak</w:t>
            </w:r>
          </w:p>
        </w:tc>
        <w:tc>
          <w:tcPr>
            <w:tcW w:type="dxa" w:w="2438"/>
            <w:shd w:val="clear" w:color="auto" w:fill="17324D"/>
          </w:tcPr>
          <w:p>
            <w:pPr>
              <w:spacing w:after="0" w:line="240" w:lineRule="auto"/>
              <w:jc w:val="right"/>
            </w:pPr>
            <w:r/>
            <w:r>
              <w:rPr>
                <w:b/>
                <w:color w:val="FFFFFF"/>
                <w:sz w:val="19"/>
              </w:rPr>
              <w:t>EGP million</w:t>
            </w:r>
          </w:p>
        </w:tc>
      </w:tr>
      <w:tr>
        <w:trPr>
          <w:cantSplit/>
        </w:trPr>
        <w:tc>
          <w:tcPr>
            <w:tcW w:type="dxa" w:w="6803"/>
          </w:tcPr>
          <w:p>
            <w:pPr>
              <w:spacing w:after="0" w:line="240" w:lineRule="auto"/>
            </w:pPr>
            <w:r/>
            <w:r>
              <w:rPr>
                <w:sz w:val="19"/>
              </w:rPr>
              <w:t>Down payment to the landowner</w:t>
            </w:r>
          </w:p>
        </w:tc>
        <w:tc>
          <w:tcPr>
            <w:tcW w:type="dxa" w:w="2438"/>
          </w:tcPr>
          <w:p>
            <w:pPr>
              <w:spacing w:after="0" w:line="240" w:lineRule="auto"/>
              <w:jc w:val="right"/>
            </w:pPr>
            <w:r/>
            <w:r>
              <w:rPr>
                <w:sz w:val="19"/>
              </w:rPr>
              <w:t>85.0</w:t>
            </w:r>
          </w:p>
        </w:tc>
      </w:tr>
      <w:tr>
        <w:trPr>
          <w:cantSplit/>
        </w:trPr>
        <w:tc>
          <w:tcPr>
            <w:tcW w:type="dxa" w:w="6803"/>
            <w:shd w:val="clear" w:color="auto" w:fill="F2F4F7"/>
          </w:tcPr>
          <w:p>
            <w:pPr>
              <w:spacing w:after="0" w:line="240" w:lineRule="auto"/>
            </w:pPr>
            <w:r/>
            <w:r>
              <w:rPr>
                <w:sz w:val="19"/>
              </w:rPr>
              <w:t>Guarantee instalments and working capital to the peak, net of collections</w:t>
            </w:r>
          </w:p>
        </w:tc>
        <w:tc>
          <w:tcPr>
            <w:tcW w:type="dxa" w:w="2438"/>
            <w:shd w:val="clear" w:color="auto" w:fill="F2F4F7"/>
          </w:tcPr>
          <w:p>
            <w:pPr>
              <w:spacing w:after="0" w:line="240" w:lineRule="auto"/>
              <w:jc w:val="right"/>
            </w:pPr>
            <w:r/>
            <w:r>
              <w:rPr>
                <w:sz w:val="19"/>
              </w:rPr>
              <w:t>17.0</w:t>
            </w:r>
          </w:p>
        </w:tc>
      </w:tr>
      <w:tr>
        <w:trPr>
          <w:cantSplit/>
        </w:trPr>
        <w:tc>
          <w:tcPr>
            <w:tcW w:type="dxa" w:w="6803"/>
          </w:tcPr>
          <w:p>
            <w:pPr>
              <w:spacing w:after="0" w:line="240" w:lineRule="auto"/>
            </w:pPr>
            <w:r/>
            <w:r>
              <w:rPr>
                <w:sz w:val="19"/>
              </w:rPr>
              <w:t>Design, permits and pre-construction (assumption)</w:t>
            </w:r>
          </w:p>
        </w:tc>
        <w:tc>
          <w:tcPr>
            <w:tcW w:type="dxa" w:w="2438"/>
          </w:tcPr>
          <w:p>
            <w:pPr>
              <w:spacing w:after="0" w:line="240" w:lineRule="auto"/>
              <w:jc w:val="right"/>
            </w:pPr>
            <w:r/>
            <w:r>
              <w:rPr>
                <w:sz w:val="19"/>
              </w:rPr>
              <w:t>10.5</w:t>
            </w:r>
          </w:p>
        </w:tc>
      </w:tr>
      <w:tr>
        <w:trPr>
          <w:cantSplit/>
        </w:trPr>
        <w:tc>
          <w:tcPr>
            <w:tcW w:type="dxa" w:w="6803"/>
            <w:shd w:val="clear" w:color="auto" w:fill="F2F4F7"/>
          </w:tcPr>
          <w:p>
            <w:pPr>
              <w:spacing w:after="0" w:line="240" w:lineRule="auto"/>
            </w:pPr>
            <w:r/>
            <w:r>
              <w:rPr>
                <w:b/>
                <w:sz w:val="19"/>
              </w:rPr>
              <w:t>Total uses</w:t>
            </w:r>
          </w:p>
        </w:tc>
        <w:tc>
          <w:tcPr>
            <w:tcW w:type="dxa" w:w="2438"/>
            <w:shd w:val="clear" w:color="auto" w:fill="F2F4F7"/>
          </w:tcPr>
          <w:p>
            <w:pPr>
              <w:spacing w:after="0" w:line="240" w:lineRule="auto"/>
              <w:jc w:val="right"/>
            </w:pPr>
            <w:r/>
            <w:r>
              <w:rPr>
                <w:b/>
                <w:sz w:val="19"/>
              </w:rPr>
              <w:t>112.5</w:t>
            </w:r>
          </w:p>
        </w:tc>
      </w:tr>
    </w:tbl>
    <w:p>
      <w:pPr>
        <w:spacing w:after="80"/>
      </w:pPr>
    </w:p>
    <w:p>
      <w:pPr>
        <w:keepNext/>
        <w:spacing w:after="60"/>
      </w:pPr>
      <w:r>
        <w:rPr>
          <w:b/>
          <w:color w:val="17324D"/>
          <w:sz w:val="19"/>
        </w:rPr>
        <w:t>Table 15: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9"/>
              </w:rPr>
              <w:t>Sources</w:t>
            </w:r>
          </w:p>
        </w:tc>
        <w:tc>
          <w:tcPr>
            <w:tcW w:type="dxa" w:w="2041"/>
            <w:shd w:val="clear" w:color="auto" w:fill="17324D"/>
          </w:tcPr>
          <w:p>
            <w:pPr>
              <w:spacing w:after="0" w:line="240" w:lineRule="auto"/>
              <w:jc w:val="right"/>
            </w:pPr>
            <w:r/>
            <w:r>
              <w:rPr>
                <w:b/>
                <w:color w:val="FFFFFF"/>
                <w:sz w:val="19"/>
              </w:rPr>
              <w:t>EGP million</w:t>
            </w:r>
          </w:p>
        </w:tc>
        <w:tc>
          <w:tcPr>
            <w:tcW w:type="dxa" w:w="2098"/>
            <w:shd w:val="clear" w:color="auto" w:fill="17324D"/>
          </w:tcPr>
          <w:p>
            <w:pPr>
              <w:spacing w:after="0" w:line="240" w:lineRule="auto"/>
              <w:jc w:val="right"/>
            </w:pPr>
            <w:r/>
            <w:r>
              <w:rPr>
                <w:b/>
                <w:color w:val="FFFFFF"/>
                <w:sz w:val="19"/>
              </w:rPr>
              <w:t>% of uses</w:t>
            </w:r>
          </w:p>
        </w:tc>
      </w:tr>
      <w:tr>
        <w:trPr>
          <w:cantSplit/>
        </w:trPr>
        <w:tc>
          <w:tcPr>
            <w:tcW w:type="dxa" w:w="5102"/>
          </w:tcPr>
          <w:p>
            <w:pPr>
              <w:spacing w:after="0" w:line="240" w:lineRule="auto"/>
            </w:pPr>
            <w:r/>
            <w:r>
              <w:rPr>
                <w:sz w:val="19"/>
              </w:rPr>
              <w:t>Investor ticket</w:t>
            </w:r>
          </w:p>
        </w:tc>
        <w:tc>
          <w:tcPr>
            <w:tcW w:type="dxa" w:w="2041"/>
          </w:tcPr>
          <w:p>
            <w:pPr>
              <w:spacing w:after="0" w:line="240" w:lineRule="auto"/>
              <w:jc w:val="right"/>
            </w:pPr>
            <w:r/>
            <w:r>
              <w:rPr>
                <w:sz w:val="19"/>
              </w:rPr>
              <w:t>100.0</w:t>
            </w:r>
          </w:p>
        </w:tc>
        <w:tc>
          <w:tcPr>
            <w:tcW w:type="dxa" w:w="2098"/>
          </w:tcPr>
          <w:p>
            <w:pPr>
              <w:spacing w:after="0" w:line="240" w:lineRule="auto"/>
              <w:jc w:val="right"/>
            </w:pPr>
            <w:r/>
            <w:r>
              <w:rPr>
                <w:sz w:val="19"/>
              </w:rPr>
              <w:t>89%</w:t>
            </w:r>
          </w:p>
        </w:tc>
      </w:tr>
      <w:tr>
        <w:trPr>
          <w:cantSplit/>
        </w:trPr>
        <w:tc>
          <w:tcPr>
            <w:tcW w:type="dxa" w:w="5102"/>
            <w:shd w:val="clear" w:color="auto" w:fill="F2F4F7"/>
          </w:tcPr>
          <w:p>
            <w:pPr>
              <w:spacing w:after="0" w:line="240" w:lineRule="auto"/>
            </w:pPr>
            <w:r/>
            <w:r>
              <w:rPr>
                <w:sz w:val="19"/>
              </w:rPr>
              <w:t>Balance of project funding</w:t>
            </w:r>
          </w:p>
        </w:tc>
        <w:tc>
          <w:tcPr>
            <w:tcW w:type="dxa" w:w="2041"/>
            <w:shd w:val="clear" w:color="auto" w:fill="F2F4F7"/>
          </w:tcPr>
          <w:p>
            <w:pPr>
              <w:spacing w:after="0" w:line="240" w:lineRule="auto"/>
              <w:jc w:val="right"/>
            </w:pPr>
            <w:r/>
            <w:r>
              <w:rPr>
                <w:sz w:val="19"/>
              </w:rPr>
              <w:t>12.5</w:t>
            </w:r>
          </w:p>
        </w:tc>
        <w:tc>
          <w:tcPr>
            <w:tcW w:type="dxa" w:w="2098"/>
            <w:shd w:val="clear" w:color="auto" w:fill="F2F4F7"/>
          </w:tcPr>
          <w:p>
            <w:pPr>
              <w:spacing w:after="0" w:line="240" w:lineRule="auto"/>
              <w:jc w:val="right"/>
            </w:pPr>
            <w:r/>
            <w:r>
              <w:rPr>
                <w:sz w:val="19"/>
              </w:rPr>
              <w:t>11%</w:t>
            </w:r>
          </w:p>
        </w:tc>
      </w:tr>
      <w:tr>
        <w:trPr>
          <w:cantSplit/>
        </w:trPr>
        <w:tc>
          <w:tcPr>
            <w:tcW w:type="dxa" w:w="5102"/>
          </w:tcPr>
          <w:p>
            <w:pPr>
              <w:spacing w:after="0" w:line="240" w:lineRule="auto"/>
            </w:pPr>
            <w:r/>
            <w:r>
              <w:rPr>
                <w:sz w:val="19"/>
              </w:rPr>
              <w:t>Ticket above modelled uses (general project liquidity)</w:t>
            </w:r>
          </w:p>
        </w:tc>
        <w:tc>
          <w:tcPr>
            <w:tcW w:type="dxa" w:w="2041"/>
          </w:tcPr>
          <w:p>
            <w:pPr>
              <w:spacing w:after="0" w:line="240" w:lineRule="auto"/>
              <w:jc w:val="right"/>
            </w:pPr>
            <w:r/>
            <w:r>
              <w:rPr>
                <w:sz w:val="19"/>
              </w:rPr>
              <w:t>0.0</w:t>
            </w:r>
          </w:p>
        </w:tc>
        <w:tc>
          <w:tcPr>
            <w:tcW w:type="dxa" w:w="2098"/>
          </w:tcPr>
          <w:p>
            <w:pPr>
              <w:spacing w:after="0" w:line="240" w:lineRule="auto"/>
              <w:jc w:val="right"/>
            </w:pPr>
            <w:r/>
            <w:r>
              <w:rPr>
                <w:sz w:val="19"/>
              </w:rPr>
            </w:r>
          </w:p>
        </w:tc>
      </w:tr>
      <w:tr>
        <w:trPr>
          <w:cantSplit/>
        </w:trPr>
        <w:tc>
          <w:tcPr>
            <w:tcW w:type="dxa" w:w="5102"/>
            <w:shd w:val="clear" w:color="auto" w:fill="F2F4F7"/>
          </w:tcPr>
          <w:p>
            <w:pPr>
              <w:spacing w:after="0" w:line="240" w:lineRule="auto"/>
            </w:pPr>
            <w:r/>
            <w:r>
              <w:rPr>
                <w:b/>
                <w:sz w:val="19"/>
              </w:rPr>
              <w:t>Total</w:t>
            </w:r>
          </w:p>
        </w:tc>
        <w:tc>
          <w:tcPr>
            <w:tcW w:type="dxa" w:w="2041"/>
            <w:shd w:val="clear" w:color="auto" w:fill="F2F4F7"/>
          </w:tcPr>
          <w:p>
            <w:pPr>
              <w:spacing w:after="0" w:line="240" w:lineRule="auto"/>
              <w:jc w:val="right"/>
            </w:pPr>
            <w:r/>
            <w:r>
              <w:rPr>
                <w:b/>
                <w:sz w:val="19"/>
              </w:rPr>
              <w:t>112.5</w:t>
            </w:r>
          </w:p>
        </w:tc>
        <w:tc>
          <w:tcPr>
            <w:tcW w:type="dxa" w:w="2098"/>
            <w:shd w:val="clear" w:color="auto" w:fill="F2F4F7"/>
          </w:tcPr>
          <w:p>
            <w:pPr>
              <w:spacing w:after="0" w:line="240" w:lineRule="auto"/>
              <w:jc w:val="right"/>
            </w:pPr>
            <w:r/>
            <w:r>
              <w:rPr>
                <w:b/>
                <w:sz w:val="19"/>
              </w:rPr>
            </w:r>
          </w:p>
        </w:tc>
      </w:tr>
    </w:tbl>
    <w:p>
      <w:pPr>
        <w:spacing w:after="80"/>
      </w:pPr>
    </w:p>
    <w:p>
      <w:r>
        <w:rPr>
          <w:b w:val="0"/>
          <w:i/>
        </w:rPr>
        <w:t>The balance of project funding is provided by Jalour sponsor equity, project collections and other capital sources.</w:t>
      </w:r>
    </w:p>
    <w:p>
      <w:r>
        <w:rPr>
          <w:b w:val="0"/>
          <w:i w:val="0"/>
        </w:rPr>
        <w:t>The ticket equals 98% of the modelled peak cumulative shortage of EGP 102.0 million (month 30).</w:t>
      </w:r>
    </w:p>
    <w:p>
      <w:pPr>
        <w:pStyle w:val="Heading2"/>
      </w:pPr>
      <w:r>
        <w:t>11.1 Funding gaps in stress cases</w:t>
      </w:r>
    </w:p>
    <w:p>
      <w:pPr>
        <w:keepNext/>
        <w:spacing w:after="60"/>
      </w:pPr>
      <w:r>
        <w:rPr>
          <w:b/>
          <w:color w:val="17324D"/>
          <w:sz w:val="19"/>
        </w:rPr>
        <w:t>Table 16: Project cash position by case,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989"/>
            <w:shd w:val="clear" w:color="auto" w:fill="17324D"/>
          </w:tcPr>
          <w:p>
            <w:pPr>
              <w:spacing w:after="0" w:line="240" w:lineRule="auto"/>
            </w:pPr>
            <w:r/>
            <w:r>
              <w:rPr>
                <w:b/>
                <w:color w:val="FFFFFF"/>
                <w:sz w:val="18"/>
              </w:rPr>
              <w:t>Case</w:t>
            </w:r>
          </w:p>
        </w:tc>
        <w:tc>
          <w:tcPr>
            <w:tcW w:type="dxa" w:w="2268"/>
            <w:shd w:val="clear" w:color="auto" w:fill="17324D"/>
          </w:tcPr>
          <w:p>
            <w:pPr>
              <w:spacing w:after="0" w:line="240" w:lineRule="auto"/>
              <w:jc w:val="right"/>
            </w:pPr>
            <w:r/>
            <w:r>
              <w:rPr>
                <w:b/>
                <w:color w:val="FFFFFF"/>
                <w:sz w:val="18"/>
              </w:rPr>
              <w:t>Peak cumulative shortage (EGP m)</w:t>
            </w:r>
          </w:p>
        </w:tc>
        <w:tc>
          <w:tcPr>
            <w:tcW w:type="dxa" w:w="1984"/>
            <w:shd w:val="clear" w:color="auto" w:fill="17324D"/>
          </w:tcPr>
          <w:p>
            <w:pPr>
              <w:spacing w:after="0" w:line="240" w:lineRule="auto"/>
              <w:jc w:val="right"/>
            </w:pPr>
            <w:r/>
            <w:r>
              <w:rPr>
                <w:b/>
                <w:color w:val="FFFFFF"/>
                <w:sz w:val="18"/>
              </w:rPr>
              <w:t>NPV (EGP m)</w:t>
            </w:r>
          </w:p>
        </w:tc>
      </w:tr>
      <w:tr>
        <w:trPr>
          <w:cantSplit/>
        </w:trPr>
        <w:tc>
          <w:tcPr>
            <w:tcW w:type="dxa" w:w="4989"/>
          </w:tcPr>
          <w:p>
            <w:pPr>
              <w:spacing w:after="0" w:line="240" w:lineRule="auto"/>
            </w:pPr>
            <w:r/>
            <w:r>
              <w:rPr>
                <w:sz w:val="18"/>
              </w:rPr>
              <w:t>Base case</w:t>
            </w:r>
          </w:p>
        </w:tc>
        <w:tc>
          <w:tcPr>
            <w:tcW w:type="dxa" w:w="2268"/>
          </w:tcPr>
          <w:p>
            <w:pPr>
              <w:spacing w:after="0" w:line="240" w:lineRule="auto"/>
              <w:jc w:val="right"/>
            </w:pPr>
            <w:r/>
            <w:r>
              <w:rPr>
                <w:sz w:val="18"/>
              </w:rPr>
              <w:t>102</w:t>
            </w:r>
          </w:p>
        </w:tc>
        <w:tc>
          <w:tcPr>
            <w:tcW w:type="dxa" w:w="1984"/>
          </w:tcPr>
          <w:p>
            <w:pPr>
              <w:spacing w:after="0" w:line="240" w:lineRule="auto"/>
              <w:jc w:val="right"/>
            </w:pPr>
            <w:r/>
            <w:r>
              <w:rPr>
                <w:sz w:val="18"/>
              </w:rPr>
              <w:t>308</w:t>
            </w:r>
          </w:p>
        </w:tc>
      </w:tr>
      <w:tr>
        <w:trPr>
          <w:cantSplit/>
        </w:trPr>
        <w:tc>
          <w:tcPr>
            <w:tcW w:type="dxa" w:w="4989"/>
            <w:shd w:val="clear" w:color="auto" w:fill="F2F4F7"/>
          </w:tcPr>
          <w:p>
            <w:pPr>
              <w:spacing w:after="0" w:line="240" w:lineRule="auto"/>
            </w:pPr>
            <w:r/>
            <w:r>
              <w:rPr>
                <w:sz w:val="18"/>
              </w:rPr>
              <w:t>Downside: sales +12 months, prices -10%</w:t>
            </w:r>
          </w:p>
        </w:tc>
        <w:tc>
          <w:tcPr>
            <w:tcW w:type="dxa" w:w="2268"/>
            <w:shd w:val="clear" w:color="auto" w:fill="F2F4F7"/>
          </w:tcPr>
          <w:p>
            <w:pPr>
              <w:spacing w:after="0" w:line="240" w:lineRule="auto"/>
              <w:jc w:val="right"/>
            </w:pPr>
            <w:r/>
            <w:r>
              <w:rPr>
                <w:sz w:val="18"/>
              </w:rPr>
              <w:t>849</w:t>
            </w:r>
          </w:p>
        </w:tc>
        <w:tc>
          <w:tcPr>
            <w:tcW w:type="dxa" w:w="1984"/>
            <w:shd w:val="clear" w:color="auto" w:fill="F2F4F7"/>
          </w:tcPr>
          <w:p>
            <w:pPr>
              <w:spacing w:after="0" w:line="240" w:lineRule="auto"/>
              <w:jc w:val="right"/>
            </w:pPr>
            <w:r/>
            <w:r>
              <w:rPr>
                <w:sz w:val="18"/>
              </w:rPr>
              <w:t>40</w:t>
            </w:r>
          </w:p>
        </w:tc>
      </w:tr>
      <w:tr>
        <w:trPr>
          <w:cantSplit/>
        </w:trPr>
        <w:tc>
          <w:tcPr>
            <w:tcW w:type="dxa" w:w="4989"/>
          </w:tcPr>
          <w:p>
            <w:pPr>
              <w:spacing w:after="0" w:line="240" w:lineRule="auto"/>
            </w:pPr>
            <w:r/>
            <w:r>
              <w:rPr>
                <w:sz w:val="18"/>
              </w:rPr>
              <w:t>Upside: prices +10%</w:t>
            </w:r>
          </w:p>
        </w:tc>
        <w:tc>
          <w:tcPr>
            <w:tcW w:type="dxa" w:w="2268"/>
          </w:tcPr>
          <w:p>
            <w:pPr>
              <w:spacing w:after="0" w:line="240" w:lineRule="auto"/>
              <w:jc w:val="right"/>
            </w:pPr>
            <w:r/>
            <w:r>
              <w:rPr>
                <w:sz w:val="18"/>
              </w:rPr>
              <w:t>88</w:t>
            </w:r>
          </w:p>
        </w:tc>
        <w:tc>
          <w:tcPr>
            <w:tcW w:type="dxa" w:w="1984"/>
          </w:tcPr>
          <w:p>
            <w:pPr>
              <w:spacing w:after="0" w:line="240" w:lineRule="auto"/>
              <w:jc w:val="right"/>
            </w:pPr>
            <w:r/>
            <w:r>
              <w:rPr>
                <w:sz w:val="18"/>
              </w:rPr>
              <w:t>412</w:t>
            </w:r>
          </w:p>
        </w:tc>
      </w:tr>
      <w:tr>
        <w:trPr>
          <w:cantSplit/>
        </w:trPr>
        <w:tc>
          <w:tcPr>
            <w:tcW w:type="dxa" w:w="4989"/>
            <w:shd w:val="clear" w:color="auto" w:fill="F2F4F7"/>
          </w:tcPr>
          <w:p>
            <w:pPr>
              <w:spacing w:after="0" w:line="240" w:lineRule="auto"/>
            </w:pPr>
            <w:r/>
            <w:r>
              <w:rPr>
                <w:sz w:val="18"/>
              </w:rPr>
              <w:t>Construction cost +10%</w:t>
            </w:r>
          </w:p>
        </w:tc>
        <w:tc>
          <w:tcPr>
            <w:tcW w:type="dxa" w:w="2268"/>
            <w:shd w:val="clear" w:color="auto" w:fill="F2F4F7"/>
          </w:tcPr>
          <w:p>
            <w:pPr>
              <w:spacing w:after="0" w:line="240" w:lineRule="auto"/>
              <w:jc w:val="right"/>
            </w:pPr>
            <w:r/>
            <w:r>
              <w:rPr>
                <w:sz w:val="18"/>
              </w:rPr>
              <w:t>117</w:t>
            </w:r>
          </w:p>
        </w:tc>
        <w:tc>
          <w:tcPr>
            <w:tcW w:type="dxa" w:w="1984"/>
            <w:shd w:val="clear" w:color="auto" w:fill="F2F4F7"/>
          </w:tcPr>
          <w:p>
            <w:pPr>
              <w:spacing w:after="0" w:line="240" w:lineRule="auto"/>
              <w:jc w:val="right"/>
            </w:pPr>
            <w:r/>
            <w:r>
              <w:rPr>
                <w:sz w:val="18"/>
              </w:rPr>
              <w:t>258</w:t>
            </w:r>
          </w:p>
        </w:tc>
      </w:tr>
      <w:tr>
        <w:trPr>
          <w:cantSplit/>
        </w:trPr>
        <w:tc>
          <w:tcPr>
            <w:tcW w:type="dxa" w:w="4989"/>
          </w:tcPr>
          <w:p>
            <w:pPr>
              <w:spacing w:after="0" w:line="240" w:lineRule="auto"/>
            </w:pPr>
            <w:r/>
            <w:r>
              <w:rPr>
                <w:sz w:val="18"/>
              </w:rPr>
              <w:t>Collections slip 2 quarters</w:t>
            </w:r>
          </w:p>
        </w:tc>
        <w:tc>
          <w:tcPr>
            <w:tcW w:type="dxa" w:w="2268"/>
          </w:tcPr>
          <w:p>
            <w:pPr>
              <w:spacing w:after="0" w:line="240" w:lineRule="auto"/>
              <w:jc w:val="right"/>
            </w:pPr>
            <w:r/>
            <w:r>
              <w:rPr>
                <w:sz w:val="18"/>
              </w:rPr>
              <w:t>381</w:t>
            </w:r>
          </w:p>
        </w:tc>
        <w:tc>
          <w:tcPr>
            <w:tcW w:type="dxa" w:w="1984"/>
          </w:tcPr>
          <w:p>
            <w:pPr>
              <w:spacing w:after="0" w:line="240" w:lineRule="auto"/>
              <w:jc w:val="right"/>
            </w:pPr>
            <w:r/>
            <w:r>
              <w:rPr>
                <w:sz w:val="18"/>
              </w:rPr>
              <w:t>209</w:t>
            </w:r>
          </w:p>
        </w:tc>
      </w:tr>
      <w:tr>
        <w:trPr>
          <w:cantSplit/>
        </w:trPr>
        <w:tc>
          <w:tcPr>
            <w:tcW w:type="dxa" w:w="4989"/>
            <w:shd w:val="clear" w:color="auto" w:fill="F2F4F7"/>
          </w:tcPr>
          <w:p>
            <w:pPr>
              <w:spacing w:after="0" w:line="240" w:lineRule="auto"/>
            </w:pPr>
            <w:r/>
            <w:r>
              <w:rPr>
                <w:sz w:val="18"/>
              </w:rPr>
              <w:t>Delivery payments at handover</w:t>
            </w:r>
          </w:p>
        </w:tc>
        <w:tc>
          <w:tcPr>
            <w:tcW w:type="dxa" w:w="2268"/>
            <w:shd w:val="clear" w:color="auto" w:fill="F2F4F7"/>
          </w:tcPr>
          <w:p>
            <w:pPr>
              <w:spacing w:after="0" w:line="240" w:lineRule="auto"/>
              <w:jc w:val="right"/>
            </w:pPr>
            <w:r/>
            <w:r>
              <w:rPr>
                <w:sz w:val="18"/>
              </w:rPr>
              <w:t>244</w:t>
            </w:r>
          </w:p>
        </w:tc>
        <w:tc>
          <w:tcPr>
            <w:tcW w:type="dxa" w:w="1984"/>
            <w:shd w:val="clear" w:color="auto" w:fill="F2F4F7"/>
          </w:tcPr>
          <w:p>
            <w:pPr>
              <w:spacing w:after="0" w:line="240" w:lineRule="auto"/>
              <w:jc w:val="right"/>
            </w:pPr>
            <w:r/>
            <w:r>
              <w:rPr>
                <w:sz w:val="18"/>
              </w:rPr>
              <w:t>275</w:t>
            </w:r>
          </w:p>
        </w:tc>
      </w:tr>
      <w:tr>
        <w:trPr>
          <w:cantSplit/>
        </w:trPr>
        <w:tc>
          <w:tcPr>
            <w:tcW w:type="dxa" w:w="4989"/>
          </w:tcPr>
          <w:p>
            <w:pPr>
              <w:spacing w:after="0" w:line="240" w:lineRule="auto"/>
            </w:pPr>
            <w:r/>
            <w:r>
              <w:rPr>
                <w:sz w:val="18"/>
              </w:rPr>
              <w:t>Handover payments and downside combined</w:t>
            </w:r>
          </w:p>
        </w:tc>
        <w:tc>
          <w:tcPr>
            <w:tcW w:type="dxa" w:w="2268"/>
          </w:tcPr>
          <w:p>
            <w:pPr>
              <w:spacing w:after="0" w:line="240" w:lineRule="auto"/>
              <w:jc w:val="right"/>
            </w:pPr>
            <w:r/>
            <w:r>
              <w:rPr>
                <w:sz w:val="18"/>
              </w:rPr>
              <w:t>849</w:t>
            </w:r>
          </w:p>
        </w:tc>
        <w:tc>
          <w:tcPr>
            <w:tcW w:type="dxa" w:w="1984"/>
          </w:tcPr>
          <w:p>
            <w:pPr>
              <w:spacing w:after="0" w:line="240" w:lineRule="auto"/>
              <w:jc w:val="right"/>
            </w:pPr>
            <w:r/>
            <w:r>
              <w:rPr>
                <w:sz w:val="18"/>
              </w:rPr>
              <w:t>14</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 and depends on Jalour's capacity to provide it.</w:t>
      </w:r>
    </w:p>
    <w:p>
      <w:pPr>
        <w:pStyle w:val="Heading1"/>
        <w:pageBreakBefore/>
      </w:pPr>
      <w:r>
        <w:t>12. Investment terms</w:t>
      </w:r>
    </w:p>
    <w:p>
      <w:pPr>
        <w:pStyle w:val="Heading2"/>
      </w:pPr>
      <w:r>
        <w:t>12.1 Option A: units</w:t>
      </w:r>
    </w:p>
    <w:p>
      <w:pPr>
        <w:keepNext/>
        <w:spacing w:after="60"/>
      </w:pPr>
      <w:r>
        <w:rPr>
          <w:b/>
          <w:color w:val="17324D"/>
          <w:sz w:val="19"/>
        </w:rPr>
        <w:t>Table 17: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200 million: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(months 15 and 18), EGP 725 million at list; the investor receives 27.6% of them. The 20% of units retained by Jalour are not used</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retail EGP 61.7 million (247 m2) and offices EGP 138.3 million (864 m2)</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296 million (1.481x face),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70 million at face);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54; resale over four quarters from month 57; 3% cost (broker and developer transfer fee)</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Section 16 shows the effect of early assignment. Jalour cannot promise liquidity that the structure does not provide.</w:t>
      </w:r>
    </w:p>
    <w:p>
      <w:pPr>
        <w:pStyle w:val="Heading2"/>
      </w:pPr>
      <w:r>
        <w:t>12.2 Option B: cash</w:t>
      </w:r>
    </w:p>
    <w:p>
      <w:pPr>
        <w:keepNext/>
        <w:spacing w:after="60"/>
      </w:pPr>
      <w:r>
        <w:rPr>
          <w:b/>
          <w:color w:val="17324D"/>
          <w:sz w:val="19"/>
        </w:rPr>
        <w:t>Table 18: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230 million (2.3x the ticket), including return of capital</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19.17 million in months 39 to 72</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The project company; no guarantee of return by Jalour or Al Jalal Holding</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 and is not a guarantee of the return</w:t>
            </w:r>
          </w:p>
        </w:tc>
      </w:tr>
    </w:tbl>
    <w:p>
      <w:pPr>
        <w:spacing w:after="80"/>
      </w:pPr>
    </w:p>
    <w:p>
      <w:pPr>
        <w:keepNext/>
        <w:spacing w:after="60"/>
      </w:pPr>
      <w:r>
        <w:rPr>
          <w:b/>
          <w:color w:val="17324D"/>
          <w:sz w:val="19"/>
        </w:rPr>
        <w:t>Table 19: Option B payment schedule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701"/>
            <w:shd w:val="clear" w:color="auto" w:fill="17324D"/>
          </w:tcPr>
          <w:p>
            <w:pPr>
              <w:spacing w:after="0" w:line="240" w:lineRule="auto"/>
              <w:jc w:val="right"/>
            </w:pPr>
            <w:r/>
            <w:r>
              <w:rPr>
                <w:b/>
                <w:color w:val="FFFFFF"/>
                <w:sz w:val="18"/>
              </w:rPr>
              <w:t>Instalment</w:t>
            </w:r>
          </w:p>
        </w:tc>
        <w:tc>
          <w:tcPr>
            <w:tcW w:type="dxa" w:w="2041"/>
            <w:shd w:val="clear" w:color="auto" w:fill="17324D"/>
          </w:tcPr>
          <w:p>
            <w:pPr>
              <w:spacing w:after="0" w:line="240" w:lineRule="auto"/>
              <w:jc w:val="right"/>
            </w:pPr>
            <w:r/>
            <w:r>
              <w:rPr>
                <w:b/>
                <w:color w:val="FFFFFF"/>
                <w:sz w:val="18"/>
              </w:rPr>
              <w:t>Project month</w:t>
            </w:r>
          </w:p>
        </w:tc>
        <w:tc>
          <w:tcPr>
            <w:tcW w:type="dxa" w:w="2721"/>
            <w:shd w:val="clear" w:color="auto" w:fill="17324D"/>
          </w:tcPr>
          <w:p>
            <w:pPr>
              <w:spacing w:after="0" w:line="240" w:lineRule="auto"/>
              <w:jc w:val="right"/>
            </w:pPr>
            <w:r/>
            <w:r>
              <w:rPr>
                <w:b/>
                <w:color w:val="FFFFFF"/>
                <w:sz w:val="18"/>
              </w:rPr>
              <w:t>Amount (EGP m)</w:t>
            </w:r>
          </w:p>
        </w:tc>
        <w:tc>
          <w:tcPr>
            <w:tcW w:type="dxa" w:w="2778"/>
            <w:shd w:val="clear" w:color="auto" w:fill="17324D"/>
          </w:tcPr>
          <w:p>
            <w:pPr>
              <w:spacing w:after="0" w:line="240" w:lineRule="auto"/>
              <w:jc w:val="right"/>
            </w:pPr>
            <w:r/>
            <w:r>
              <w:rPr>
                <w:b/>
                <w:color w:val="FFFFFF"/>
                <w:sz w:val="18"/>
              </w:rPr>
              <w:t>Cumulative (EGP m)</w:t>
            </w:r>
          </w:p>
        </w:tc>
      </w:tr>
      <w:tr>
        <w:trPr>
          <w:cantSplit/>
        </w:trPr>
        <w:tc>
          <w:tcPr>
            <w:tcW w:type="dxa" w:w="1701"/>
          </w:tcPr>
          <w:p>
            <w:pPr>
              <w:spacing w:after="0" w:line="240" w:lineRule="auto"/>
              <w:jc w:val="right"/>
            </w:pPr>
            <w:r/>
            <w:r>
              <w:rPr>
                <w:sz w:val="18"/>
              </w:rPr>
              <w:t>1</w:t>
            </w:r>
          </w:p>
        </w:tc>
        <w:tc>
          <w:tcPr>
            <w:tcW w:type="dxa" w:w="2041"/>
          </w:tcPr>
          <w:p>
            <w:pPr>
              <w:spacing w:after="0" w:line="240" w:lineRule="auto"/>
              <w:jc w:val="right"/>
            </w:pPr>
            <w:r/>
            <w:r>
              <w:rPr>
                <w:sz w:val="18"/>
              </w:rPr>
              <w:t>39</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19.17</w:t>
            </w:r>
          </w:p>
        </w:tc>
      </w:tr>
      <w:tr>
        <w:trPr>
          <w:cantSplit/>
        </w:trPr>
        <w:tc>
          <w:tcPr>
            <w:tcW w:type="dxa" w:w="1701"/>
            <w:shd w:val="clear" w:color="auto" w:fill="F2F4F7"/>
          </w:tcPr>
          <w:p>
            <w:pPr>
              <w:spacing w:after="0" w:line="240" w:lineRule="auto"/>
              <w:jc w:val="right"/>
            </w:pPr>
            <w:r/>
            <w:r>
              <w:rPr>
                <w:sz w:val="18"/>
              </w:rPr>
              <w:t>2</w:t>
            </w:r>
          </w:p>
        </w:tc>
        <w:tc>
          <w:tcPr>
            <w:tcW w:type="dxa" w:w="2041"/>
            <w:shd w:val="clear" w:color="auto" w:fill="F2F4F7"/>
          </w:tcPr>
          <w:p>
            <w:pPr>
              <w:spacing w:after="0" w:line="240" w:lineRule="auto"/>
              <w:jc w:val="right"/>
            </w:pPr>
            <w:r/>
            <w:r>
              <w:rPr>
                <w:sz w:val="18"/>
              </w:rPr>
              <w:t>42</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38.33</w:t>
            </w:r>
          </w:p>
        </w:tc>
      </w:tr>
      <w:tr>
        <w:trPr>
          <w:cantSplit/>
        </w:trPr>
        <w:tc>
          <w:tcPr>
            <w:tcW w:type="dxa" w:w="1701"/>
          </w:tcPr>
          <w:p>
            <w:pPr>
              <w:spacing w:after="0" w:line="240" w:lineRule="auto"/>
              <w:jc w:val="right"/>
            </w:pPr>
            <w:r/>
            <w:r>
              <w:rPr>
                <w:sz w:val="18"/>
              </w:rPr>
              <w:t>3</w:t>
            </w:r>
          </w:p>
        </w:tc>
        <w:tc>
          <w:tcPr>
            <w:tcW w:type="dxa" w:w="2041"/>
          </w:tcPr>
          <w:p>
            <w:pPr>
              <w:spacing w:after="0" w:line="240" w:lineRule="auto"/>
              <w:jc w:val="right"/>
            </w:pPr>
            <w:r/>
            <w:r>
              <w:rPr>
                <w:sz w:val="18"/>
              </w:rPr>
              <w:t>45</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57.50</w:t>
            </w:r>
          </w:p>
        </w:tc>
      </w:tr>
      <w:tr>
        <w:trPr>
          <w:cantSplit/>
        </w:trPr>
        <w:tc>
          <w:tcPr>
            <w:tcW w:type="dxa" w:w="1701"/>
            <w:shd w:val="clear" w:color="auto" w:fill="F2F4F7"/>
          </w:tcPr>
          <w:p>
            <w:pPr>
              <w:spacing w:after="0" w:line="240" w:lineRule="auto"/>
              <w:jc w:val="right"/>
            </w:pPr>
            <w:r/>
            <w:r>
              <w:rPr>
                <w:sz w:val="18"/>
              </w:rPr>
              <w:t>4</w:t>
            </w:r>
          </w:p>
        </w:tc>
        <w:tc>
          <w:tcPr>
            <w:tcW w:type="dxa" w:w="2041"/>
            <w:shd w:val="clear" w:color="auto" w:fill="F2F4F7"/>
          </w:tcPr>
          <w:p>
            <w:pPr>
              <w:spacing w:after="0" w:line="240" w:lineRule="auto"/>
              <w:jc w:val="right"/>
            </w:pPr>
            <w:r/>
            <w:r>
              <w:rPr>
                <w:sz w:val="18"/>
              </w:rPr>
              <w:t>48</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76.67</w:t>
            </w:r>
          </w:p>
        </w:tc>
      </w:tr>
      <w:tr>
        <w:trPr>
          <w:cantSplit/>
        </w:trPr>
        <w:tc>
          <w:tcPr>
            <w:tcW w:type="dxa" w:w="1701"/>
          </w:tcPr>
          <w:p>
            <w:pPr>
              <w:spacing w:after="0" w:line="240" w:lineRule="auto"/>
              <w:jc w:val="right"/>
            </w:pPr>
            <w:r/>
            <w:r>
              <w:rPr>
                <w:sz w:val="18"/>
              </w:rPr>
              <w:t>5</w:t>
            </w:r>
          </w:p>
        </w:tc>
        <w:tc>
          <w:tcPr>
            <w:tcW w:type="dxa" w:w="2041"/>
          </w:tcPr>
          <w:p>
            <w:pPr>
              <w:spacing w:after="0" w:line="240" w:lineRule="auto"/>
              <w:jc w:val="right"/>
            </w:pPr>
            <w:r/>
            <w:r>
              <w:rPr>
                <w:sz w:val="18"/>
              </w:rPr>
              <w:t>51</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95.83</w:t>
            </w:r>
          </w:p>
        </w:tc>
      </w:tr>
      <w:tr>
        <w:trPr>
          <w:cantSplit/>
        </w:trPr>
        <w:tc>
          <w:tcPr>
            <w:tcW w:type="dxa" w:w="1701"/>
            <w:shd w:val="clear" w:color="auto" w:fill="F2F4F7"/>
          </w:tcPr>
          <w:p>
            <w:pPr>
              <w:spacing w:after="0" w:line="240" w:lineRule="auto"/>
              <w:jc w:val="right"/>
            </w:pPr>
            <w:r/>
            <w:r>
              <w:rPr>
                <w:sz w:val="18"/>
              </w:rPr>
              <w:t>6</w:t>
            </w:r>
          </w:p>
        </w:tc>
        <w:tc>
          <w:tcPr>
            <w:tcW w:type="dxa" w:w="2041"/>
            <w:shd w:val="clear" w:color="auto" w:fill="F2F4F7"/>
          </w:tcPr>
          <w:p>
            <w:pPr>
              <w:spacing w:after="0" w:line="240" w:lineRule="auto"/>
              <w:jc w:val="right"/>
            </w:pPr>
            <w:r/>
            <w:r>
              <w:rPr>
                <w:sz w:val="18"/>
              </w:rPr>
              <w:t>54</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115.00</w:t>
            </w:r>
          </w:p>
        </w:tc>
      </w:tr>
      <w:tr>
        <w:trPr>
          <w:cantSplit/>
        </w:trPr>
        <w:tc>
          <w:tcPr>
            <w:tcW w:type="dxa" w:w="1701"/>
          </w:tcPr>
          <w:p>
            <w:pPr>
              <w:spacing w:after="0" w:line="240" w:lineRule="auto"/>
              <w:jc w:val="right"/>
            </w:pPr>
            <w:r/>
            <w:r>
              <w:rPr>
                <w:sz w:val="18"/>
              </w:rPr>
              <w:t>7</w:t>
            </w:r>
          </w:p>
        </w:tc>
        <w:tc>
          <w:tcPr>
            <w:tcW w:type="dxa" w:w="2041"/>
          </w:tcPr>
          <w:p>
            <w:pPr>
              <w:spacing w:after="0" w:line="240" w:lineRule="auto"/>
              <w:jc w:val="right"/>
            </w:pPr>
            <w:r/>
            <w:r>
              <w:rPr>
                <w:sz w:val="18"/>
              </w:rPr>
              <w:t>57</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134.17</w:t>
            </w:r>
          </w:p>
        </w:tc>
      </w:tr>
      <w:tr>
        <w:trPr>
          <w:cantSplit/>
        </w:trPr>
        <w:tc>
          <w:tcPr>
            <w:tcW w:type="dxa" w:w="1701"/>
            <w:shd w:val="clear" w:color="auto" w:fill="F2F4F7"/>
          </w:tcPr>
          <w:p>
            <w:pPr>
              <w:spacing w:after="0" w:line="240" w:lineRule="auto"/>
              <w:jc w:val="right"/>
            </w:pPr>
            <w:r/>
            <w:r>
              <w:rPr>
                <w:sz w:val="18"/>
              </w:rPr>
              <w:t>8</w:t>
            </w:r>
          </w:p>
        </w:tc>
        <w:tc>
          <w:tcPr>
            <w:tcW w:type="dxa" w:w="2041"/>
            <w:shd w:val="clear" w:color="auto" w:fill="F2F4F7"/>
          </w:tcPr>
          <w:p>
            <w:pPr>
              <w:spacing w:after="0" w:line="240" w:lineRule="auto"/>
              <w:jc w:val="right"/>
            </w:pPr>
            <w:r/>
            <w:r>
              <w:rPr>
                <w:sz w:val="18"/>
              </w:rPr>
              <w:t>60</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153.33</w:t>
            </w:r>
          </w:p>
        </w:tc>
      </w:tr>
      <w:tr>
        <w:trPr>
          <w:cantSplit/>
        </w:trPr>
        <w:tc>
          <w:tcPr>
            <w:tcW w:type="dxa" w:w="1701"/>
          </w:tcPr>
          <w:p>
            <w:pPr>
              <w:spacing w:after="0" w:line="240" w:lineRule="auto"/>
              <w:jc w:val="right"/>
            </w:pPr>
            <w:r/>
            <w:r>
              <w:rPr>
                <w:sz w:val="18"/>
              </w:rPr>
              <w:t>9</w:t>
            </w:r>
          </w:p>
        </w:tc>
        <w:tc>
          <w:tcPr>
            <w:tcW w:type="dxa" w:w="2041"/>
          </w:tcPr>
          <w:p>
            <w:pPr>
              <w:spacing w:after="0" w:line="240" w:lineRule="auto"/>
              <w:jc w:val="right"/>
            </w:pPr>
            <w:r/>
            <w:r>
              <w:rPr>
                <w:sz w:val="18"/>
              </w:rPr>
              <w:t>63</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172.50</w:t>
            </w:r>
          </w:p>
        </w:tc>
      </w:tr>
      <w:tr>
        <w:trPr>
          <w:cantSplit/>
        </w:trPr>
        <w:tc>
          <w:tcPr>
            <w:tcW w:type="dxa" w:w="1701"/>
            <w:shd w:val="clear" w:color="auto" w:fill="F2F4F7"/>
          </w:tcPr>
          <w:p>
            <w:pPr>
              <w:spacing w:after="0" w:line="240" w:lineRule="auto"/>
              <w:jc w:val="right"/>
            </w:pPr>
            <w:r/>
            <w:r>
              <w:rPr>
                <w:sz w:val="18"/>
              </w:rPr>
              <w:t>10</w:t>
            </w:r>
          </w:p>
        </w:tc>
        <w:tc>
          <w:tcPr>
            <w:tcW w:type="dxa" w:w="2041"/>
            <w:shd w:val="clear" w:color="auto" w:fill="F2F4F7"/>
          </w:tcPr>
          <w:p>
            <w:pPr>
              <w:spacing w:after="0" w:line="240" w:lineRule="auto"/>
              <w:jc w:val="right"/>
            </w:pPr>
            <w:r/>
            <w:r>
              <w:rPr>
                <w:sz w:val="18"/>
              </w:rPr>
              <w:t>66</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191.67</w:t>
            </w:r>
          </w:p>
        </w:tc>
      </w:tr>
      <w:tr>
        <w:trPr>
          <w:cantSplit/>
        </w:trPr>
        <w:tc>
          <w:tcPr>
            <w:tcW w:type="dxa" w:w="1701"/>
          </w:tcPr>
          <w:p>
            <w:pPr>
              <w:spacing w:after="0" w:line="240" w:lineRule="auto"/>
              <w:jc w:val="right"/>
            </w:pPr>
            <w:r/>
            <w:r>
              <w:rPr>
                <w:sz w:val="18"/>
              </w:rPr>
              <w:t>11</w:t>
            </w:r>
          </w:p>
        </w:tc>
        <w:tc>
          <w:tcPr>
            <w:tcW w:type="dxa" w:w="2041"/>
          </w:tcPr>
          <w:p>
            <w:pPr>
              <w:spacing w:after="0" w:line="240" w:lineRule="auto"/>
              <w:jc w:val="right"/>
            </w:pPr>
            <w:r/>
            <w:r>
              <w:rPr>
                <w:sz w:val="18"/>
              </w:rPr>
              <w:t>69</w:t>
            </w:r>
          </w:p>
        </w:tc>
        <w:tc>
          <w:tcPr>
            <w:tcW w:type="dxa" w:w="2721"/>
          </w:tcPr>
          <w:p>
            <w:pPr>
              <w:spacing w:after="0" w:line="240" w:lineRule="auto"/>
              <w:jc w:val="right"/>
            </w:pPr>
            <w:r/>
            <w:r>
              <w:rPr>
                <w:sz w:val="18"/>
              </w:rPr>
              <w:t>19.17</w:t>
            </w:r>
          </w:p>
        </w:tc>
        <w:tc>
          <w:tcPr>
            <w:tcW w:type="dxa" w:w="2778"/>
          </w:tcPr>
          <w:p>
            <w:pPr>
              <w:spacing w:after="0" w:line="240" w:lineRule="auto"/>
              <w:jc w:val="right"/>
            </w:pPr>
            <w:r/>
            <w:r>
              <w:rPr>
                <w:sz w:val="18"/>
              </w:rPr>
              <w:t>210.83</w:t>
            </w:r>
          </w:p>
        </w:tc>
      </w:tr>
      <w:tr>
        <w:trPr>
          <w:cantSplit/>
        </w:trPr>
        <w:tc>
          <w:tcPr>
            <w:tcW w:type="dxa" w:w="1701"/>
            <w:shd w:val="clear" w:color="auto" w:fill="F2F4F7"/>
          </w:tcPr>
          <w:p>
            <w:pPr>
              <w:spacing w:after="0" w:line="240" w:lineRule="auto"/>
              <w:jc w:val="right"/>
            </w:pPr>
            <w:r/>
            <w:r>
              <w:rPr>
                <w:sz w:val="18"/>
              </w:rPr>
              <w:t>12</w:t>
            </w:r>
          </w:p>
        </w:tc>
        <w:tc>
          <w:tcPr>
            <w:tcW w:type="dxa" w:w="2041"/>
            <w:shd w:val="clear" w:color="auto" w:fill="F2F4F7"/>
          </w:tcPr>
          <w:p>
            <w:pPr>
              <w:spacing w:after="0" w:line="240" w:lineRule="auto"/>
              <w:jc w:val="right"/>
            </w:pPr>
            <w:r/>
            <w:r>
              <w:rPr>
                <w:sz w:val="18"/>
              </w:rPr>
              <w:t>72</w:t>
            </w:r>
          </w:p>
        </w:tc>
        <w:tc>
          <w:tcPr>
            <w:tcW w:type="dxa" w:w="2721"/>
            <w:shd w:val="clear" w:color="auto" w:fill="F2F4F7"/>
          </w:tcPr>
          <w:p>
            <w:pPr>
              <w:spacing w:after="0" w:line="240" w:lineRule="auto"/>
              <w:jc w:val="right"/>
            </w:pPr>
            <w:r/>
            <w:r>
              <w:rPr>
                <w:sz w:val="18"/>
              </w:rPr>
              <w:t>19.17</w:t>
            </w:r>
          </w:p>
        </w:tc>
        <w:tc>
          <w:tcPr>
            <w:tcW w:type="dxa" w:w="2778"/>
            <w:shd w:val="clear" w:color="auto" w:fill="F2F4F7"/>
          </w:tcPr>
          <w:p>
            <w:pPr>
              <w:spacing w:after="0" w:line="240" w:lineRule="auto"/>
              <w:jc w:val="right"/>
            </w:pPr>
            <w:r/>
            <w:r>
              <w:rPr>
                <w:sz w:val="18"/>
              </w:rPr>
              <w:t>230.00</w:t>
            </w:r>
          </w:p>
        </w:tc>
      </w:tr>
    </w:tbl>
    <w:p>
      <w:pPr>
        <w:spacing w:after="80"/>
      </w:pPr>
    </w:p>
    <w:p>
      <w:r>
        <w:rPr>
          <w:b w:val="0"/>
          <w:i w:val="0"/>
        </w:rPr>
        <w:t>Alternatives considered and not recommended are in section 13.4: a percentage of collections with floor and cap, and a hybrid of a fixed minimum plus a share of collections.</w:t>
      </w:r>
    </w:p>
    <w:p>
      <w:pPr>
        <w:pStyle w:val="Heading1"/>
        <w:pageBreakBefore/>
      </w:pPr>
      <w:r>
        <w:t>13. Returns analysis and sensitivities</w:t>
      </w:r>
    </w:p>
    <w:p>
      <w:r>
        <w:rPr>
          <w:b w:val="0"/>
          <w:i/>
        </w:rPr>
        <w:t>All returns are projections, labelled by case. IRRs are annual, compounded from quarterly flows; the investor funds in month 12.</w:t>
      </w:r>
    </w:p>
    <w:p>
      <w:pPr>
        <w:pStyle w:val="Heading2"/>
      </w:pPr>
      <w:r>
        <w:t>13.1 Option A</w:t>
      </w:r>
    </w:p>
    <w:p>
      <w:pPr>
        <w:keepNext/>
        <w:spacing w:after="60"/>
      </w:pPr>
      <w:r>
        <w:rPr>
          <w:b/>
          <w:color w:val="17324D"/>
          <w:sz w:val="19"/>
        </w:rPr>
        <w:t>Table 20: Option A investor returns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29.2%</w:t>
            </w:r>
          </w:p>
        </w:tc>
        <w:tc>
          <w:tcPr>
            <w:tcW w:type="dxa" w:w="1701"/>
          </w:tcPr>
          <w:p>
            <w:pPr>
              <w:spacing w:after="0" w:line="240" w:lineRule="auto"/>
              <w:jc w:val="right"/>
            </w:pPr>
            <w:r/>
            <w:r>
              <w:rPr>
                <w:sz w:val="19"/>
              </w:rPr>
              <w:t>2.87x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20.4%</w:t>
            </w:r>
          </w:p>
        </w:tc>
        <w:tc>
          <w:tcPr>
            <w:tcW w:type="dxa" w:w="1701"/>
            <w:shd w:val="clear" w:color="auto" w:fill="F2F4F7"/>
          </w:tcPr>
          <w:p>
            <w:pPr>
              <w:spacing w:after="0" w:line="240" w:lineRule="auto"/>
              <w:jc w:val="right"/>
            </w:pPr>
            <w:r/>
            <w:r>
              <w:rPr>
                <w:sz w:val="19"/>
              </w:rPr>
              <w:t>2.59x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32.3%</w:t>
            </w:r>
          </w:p>
        </w:tc>
        <w:tc>
          <w:tcPr>
            <w:tcW w:type="dxa" w:w="1701"/>
          </w:tcPr>
          <w:p>
            <w:pPr>
              <w:spacing w:after="0" w:line="240" w:lineRule="auto"/>
              <w:jc w:val="right"/>
            </w:pPr>
            <w:r/>
            <w:r>
              <w:rPr>
                <w:sz w:val="19"/>
              </w:rPr>
              <w:t>3.16x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27.5%</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31.7%</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17.5%</w:t>
            </w:r>
          </w:p>
        </w:tc>
        <w:tc>
          <w:tcPr>
            <w:tcW w:type="dxa" w:w="1701"/>
            <w:shd w:val="clear" w:color="auto" w:fill="F2F4F7"/>
          </w:tcPr>
          <w:p>
            <w:pPr>
              <w:spacing w:after="0" w:line="240" w:lineRule="auto"/>
              <w:jc w:val="right"/>
            </w:pPr>
            <w:r/>
            <w:r>
              <w:rPr>
                <w:sz w:val="19"/>
              </w:rPr>
              <w:t>1.94x</w:t>
            </w:r>
          </w:p>
        </w:tc>
      </w:tr>
    </w:tbl>
    <w:p>
      <w:pPr>
        <w:spacing w:after="80"/>
      </w:pPr>
    </w:p>
    <w:p>
      <w:r>
        <w:rPr>
          <w:b w:val="0"/>
          <w:i w:val="0"/>
        </w:rPr>
        <w:t>Break-even: the units can fall to 35% of the delivery list price before the investor loses money on the ticket. The base case relies on list prices rising by 44% (retail) and 50% (offices); with no appreciation the units return 1.94x.</w:t>
      </w:r>
    </w:p>
    <w:p>
      <w:pPr>
        <w:keepNext/>
        <w:spacing w:after="60"/>
      </w:pPr>
      <w:r>
        <w:rPr>
          <w:b/>
          <w:color w:val="17324D"/>
          <w:sz w:val="19"/>
        </w:rPr>
        <w:t>Table 21: Sensitivity to the face multiple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Face multiple</w:t>
            </w:r>
          </w:p>
        </w:tc>
        <w:tc>
          <w:tcPr>
            <w:tcW w:type="dxa" w:w="2324"/>
            <w:shd w:val="clear" w:color="auto" w:fill="17324D"/>
          </w:tcPr>
          <w:p>
            <w:pPr>
              <w:spacing w:after="0" w:line="240" w:lineRule="auto"/>
              <w:jc w:val="right"/>
            </w:pPr>
            <w:r/>
            <w:r>
              <w:rPr>
                <w:b/>
                <w:color w:val="FFFFFF"/>
                <w:sz w:val="19"/>
              </w:rPr>
              <w:t>Investor IRR</w:t>
            </w:r>
          </w:p>
        </w:tc>
        <w:tc>
          <w:tcPr>
            <w:tcW w:type="dxa" w:w="2324"/>
            <w:shd w:val="clear" w:color="auto" w:fill="17324D"/>
          </w:tcPr>
          <w:p>
            <w:pPr>
              <w:spacing w:after="0" w:line="240" w:lineRule="auto"/>
              <w:jc w:val="right"/>
            </w:pPr>
            <w:r/>
            <w:r>
              <w:rPr>
                <w:b/>
                <w:color w:val="FFFFFF"/>
                <w:sz w:val="19"/>
              </w:rPr>
              <w:t>Investor MOIC</w:t>
            </w:r>
          </w:p>
        </w:tc>
        <w:tc>
          <w:tcPr>
            <w:tcW w:type="dxa" w:w="2665"/>
            <w:shd w:val="clear" w:color="auto" w:fill="17324D"/>
          </w:tcPr>
          <w:p>
            <w:pPr>
              <w:spacing w:after="0" w:line="240" w:lineRule="auto"/>
              <w:jc w:val="right"/>
            </w:pPr>
            <w:r/>
            <w:r>
              <w:rPr>
                <w:b/>
                <w:color w:val="FFFFFF"/>
                <w:sz w:val="19"/>
              </w:rPr>
              <w:t>Jalour cost of capital</w:t>
            </w:r>
          </w:p>
        </w:tc>
      </w:tr>
      <w:tr>
        <w:trPr>
          <w:cantSplit/>
        </w:trPr>
        <w:tc>
          <w:tcPr>
            <w:tcW w:type="dxa" w:w="1928"/>
          </w:tcPr>
          <w:p>
            <w:pPr>
              <w:spacing w:after="0" w:line="240" w:lineRule="auto"/>
            </w:pPr>
            <w:r/>
            <w:r>
              <w:rPr>
                <w:sz w:val="19"/>
              </w:rPr>
              <w:t>1.50x</w:t>
            </w:r>
          </w:p>
        </w:tc>
        <w:tc>
          <w:tcPr>
            <w:tcW w:type="dxa" w:w="2324"/>
          </w:tcPr>
          <w:p>
            <w:pPr>
              <w:spacing w:after="0" w:line="240" w:lineRule="auto"/>
              <w:jc w:val="right"/>
            </w:pPr>
            <w:r/>
            <w:r>
              <w:rPr>
                <w:sz w:val="19"/>
              </w:rPr>
              <w:t>20.5%</w:t>
            </w:r>
          </w:p>
        </w:tc>
        <w:tc>
          <w:tcPr>
            <w:tcW w:type="dxa" w:w="2324"/>
          </w:tcPr>
          <w:p>
            <w:pPr>
              <w:spacing w:after="0" w:line="240" w:lineRule="auto"/>
              <w:jc w:val="right"/>
            </w:pPr>
            <w:r/>
            <w:r>
              <w:rPr>
                <w:sz w:val="19"/>
              </w:rPr>
              <w:t>2.16x</w:t>
            </w:r>
          </w:p>
        </w:tc>
        <w:tc>
          <w:tcPr>
            <w:tcW w:type="dxa" w:w="2665"/>
          </w:tcPr>
          <w:p>
            <w:pPr>
              <w:spacing w:after="0" w:line="240" w:lineRule="auto"/>
              <w:jc w:val="right"/>
            </w:pPr>
            <w:r/>
            <w:r>
              <w:rPr>
                <w:sz w:val="19"/>
              </w:rPr>
              <w:t>11.3%</w:t>
            </w:r>
          </w:p>
        </w:tc>
      </w:tr>
      <w:tr>
        <w:trPr>
          <w:cantSplit/>
        </w:trPr>
        <w:tc>
          <w:tcPr>
            <w:tcW w:type="dxa" w:w="1928"/>
            <w:shd w:val="clear" w:color="auto" w:fill="F2F4F7"/>
          </w:tcPr>
          <w:p>
            <w:pPr>
              <w:spacing w:after="0" w:line="240" w:lineRule="auto"/>
            </w:pPr>
            <w:r/>
            <w:r>
              <w:rPr>
                <w:sz w:val="19"/>
              </w:rPr>
              <w:t>1.75x</w:t>
            </w:r>
          </w:p>
        </w:tc>
        <w:tc>
          <w:tcPr>
            <w:tcW w:type="dxa" w:w="2324"/>
            <w:shd w:val="clear" w:color="auto" w:fill="F2F4F7"/>
          </w:tcPr>
          <w:p>
            <w:pPr>
              <w:spacing w:after="0" w:line="240" w:lineRule="auto"/>
              <w:jc w:val="right"/>
            </w:pPr>
            <w:r/>
            <w:r>
              <w:rPr>
                <w:sz w:val="19"/>
              </w:rPr>
              <w:t>25.1%</w:t>
            </w:r>
          </w:p>
        </w:tc>
        <w:tc>
          <w:tcPr>
            <w:tcW w:type="dxa" w:w="2324"/>
            <w:shd w:val="clear" w:color="auto" w:fill="F2F4F7"/>
          </w:tcPr>
          <w:p>
            <w:pPr>
              <w:spacing w:after="0" w:line="240" w:lineRule="auto"/>
              <w:jc w:val="right"/>
            </w:pPr>
            <w:r/>
            <w:r>
              <w:rPr>
                <w:sz w:val="19"/>
              </w:rPr>
              <w:t>2.51x</w:t>
            </w:r>
          </w:p>
        </w:tc>
        <w:tc>
          <w:tcPr>
            <w:tcW w:type="dxa" w:w="2665"/>
            <w:shd w:val="clear" w:color="auto" w:fill="F2F4F7"/>
          </w:tcPr>
          <w:p>
            <w:pPr>
              <w:spacing w:after="0" w:line="240" w:lineRule="auto"/>
              <w:jc w:val="right"/>
            </w:pPr>
            <w:r/>
            <w:r>
              <w:rPr>
                <w:sz w:val="19"/>
              </w:rPr>
              <w:t>17.0%</w:t>
            </w:r>
          </w:p>
        </w:tc>
      </w:tr>
      <w:tr>
        <w:trPr>
          <w:cantSplit/>
        </w:trPr>
        <w:tc>
          <w:tcPr>
            <w:tcW w:type="dxa" w:w="1928"/>
          </w:tcPr>
          <w:p>
            <w:pPr>
              <w:spacing w:after="0" w:line="240" w:lineRule="auto"/>
            </w:pPr>
            <w:r/>
            <w:r>
              <w:rPr>
                <w:sz w:val="19"/>
              </w:rPr>
              <w:t>2.00x</w:t>
            </w:r>
          </w:p>
        </w:tc>
        <w:tc>
          <w:tcPr>
            <w:tcW w:type="dxa" w:w="2324"/>
          </w:tcPr>
          <w:p>
            <w:pPr>
              <w:spacing w:after="0" w:line="240" w:lineRule="auto"/>
              <w:jc w:val="right"/>
            </w:pPr>
            <w:r/>
            <w:r>
              <w:rPr>
                <w:sz w:val="19"/>
              </w:rPr>
              <w:t>29.2%</w:t>
            </w:r>
          </w:p>
        </w:tc>
        <w:tc>
          <w:tcPr>
            <w:tcW w:type="dxa" w:w="2324"/>
          </w:tcPr>
          <w:p>
            <w:pPr>
              <w:spacing w:after="0" w:line="240" w:lineRule="auto"/>
              <w:jc w:val="right"/>
            </w:pPr>
            <w:r/>
            <w:r>
              <w:rPr>
                <w:sz w:val="19"/>
              </w:rPr>
              <w:t>2.87x</w:t>
            </w:r>
          </w:p>
        </w:tc>
        <w:tc>
          <w:tcPr>
            <w:tcW w:type="dxa" w:w="2665"/>
          </w:tcPr>
          <w:p>
            <w:pPr>
              <w:spacing w:after="0" w:line="240" w:lineRule="auto"/>
              <w:jc w:val="right"/>
            </w:pPr>
            <w:r/>
            <w:r>
              <w:rPr>
                <w:sz w:val="19"/>
              </w:rPr>
              <w:t>22.6%</w:t>
            </w:r>
          </w:p>
        </w:tc>
      </w:tr>
      <w:tr>
        <w:trPr>
          <w:cantSplit/>
        </w:trPr>
        <w:tc>
          <w:tcPr>
            <w:tcW w:type="dxa" w:w="1928"/>
            <w:shd w:val="clear" w:color="auto" w:fill="F2F4F7"/>
          </w:tcPr>
          <w:p>
            <w:pPr>
              <w:spacing w:after="0" w:line="240" w:lineRule="auto"/>
            </w:pPr>
            <w:r/>
            <w:r>
              <w:rPr>
                <w:sz w:val="19"/>
              </w:rPr>
              <w:t>2.25x</w:t>
            </w:r>
          </w:p>
        </w:tc>
        <w:tc>
          <w:tcPr>
            <w:tcW w:type="dxa" w:w="2324"/>
            <w:shd w:val="clear" w:color="auto" w:fill="F2F4F7"/>
          </w:tcPr>
          <w:p>
            <w:pPr>
              <w:spacing w:after="0" w:line="240" w:lineRule="auto"/>
              <w:jc w:val="right"/>
            </w:pPr>
            <w:r/>
            <w:r>
              <w:rPr>
                <w:sz w:val="19"/>
              </w:rPr>
              <w:t>33.0%</w:t>
            </w:r>
          </w:p>
        </w:tc>
        <w:tc>
          <w:tcPr>
            <w:tcW w:type="dxa" w:w="2324"/>
            <w:shd w:val="clear" w:color="auto" w:fill="F2F4F7"/>
          </w:tcPr>
          <w:p>
            <w:pPr>
              <w:spacing w:after="0" w:line="240" w:lineRule="auto"/>
              <w:jc w:val="right"/>
            </w:pPr>
            <w:r/>
            <w:r>
              <w:rPr>
                <w:sz w:val="19"/>
              </w:rPr>
              <w:t>3.23x</w:t>
            </w:r>
          </w:p>
        </w:tc>
        <w:tc>
          <w:tcPr>
            <w:tcW w:type="dxa" w:w="2665"/>
            <w:shd w:val="clear" w:color="auto" w:fill="F2F4F7"/>
          </w:tcPr>
          <w:p>
            <w:pPr>
              <w:spacing w:after="0" w:line="240" w:lineRule="auto"/>
              <w:jc w:val="right"/>
            </w:pPr>
            <w:r/>
            <w:r>
              <w:rPr>
                <w:sz w:val="19"/>
              </w:rPr>
              <w:t>28.0%</w:t>
            </w:r>
          </w:p>
        </w:tc>
      </w:tr>
      <w:tr>
        <w:trPr>
          <w:cantSplit/>
        </w:trPr>
        <w:tc>
          <w:tcPr>
            <w:tcW w:type="dxa" w:w="1928"/>
          </w:tcPr>
          <w:p>
            <w:pPr>
              <w:spacing w:after="0" w:line="240" w:lineRule="auto"/>
            </w:pPr>
            <w:r/>
            <w:r>
              <w:rPr>
                <w:sz w:val="19"/>
              </w:rPr>
              <w:t>2.50x</w:t>
            </w:r>
          </w:p>
        </w:tc>
        <w:tc>
          <w:tcPr>
            <w:tcW w:type="dxa" w:w="2324"/>
          </w:tcPr>
          <w:p>
            <w:pPr>
              <w:spacing w:after="0" w:line="240" w:lineRule="auto"/>
              <w:jc w:val="right"/>
            </w:pPr>
            <w:r/>
            <w:r>
              <w:rPr>
                <w:sz w:val="19"/>
              </w:rPr>
              <w:t>36.5%</w:t>
            </w:r>
          </w:p>
        </w:tc>
        <w:tc>
          <w:tcPr>
            <w:tcW w:type="dxa" w:w="2324"/>
          </w:tcPr>
          <w:p>
            <w:pPr>
              <w:spacing w:after="0" w:line="240" w:lineRule="auto"/>
              <w:jc w:val="right"/>
            </w:pPr>
            <w:r/>
            <w:r>
              <w:rPr>
                <w:sz w:val="19"/>
              </w:rPr>
              <w:t>3.59x</w:t>
            </w:r>
          </w:p>
        </w:tc>
        <w:tc>
          <w:tcPr>
            <w:tcW w:type="dxa" w:w="2665"/>
          </w:tcPr>
          <w:p>
            <w:pPr>
              <w:spacing w:after="0" w:line="240" w:lineRule="auto"/>
              <w:jc w:val="right"/>
            </w:pPr>
            <w:r/>
            <w:r>
              <w:rPr>
                <w:sz w:val="19"/>
              </w:rPr>
              <w:t>33.3%</w:t>
            </w:r>
          </w:p>
        </w:tc>
      </w:tr>
    </w:tbl>
    <w:p>
      <w:pPr>
        <w:spacing w:after="80"/>
      </w:pPr>
    </w:p>
    <w:p>
      <w:r>
        <w:rPr>
          <w:b/>
          <w:i w:val="0"/>
        </w:rPr>
        <w:t>Cost to Jalour.</w:t>
      </w:r>
      <w:r>
        <w:rPr>
          <w:b w:val="0"/>
          <w:i w:val="0"/>
        </w:rPr>
        <w:t xml:space="preserve"> Giving the investor units from the first two sales tranches removes 28% of those tranches' collections. Jalour receives the ticket at funding and forgoes those collections (the units' face value of EGP 200 million at list) as they would have been received, partly offset by commission saved. The landlord share is unchanged. On this basis Jalour's cost of capital is 22.6%; the NPV effect at 14% is EGP -20.8 million and the project NPV after the deal is EGP 287 million (before: 308). Peak cumulative shortage before the ticket rises to EGP 137.4 million. If the same area were taken pro rata from all tranches (at higher average prices) the cost would be 31.6%.</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inv.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investor cash flow by option. </w:t>
      </w:r>
      <w:r>
        <w:rPr>
          <w:i/>
          <w:color w:val="6B7280"/>
          <w:sz w:val="18"/>
        </w:rPr>
        <w:t>Source: Financial Annex, Option_A and Option_B sheets; projections</w:t>
      </w:r>
    </w:p>
    <w:p>
      <w:pPr>
        <w:pStyle w:val="Heading2"/>
      </w:pPr>
      <w:r>
        <w:t>13.2 Option B</w:t>
      </w:r>
    </w:p>
    <w:p>
      <w:pPr>
        <w:keepNext/>
        <w:spacing w:after="60"/>
      </w:pPr>
      <w:r>
        <w:rPr>
          <w:b/>
          <w:color w:val="17324D"/>
          <w:sz w:val="19"/>
        </w:rPr>
        <w:t>Table 22: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 and payouts (EGP m)</w:t>
            </w:r>
          </w:p>
        </w:tc>
        <w:tc>
          <w:tcPr>
            <w:tcW w:type="dxa" w:w="1417"/>
            <w:shd w:val="clear" w:color="auto" w:fill="F2F4F7"/>
          </w:tcPr>
          <w:p>
            <w:pPr>
              <w:spacing w:after="0" w:line="240" w:lineRule="auto"/>
              <w:jc w:val="right"/>
            </w:pPr>
            <w:r/>
            <w:r>
              <w:rPr>
                <w:sz w:val="19"/>
              </w:rPr>
              <w:t>-2</w:t>
            </w:r>
          </w:p>
        </w:tc>
        <w:tc>
          <w:tcPr>
            <w:tcW w:type="dxa" w:w="1474"/>
            <w:shd w:val="clear" w:color="auto" w:fill="F2F4F7"/>
          </w:tcPr>
          <w:p>
            <w:pPr>
              <w:spacing w:after="0" w:line="240" w:lineRule="auto"/>
              <w:jc w:val="right"/>
            </w:pPr>
            <w:r/>
            <w:r>
              <w:rPr>
                <w:sz w:val="19"/>
              </w:rPr>
              <w:t>-864</w:t>
            </w:r>
          </w:p>
        </w:tc>
        <w:tc>
          <w:tcPr>
            <w:tcW w:type="dxa" w:w="1474"/>
            <w:shd w:val="clear" w:color="auto" w:fill="F2F4F7"/>
          </w:tcPr>
          <w:p>
            <w:pPr>
              <w:spacing w:after="0" w:line="240" w:lineRule="auto"/>
              <w:jc w:val="right"/>
            </w:pPr>
            <w:r/>
            <w:r>
              <w:rPr>
                <w:sz w:val="19"/>
              </w:rPr>
              <w:t>0</w:t>
            </w:r>
          </w:p>
        </w:tc>
        <w:tc>
          <w:tcPr>
            <w:tcW w:type="dxa" w:w="1474"/>
            <w:shd w:val="clear" w:color="auto" w:fill="F2F4F7"/>
          </w:tcPr>
          <w:p>
            <w:pPr>
              <w:spacing w:after="0" w:line="240" w:lineRule="auto"/>
              <w:jc w:val="right"/>
            </w:pPr>
            <w:r/>
            <w:r>
              <w:rPr>
                <w:sz w:val="19"/>
              </w:rPr>
              <w:t>-240</w:t>
            </w:r>
          </w:p>
        </w:tc>
      </w:tr>
    </w:tbl>
    <w:p>
      <w:pPr>
        <w:spacing w:after="80"/>
      </w:pPr>
    </w:p>
    <w:p>
      <w:r>
        <w:rPr>
          <w:b w:val="0"/>
          <w:i w:val="0"/>
        </w:rPr>
        <w:t>In the base case the lowest pooled cash of EGP -2.0 million arises in month 30, before any instalment is due; it is the amount by which the modelled peak shortage exceeds the ticket and is funded by Jalour.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23: Payout coverage,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8"/>
              </w:rPr>
              <w:t>Month</w:t>
            </w:r>
          </w:p>
        </w:tc>
        <w:tc>
          <w:tcPr>
            <w:tcW w:type="dxa" w:w="2268"/>
            <w:shd w:val="clear" w:color="auto" w:fill="17324D"/>
          </w:tcPr>
          <w:p>
            <w:pPr>
              <w:spacing w:after="0" w:line="240" w:lineRule="auto"/>
              <w:jc w:val="right"/>
            </w:pPr>
            <w:r/>
            <w:r>
              <w:rPr>
                <w:b/>
                <w:color w:val="FFFFFF"/>
                <w:sz w:val="18"/>
              </w:rPr>
              <w:t>Net cash flow before payout (EGP m)</w:t>
            </w:r>
          </w:p>
        </w:tc>
        <w:tc>
          <w:tcPr>
            <w:tcW w:type="dxa" w:w="1701"/>
            <w:shd w:val="clear" w:color="auto" w:fill="17324D"/>
          </w:tcPr>
          <w:p>
            <w:pPr>
              <w:spacing w:after="0" w:line="240" w:lineRule="auto"/>
              <w:jc w:val="right"/>
            </w:pPr>
            <w:r/>
            <w:r>
              <w:rPr>
                <w:b/>
                <w:color w:val="FFFFFF"/>
                <w:sz w:val="18"/>
              </w:rPr>
              <w:t>Instalment (EGP m)</w:t>
            </w:r>
          </w:p>
        </w:tc>
        <w:tc>
          <w:tcPr>
            <w:tcW w:type="dxa" w:w="2098"/>
            <w:shd w:val="clear" w:color="auto" w:fill="17324D"/>
          </w:tcPr>
          <w:p>
            <w:pPr>
              <w:spacing w:after="0" w:line="240" w:lineRule="auto"/>
              <w:jc w:val="right"/>
            </w:pPr>
            <w:r/>
            <w:r>
              <w:rPr>
                <w:b/>
                <w:color w:val="FFFFFF"/>
                <w:sz w:val="18"/>
              </w:rPr>
              <w:t>Coverage: net cash flow / instalment</w:t>
            </w:r>
          </w:p>
        </w:tc>
        <w:tc>
          <w:tcPr>
            <w:tcW w:type="dxa" w:w="2041"/>
            <w:shd w:val="clear" w:color="auto" w:fill="17324D"/>
          </w:tcPr>
          <w:p>
            <w:pPr>
              <w:spacing w:after="0" w:line="240" w:lineRule="auto"/>
              <w:jc w:val="right"/>
            </w:pPr>
            <w:r/>
            <w:r>
              <w:rPr>
                <w:b/>
                <w:color w:val="FFFFFF"/>
                <w:sz w:val="18"/>
              </w:rPr>
              <w:t>Coverage: cash available / instalment</w:t>
            </w:r>
          </w:p>
        </w:tc>
      </w:tr>
      <w:tr>
        <w:trPr>
          <w:cantSplit/>
        </w:trPr>
        <w:tc>
          <w:tcPr>
            <w:tcW w:type="dxa" w:w="1134"/>
          </w:tcPr>
          <w:p>
            <w:pPr>
              <w:spacing w:after="0" w:line="240" w:lineRule="auto"/>
            </w:pPr>
            <w:r/>
            <w:r>
              <w:rPr>
                <w:sz w:val="18"/>
              </w:rPr>
              <w:t>39</w:t>
            </w:r>
          </w:p>
        </w:tc>
        <w:tc>
          <w:tcPr>
            <w:tcW w:type="dxa" w:w="2268"/>
          </w:tcPr>
          <w:p>
            <w:pPr>
              <w:spacing w:after="0" w:line="240" w:lineRule="auto"/>
              <w:jc w:val="right"/>
            </w:pPr>
            <w:r/>
            <w:r>
              <w:rPr>
                <w:sz w:val="18"/>
              </w:rPr>
              <w:t>45.0</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2.3x</w:t>
            </w:r>
          </w:p>
        </w:tc>
        <w:tc>
          <w:tcPr>
            <w:tcW w:type="dxa" w:w="2041"/>
          </w:tcPr>
          <w:p>
            <w:pPr>
              <w:spacing w:after="0" w:line="240" w:lineRule="auto"/>
              <w:jc w:val="right"/>
            </w:pPr>
            <w:r/>
            <w:r>
              <w:rPr>
                <w:sz w:val="18"/>
              </w:rPr>
              <w:t>3.5x</w:t>
            </w:r>
          </w:p>
        </w:tc>
      </w:tr>
      <w:tr>
        <w:trPr>
          <w:cantSplit/>
        </w:trPr>
        <w:tc>
          <w:tcPr>
            <w:tcW w:type="dxa" w:w="1134"/>
            <w:shd w:val="clear" w:color="auto" w:fill="F2F4F7"/>
          </w:tcPr>
          <w:p>
            <w:pPr>
              <w:spacing w:after="0" w:line="240" w:lineRule="auto"/>
            </w:pPr>
            <w:r/>
            <w:r>
              <w:rPr>
                <w:sz w:val="18"/>
              </w:rPr>
              <w:t>42</w:t>
            </w:r>
          </w:p>
        </w:tc>
        <w:tc>
          <w:tcPr>
            <w:tcW w:type="dxa" w:w="2268"/>
            <w:shd w:val="clear" w:color="auto" w:fill="F2F4F7"/>
          </w:tcPr>
          <w:p>
            <w:pPr>
              <w:spacing w:after="0" w:line="240" w:lineRule="auto"/>
              <w:jc w:val="right"/>
            </w:pPr>
            <w:r/>
            <w:r>
              <w:rPr>
                <w:sz w:val="18"/>
              </w:rPr>
              <w:t>55.2</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2.9x</w:t>
            </w:r>
          </w:p>
        </w:tc>
        <w:tc>
          <w:tcPr>
            <w:tcW w:type="dxa" w:w="2041"/>
            <w:shd w:val="clear" w:color="auto" w:fill="F2F4F7"/>
          </w:tcPr>
          <w:p>
            <w:pPr>
              <w:spacing w:after="0" w:line="240" w:lineRule="auto"/>
              <w:jc w:val="right"/>
            </w:pPr>
            <w:r/>
            <w:r>
              <w:rPr>
                <w:sz w:val="18"/>
              </w:rPr>
              <w:t>5.4x</w:t>
            </w:r>
          </w:p>
        </w:tc>
      </w:tr>
      <w:tr>
        <w:trPr>
          <w:cantSplit/>
        </w:trPr>
        <w:tc>
          <w:tcPr>
            <w:tcW w:type="dxa" w:w="1134"/>
          </w:tcPr>
          <w:p>
            <w:pPr>
              <w:spacing w:after="0" w:line="240" w:lineRule="auto"/>
            </w:pPr>
            <w:r/>
            <w:r>
              <w:rPr>
                <w:sz w:val="18"/>
              </w:rPr>
              <w:t>45</w:t>
            </w:r>
          </w:p>
        </w:tc>
        <w:tc>
          <w:tcPr>
            <w:tcW w:type="dxa" w:w="2268"/>
          </w:tcPr>
          <w:p>
            <w:pPr>
              <w:spacing w:after="0" w:line="240" w:lineRule="auto"/>
              <w:jc w:val="right"/>
            </w:pPr>
            <w:r/>
            <w:r>
              <w:rPr>
                <w:sz w:val="18"/>
              </w:rPr>
              <w:t>481.3</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25.1x</w:t>
            </w:r>
          </w:p>
        </w:tc>
        <w:tc>
          <w:tcPr>
            <w:tcW w:type="dxa" w:w="2041"/>
          </w:tcPr>
          <w:p>
            <w:pPr>
              <w:spacing w:after="0" w:line="240" w:lineRule="auto"/>
              <w:jc w:val="right"/>
            </w:pPr>
            <w:r/>
            <w:r>
              <w:rPr>
                <w:sz w:val="18"/>
              </w:rPr>
              <w:t>29.5x</w:t>
            </w:r>
          </w:p>
        </w:tc>
      </w:tr>
      <w:tr>
        <w:trPr>
          <w:cantSplit/>
        </w:trPr>
        <w:tc>
          <w:tcPr>
            <w:tcW w:type="dxa" w:w="1134"/>
            <w:shd w:val="clear" w:color="auto" w:fill="F2F4F7"/>
          </w:tcPr>
          <w:p>
            <w:pPr>
              <w:spacing w:after="0" w:line="240" w:lineRule="auto"/>
            </w:pPr>
            <w:r/>
            <w:r>
              <w:rPr>
                <w:sz w:val="18"/>
              </w:rPr>
              <w:t>48</w:t>
            </w:r>
          </w:p>
        </w:tc>
        <w:tc>
          <w:tcPr>
            <w:tcW w:type="dxa" w:w="2268"/>
            <w:shd w:val="clear" w:color="auto" w:fill="F2F4F7"/>
          </w:tcPr>
          <w:p>
            <w:pPr>
              <w:spacing w:after="0" w:line="240" w:lineRule="auto"/>
              <w:jc w:val="right"/>
            </w:pPr>
            <w:r/>
            <w:r>
              <w:rPr>
                <w:sz w:val="18"/>
              </w:rPr>
              <w:t>-30.2</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-1.6x</w:t>
            </w:r>
          </w:p>
        </w:tc>
        <w:tc>
          <w:tcPr>
            <w:tcW w:type="dxa" w:w="2041"/>
            <w:shd w:val="clear" w:color="auto" w:fill="F2F4F7"/>
          </w:tcPr>
          <w:p>
            <w:pPr>
              <w:spacing w:after="0" w:line="240" w:lineRule="auto"/>
              <w:jc w:val="right"/>
            </w:pPr>
            <w:r/>
            <w:r>
              <w:rPr>
                <w:sz w:val="18"/>
              </w:rPr>
              <w:t>26.9x</w:t>
            </w:r>
          </w:p>
        </w:tc>
      </w:tr>
      <w:tr>
        <w:trPr>
          <w:cantSplit/>
        </w:trPr>
        <w:tc>
          <w:tcPr>
            <w:tcW w:type="dxa" w:w="1134"/>
          </w:tcPr>
          <w:p>
            <w:pPr>
              <w:spacing w:after="0" w:line="240" w:lineRule="auto"/>
            </w:pPr>
            <w:r/>
            <w:r>
              <w:rPr>
                <w:sz w:val="18"/>
              </w:rPr>
              <w:t>51</w:t>
            </w:r>
          </w:p>
        </w:tc>
        <w:tc>
          <w:tcPr>
            <w:tcW w:type="dxa" w:w="2268"/>
          </w:tcPr>
          <w:p>
            <w:pPr>
              <w:spacing w:after="0" w:line="240" w:lineRule="auto"/>
              <w:jc w:val="right"/>
            </w:pPr>
            <w:r/>
            <w:r>
              <w:rPr>
                <w:sz w:val="18"/>
              </w:rPr>
              <w:t>-129.2</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-6.7x</w:t>
            </w:r>
          </w:p>
        </w:tc>
        <w:tc>
          <w:tcPr>
            <w:tcW w:type="dxa" w:w="2041"/>
          </w:tcPr>
          <w:p>
            <w:pPr>
              <w:spacing w:after="0" w:line="240" w:lineRule="auto"/>
              <w:jc w:val="right"/>
            </w:pPr>
            <w:r/>
            <w:r>
              <w:rPr>
                <w:sz w:val="18"/>
              </w:rPr>
              <w:t>19.2x</w:t>
            </w:r>
          </w:p>
        </w:tc>
      </w:tr>
      <w:tr>
        <w:trPr>
          <w:cantSplit/>
        </w:trPr>
        <w:tc>
          <w:tcPr>
            <w:tcW w:type="dxa" w:w="1134"/>
            <w:shd w:val="clear" w:color="auto" w:fill="F2F4F7"/>
          </w:tcPr>
          <w:p>
            <w:pPr>
              <w:spacing w:after="0" w:line="240" w:lineRule="auto"/>
            </w:pPr>
            <w:r/>
            <w:r>
              <w:rPr>
                <w:sz w:val="18"/>
              </w:rPr>
              <w:t>54</w:t>
            </w:r>
          </w:p>
        </w:tc>
        <w:tc>
          <w:tcPr>
            <w:tcW w:type="dxa" w:w="2268"/>
            <w:shd w:val="clear" w:color="auto" w:fill="F2F4F7"/>
          </w:tcPr>
          <w:p>
            <w:pPr>
              <w:spacing w:after="0" w:line="240" w:lineRule="auto"/>
              <w:jc w:val="right"/>
            </w:pPr>
            <w:r/>
            <w:r>
              <w:rPr>
                <w:sz w:val="18"/>
              </w:rPr>
              <w:t>-98.4</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-5.1x</w:t>
            </w:r>
          </w:p>
        </w:tc>
        <w:tc>
          <w:tcPr>
            <w:tcW w:type="dxa" w:w="2041"/>
            <w:shd w:val="clear" w:color="auto" w:fill="F2F4F7"/>
          </w:tcPr>
          <w:p>
            <w:pPr>
              <w:spacing w:after="0" w:line="240" w:lineRule="auto"/>
              <w:jc w:val="right"/>
            </w:pPr>
            <w:r/>
            <w:r>
              <w:rPr>
                <w:sz w:val="18"/>
              </w:rPr>
              <w:t>13.0x</w:t>
            </w:r>
          </w:p>
        </w:tc>
      </w:tr>
      <w:tr>
        <w:trPr>
          <w:cantSplit/>
        </w:trPr>
        <w:tc>
          <w:tcPr>
            <w:tcW w:type="dxa" w:w="1134"/>
          </w:tcPr>
          <w:p>
            <w:pPr>
              <w:spacing w:after="0" w:line="240" w:lineRule="auto"/>
            </w:pPr>
            <w:r/>
            <w:r>
              <w:rPr>
                <w:sz w:val="18"/>
              </w:rPr>
              <w:t>57</w:t>
            </w:r>
          </w:p>
        </w:tc>
        <w:tc>
          <w:tcPr>
            <w:tcW w:type="dxa" w:w="2268"/>
          </w:tcPr>
          <w:p>
            <w:pPr>
              <w:spacing w:after="0" w:line="240" w:lineRule="auto"/>
              <w:jc w:val="right"/>
            </w:pPr>
            <w:r/>
            <w:r>
              <w:rPr>
                <w:sz w:val="18"/>
              </w:rPr>
              <w:t>36.8</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1.9x</w:t>
            </w:r>
          </w:p>
        </w:tc>
        <w:tc>
          <w:tcPr>
            <w:tcW w:type="dxa" w:w="2041"/>
          </w:tcPr>
          <w:p>
            <w:pPr>
              <w:spacing w:after="0" w:line="240" w:lineRule="auto"/>
              <w:jc w:val="right"/>
            </w:pPr>
            <w:r/>
            <w:r>
              <w:rPr>
                <w:sz w:val="18"/>
              </w:rPr>
              <w:t>14.0x</w:t>
            </w:r>
          </w:p>
        </w:tc>
      </w:tr>
      <w:tr>
        <w:trPr>
          <w:cantSplit/>
        </w:trPr>
        <w:tc>
          <w:tcPr>
            <w:tcW w:type="dxa" w:w="1134"/>
            <w:shd w:val="clear" w:color="auto" w:fill="F2F4F7"/>
          </w:tcPr>
          <w:p>
            <w:pPr>
              <w:spacing w:after="0" w:line="240" w:lineRule="auto"/>
            </w:pPr>
            <w:r/>
            <w:r>
              <w:rPr>
                <w:sz w:val="18"/>
              </w:rPr>
              <w:t>60</w:t>
            </w:r>
          </w:p>
        </w:tc>
        <w:tc>
          <w:tcPr>
            <w:tcW w:type="dxa" w:w="2268"/>
            <w:shd w:val="clear" w:color="auto" w:fill="F2F4F7"/>
          </w:tcPr>
          <w:p>
            <w:pPr>
              <w:spacing w:after="0" w:line="240" w:lineRule="auto"/>
              <w:jc w:val="right"/>
            </w:pPr>
            <w:r/>
            <w:r>
              <w:rPr>
                <w:sz w:val="18"/>
              </w:rPr>
              <w:t>35.0</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1.8x</w:t>
            </w:r>
          </w:p>
        </w:tc>
        <w:tc>
          <w:tcPr>
            <w:tcW w:type="dxa" w:w="2041"/>
            <w:shd w:val="clear" w:color="auto" w:fill="F2F4F7"/>
          </w:tcPr>
          <w:p>
            <w:pPr>
              <w:spacing w:after="0" w:line="240" w:lineRule="auto"/>
              <w:jc w:val="right"/>
            </w:pPr>
            <w:r/>
            <w:r>
              <w:rPr>
                <w:sz w:val="18"/>
              </w:rPr>
              <w:t>14.8x</w:t>
            </w:r>
          </w:p>
        </w:tc>
      </w:tr>
      <w:tr>
        <w:trPr>
          <w:cantSplit/>
        </w:trPr>
        <w:tc>
          <w:tcPr>
            <w:tcW w:type="dxa" w:w="1134"/>
          </w:tcPr>
          <w:p>
            <w:pPr>
              <w:spacing w:after="0" w:line="240" w:lineRule="auto"/>
            </w:pPr>
            <w:r/>
            <w:r>
              <w:rPr>
                <w:sz w:val="18"/>
              </w:rPr>
              <w:t>63</w:t>
            </w:r>
          </w:p>
        </w:tc>
        <w:tc>
          <w:tcPr>
            <w:tcW w:type="dxa" w:w="2268"/>
          </w:tcPr>
          <w:p>
            <w:pPr>
              <w:spacing w:after="0" w:line="240" w:lineRule="auto"/>
              <w:jc w:val="right"/>
            </w:pPr>
            <w:r/>
            <w:r>
              <w:rPr>
                <w:sz w:val="18"/>
              </w:rPr>
              <w:t>54.8</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2.9x</w:t>
            </w:r>
          </w:p>
        </w:tc>
        <w:tc>
          <w:tcPr>
            <w:tcW w:type="dxa" w:w="2041"/>
          </w:tcPr>
          <w:p>
            <w:pPr>
              <w:spacing w:after="0" w:line="240" w:lineRule="auto"/>
              <w:jc w:val="right"/>
            </w:pPr>
            <w:r/>
            <w:r>
              <w:rPr>
                <w:sz w:val="18"/>
              </w:rPr>
              <w:t>16.6x</w:t>
            </w:r>
          </w:p>
        </w:tc>
      </w:tr>
      <w:tr>
        <w:trPr>
          <w:cantSplit/>
        </w:trPr>
        <w:tc>
          <w:tcPr>
            <w:tcW w:type="dxa" w:w="1134"/>
            <w:shd w:val="clear" w:color="auto" w:fill="F2F4F7"/>
          </w:tcPr>
          <w:p>
            <w:pPr>
              <w:spacing w:after="0" w:line="240" w:lineRule="auto"/>
            </w:pPr>
            <w:r/>
            <w:r>
              <w:rPr>
                <w:sz w:val="18"/>
              </w:rPr>
              <w:t>66</w:t>
            </w:r>
          </w:p>
        </w:tc>
        <w:tc>
          <w:tcPr>
            <w:tcW w:type="dxa" w:w="2268"/>
            <w:shd w:val="clear" w:color="auto" w:fill="F2F4F7"/>
          </w:tcPr>
          <w:p>
            <w:pPr>
              <w:spacing w:after="0" w:line="240" w:lineRule="auto"/>
              <w:jc w:val="right"/>
            </w:pPr>
            <w:r/>
            <w:r>
              <w:rPr>
                <w:sz w:val="18"/>
              </w:rPr>
              <w:t>47.7</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2.5x</w:t>
            </w:r>
          </w:p>
        </w:tc>
        <w:tc>
          <w:tcPr>
            <w:tcW w:type="dxa" w:w="2041"/>
            <w:shd w:val="clear" w:color="auto" w:fill="F2F4F7"/>
          </w:tcPr>
          <w:p>
            <w:pPr>
              <w:spacing w:after="0" w:line="240" w:lineRule="auto"/>
              <w:jc w:val="right"/>
            </w:pPr>
            <w:r/>
            <w:r>
              <w:rPr>
                <w:sz w:val="18"/>
              </w:rPr>
              <w:t>18.1x</w:t>
            </w:r>
          </w:p>
        </w:tc>
      </w:tr>
      <w:tr>
        <w:trPr>
          <w:cantSplit/>
        </w:trPr>
        <w:tc>
          <w:tcPr>
            <w:tcW w:type="dxa" w:w="1134"/>
          </w:tcPr>
          <w:p>
            <w:pPr>
              <w:spacing w:after="0" w:line="240" w:lineRule="auto"/>
            </w:pPr>
            <w:r/>
            <w:r>
              <w:rPr>
                <w:sz w:val="18"/>
              </w:rPr>
              <w:t>69</w:t>
            </w:r>
          </w:p>
        </w:tc>
        <w:tc>
          <w:tcPr>
            <w:tcW w:type="dxa" w:w="2268"/>
          </w:tcPr>
          <w:p>
            <w:pPr>
              <w:spacing w:after="0" w:line="240" w:lineRule="auto"/>
              <w:jc w:val="right"/>
            </w:pPr>
            <w:r/>
            <w:r>
              <w:rPr>
                <w:sz w:val="18"/>
              </w:rPr>
              <w:t>38.8</w:t>
            </w:r>
          </w:p>
        </w:tc>
        <w:tc>
          <w:tcPr>
            <w:tcW w:type="dxa" w:w="1701"/>
          </w:tcPr>
          <w:p>
            <w:pPr>
              <w:spacing w:after="0" w:line="240" w:lineRule="auto"/>
              <w:jc w:val="right"/>
            </w:pPr>
            <w:r/>
            <w:r>
              <w:rPr>
                <w:sz w:val="18"/>
              </w:rPr>
              <w:t>19.17</w:t>
            </w:r>
          </w:p>
        </w:tc>
        <w:tc>
          <w:tcPr>
            <w:tcW w:type="dxa" w:w="2098"/>
          </w:tcPr>
          <w:p>
            <w:pPr>
              <w:spacing w:after="0" w:line="240" w:lineRule="auto"/>
              <w:jc w:val="right"/>
            </w:pPr>
            <w:r/>
            <w:r>
              <w:rPr>
                <w:sz w:val="18"/>
              </w:rPr>
              <w:t>2.0x</w:t>
            </w:r>
          </w:p>
        </w:tc>
        <w:tc>
          <w:tcPr>
            <w:tcW w:type="dxa" w:w="2041"/>
          </w:tcPr>
          <w:p>
            <w:pPr>
              <w:spacing w:after="0" w:line="240" w:lineRule="auto"/>
              <w:jc w:val="right"/>
            </w:pPr>
            <w:r/>
            <w:r>
              <w:rPr>
                <w:sz w:val="18"/>
              </w:rPr>
              <w:t>19.2x</w:t>
            </w:r>
          </w:p>
        </w:tc>
      </w:tr>
      <w:tr>
        <w:trPr>
          <w:cantSplit/>
        </w:trPr>
        <w:tc>
          <w:tcPr>
            <w:tcW w:type="dxa" w:w="1134"/>
            <w:shd w:val="clear" w:color="auto" w:fill="F2F4F7"/>
          </w:tcPr>
          <w:p>
            <w:pPr>
              <w:spacing w:after="0" w:line="240" w:lineRule="auto"/>
            </w:pPr>
            <w:r/>
            <w:r>
              <w:rPr>
                <w:sz w:val="18"/>
              </w:rPr>
              <w:t>72</w:t>
            </w:r>
          </w:p>
        </w:tc>
        <w:tc>
          <w:tcPr>
            <w:tcW w:type="dxa" w:w="2268"/>
            <w:shd w:val="clear" w:color="auto" w:fill="F2F4F7"/>
          </w:tcPr>
          <w:p>
            <w:pPr>
              <w:spacing w:after="0" w:line="240" w:lineRule="auto"/>
              <w:jc w:val="right"/>
            </w:pPr>
            <w:r/>
            <w:r>
              <w:rPr>
                <w:sz w:val="18"/>
              </w:rPr>
              <w:t>28.5</w:t>
            </w:r>
          </w:p>
        </w:tc>
        <w:tc>
          <w:tcPr>
            <w:tcW w:type="dxa" w:w="1701"/>
            <w:shd w:val="clear" w:color="auto" w:fill="F2F4F7"/>
          </w:tcPr>
          <w:p>
            <w:pPr>
              <w:spacing w:after="0" w:line="240" w:lineRule="auto"/>
              <w:jc w:val="right"/>
            </w:pPr>
            <w:r/>
            <w:r>
              <w:rPr>
                <w:sz w:val="18"/>
              </w:rPr>
              <w:t>19.17</w:t>
            </w:r>
          </w:p>
        </w:tc>
        <w:tc>
          <w:tcPr>
            <w:tcW w:type="dxa" w:w="2098"/>
            <w:shd w:val="clear" w:color="auto" w:fill="F2F4F7"/>
          </w:tcPr>
          <w:p>
            <w:pPr>
              <w:spacing w:after="0" w:line="240" w:lineRule="auto"/>
              <w:jc w:val="right"/>
            </w:pPr>
            <w:r/>
            <w:r>
              <w:rPr>
                <w:sz w:val="18"/>
              </w:rPr>
              <w:t>1.5x</w:t>
            </w:r>
          </w:p>
        </w:tc>
        <w:tc>
          <w:tcPr>
            <w:tcW w:type="dxa" w:w="2041"/>
            <w:shd w:val="clear" w:color="auto" w:fill="F2F4F7"/>
          </w:tcPr>
          <w:p>
            <w:pPr>
              <w:spacing w:after="0" w:line="240" w:lineRule="auto"/>
              <w:jc w:val="right"/>
            </w:pPr>
            <w:r/>
            <w:r>
              <w:rPr>
                <w:sz w:val="18"/>
              </w:rPr>
              <w:t>19.6x</w:t>
            </w:r>
          </w:p>
        </w:tc>
      </w:tr>
    </w:tbl>
    <w:p>
      <w:pPr>
        <w:spacing w:after="80"/>
      </w:pPr>
    </w:p>
    <w:p>
      <w:r>
        <w:rPr>
          <w:b w:val="0"/>
          <w:i w:val="0"/>
        </w:rPr>
        <w:t>Coverage on net cash flow alone is below the 1.5x threshold in 4 of 12 quarters, because instalments fall in the construction peak and in the quarters after handover when collections are thin. "Cash available" adds pooled project cash, including the ticket and earlier collections, and is at least 3.5x in every quarter.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24: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15"/>
            <w:shd w:val="clear" w:color="auto" w:fill="17324D"/>
          </w:tcPr>
          <w:p>
            <w:pPr>
              <w:spacing w:after="0" w:line="240" w:lineRule="auto"/>
            </w:pPr>
            <w:r/>
            <w:r>
              <w:rPr>
                <w:b/>
                <w:color w:val="FFFFFF"/>
                <w:sz w:val="18"/>
              </w:rPr>
              <w:t>Structure</w:t>
            </w:r>
          </w:p>
        </w:tc>
        <w:tc>
          <w:tcPr>
            <w:tcW w:type="dxa" w:w="1417"/>
            <w:shd w:val="clear" w:color="auto" w:fill="17324D"/>
          </w:tcPr>
          <w:p>
            <w:pPr>
              <w:spacing w:after="0" w:line="240" w:lineRule="auto"/>
              <w:jc w:val="right"/>
            </w:pPr>
            <w:r/>
            <w:r>
              <w:rPr>
                <w:b/>
                <w:color w:val="FFFFFF"/>
                <w:sz w:val="18"/>
              </w:rPr>
              <w:t>Investor IRR (base)</w:t>
            </w:r>
          </w:p>
        </w:tc>
        <w:tc>
          <w:tcPr>
            <w:tcW w:type="dxa" w:w="1701"/>
            <w:shd w:val="clear" w:color="auto" w:fill="17324D"/>
          </w:tcPr>
          <w:p>
            <w:pPr>
              <w:spacing w:after="0" w:line="240" w:lineRule="auto"/>
              <w:jc w:val="right"/>
            </w:pPr>
            <w:r/>
            <w:r>
              <w:rPr>
                <w:b/>
                <w:color w:val="FFFFFF"/>
                <w:sz w:val="18"/>
              </w:rPr>
              <w:t>Quarters &lt; 1.5x (net cash flow)</w:t>
            </w:r>
          </w:p>
        </w:tc>
        <w:tc>
          <w:tcPr>
            <w:tcW w:type="dxa" w:w="1587"/>
            <w:shd w:val="clear" w:color="auto" w:fill="17324D"/>
          </w:tcPr>
          <w:p>
            <w:pPr>
              <w:spacing w:after="0" w:line="240" w:lineRule="auto"/>
              <w:jc w:val="right"/>
            </w:pPr>
            <w:r/>
            <w:r>
              <w:rPr>
                <w:b/>
                <w:color w:val="FFFFFF"/>
                <w:sz w:val="18"/>
              </w:rPr>
              <w:t>Lowest pooled cash, downside (EGP m)</w:t>
            </w:r>
          </w:p>
        </w:tc>
        <w:tc>
          <w:tcPr>
            <w:tcW w:type="dxa" w:w="1020"/>
            <w:shd w:val="clear" w:color="auto" w:fill="17324D"/>
          </w:tcPr>
          <w:p>
            <w:pPr>
              <w:spacing w:after="0" w:line="240" w:lineRule="auto"/>
              <w:jc w:val="right"/>
            </w:pPr>
            <w:r/>
            <w:r>
              <w:rPr>
                <w:b/>
                <w:color w:val="FFFFFF"/>
                <w:sz w:val="18"/>
              </w:rPr>
              <w:t>Last payment (month)</w:t>
            </w:r>
          </w:p>
        </w:tc>
      </w:tr>
      <w:tr>
        <w:trPr>
          <w:cantSplit/>
        </w:trPr>
        <w:tc>
          <w:tcPr>
            <w:tcW w:type="dxa" w:w="3515"/>
          </w:tcPr>
          <w:p>
            <w:pPr>
              <w:spacing w:after="0" w:line="240" w:lineRule="auto"/>
            </w:pPr>
            <w:r/>
            <w:r>
              <w:rPr>
                <w:sz w:val="18"/>
              </w:rPr>
              <w:t>S1 Fixed multiple, equal instalments (recommended)</w:t>
            </w:r>
          </w:p>
        </w:tc>
        <w:tc>
          <w:tcPr>
            <w:tcW w:type="dxa" w:w="1417"/>
          </w:tcPr>
          <w:p>
            <w:pPr>
              <w:spacing w:after="0" w:line="240" w:lineRule="auto"/>
              <w:jc w:val="right"/>
            </w:pPr>
            <w:r/>
            <w:r>
              <w:rPr>
                <w:sz w:val="18"/>
              </w:rPr>
              <w:t>26.5%</w:t>
            </w:r>
          </w:p>
        </w:tc>
        <w:tc>
          <w:tcPr>
            <w:tcW w:type="dxa" w:w="1701"/>
          </w:tcPr>
          <w:p>
            <w:pPr>
              <w:spacing w:after="0" w:line="240" w:lineRule="auto"/>
              <w:jc w:val="right"/>
            </w:pPr>
            <w:r/>
            <w:r>
              <w:rPr>
                <w:sz w:val="18"/>
              </w:rPr>
              <w:t>4 of 12</w:t>
            </w:r>
          </w:p>
        </w:tc>
        <w:tc>
          <w:tcPr>
            <w:tcW w:type="dxa" w:w="1587"/>
          </w:tcPr>
          <w:p>
            <w:pPr>
              <w:spacing w:after="0" w:line="240" w:lineRule="auto"/>
              <w:jc w:val="right"/>
            </w:pPr>
            <w:r/>
            <w:r>
              <w:rPr>
                <w:sz w:val="18"/>
              </w:rPr>
              <w:t>-864</w:t>
            </w:r>
          </w:p>
        </w:tc>
        <w:tc>
          <w:tcPr>
            <w:tcW w:type="dxa" w:w="1020"/>
          </w:tcPr>
          <w:p>
            <w:pPr>
              <w:spacing w:after="0" w:line="240" w:lineRule="auto"/>
              <w:jc w:val="right"/>
            </w:pPr>
            <w:r/>
            <w:r>
              <w:rPr>
                <w:sz w:val="18"/>
              </w:rPr>
              <w:t>72</w:t>
            </w:r>
          </w:p>
        </w:tc>
      </w:tr>
      <w:tr>
        <w:trPr>
          <w:cantSplit/>
        </w:trPr>
        <w:tc>
          <w:tcPr>
            <w:tcW w:type="dxa" w:w="3515"/>
            <w:shd w:val="clear" w:color="auto" w:fill="F2F4F7"/>
          </w:tcPr>
          <w:p>
            <w:pPr>
              <w:spacing w:after="0" w:line="240" w:lineRule="auto"/>
            </w:pPr>
            <w:r/>
            <w:r>
              <w:rPr>
                <w:sz w:val="18"/>
              </w:rPr>
              <w:t>S2 19.7% of collections, floor 0.4x, cap 1.5x of instalment</w:t>
            </w:r>
          </w:p>
        </w:tc>
        <w:tc>
          <w:tcPr>
            <w:tcW w:type="dxa" w:w="1417"/>
            <w:shd w:val="clear" w:color="auto" w:fill="F2F4F7"/>
          </w:tcPr>
          <w:p>
            <w:pPr>
              <w:spacing w:after="0" w:line="240" w:lineRule="auto"/>
              <w:jc w:val="right"/>
            </w:pPr>
            <w:r/>
            <w:r>
              <w:rPr>
                <w:sz w:val="18"/>
              </w:rPr>
              <w:t>28.7%</w:t>
            </w:r>
          </w:p>
        </w:tc>
        <w:tc>
          <w:tcPr>
            <w:tcW w:type="dxa" w:w="1701"/>
            <w:shd w:val="clear" w:color="auto" w:fill="F2F4F7"/>
          </w:tcPr>
          <w:p>
            <w:pPr>
              <w:spacing w:after="0" w:line="240" w:lineRule="auto"/>
              <w:jc w:val="right"/>
            </w:pPr>
            <w:r/>
            <w:r>
              <w:rPr>
                <w:sz w:val="18"/>
              </w:rPr>
              <w:t>3 of 12</w:t>
            </w:r>
          </w:p>
        </w:tc>
        <w:tc>
          <w:tcPr>
            <w:tcW w:type="dxa" w:w="1587"/>
            <w:shd w:val="clear" w:color="auto" w:fill="F2F4F7"/>
          </w:tcPr>
          <w:p>
            <w:pPr>
              <w:spacing w:after="0" w:line="240" w:lineRule="auto"/>
              <w:jc w:val="right"/>
            </w:pPr>
            <w:r/>
            <w:r>
              <w:rPr>
                <w:sz w:val="18"/>
              </w:rPr>
              <w:t>-851</w:t>
            </w:r>
          </w:p>
        </w:tc>
        <w:tc>
          <w:tcPr>
            <w:tcW w:type="dxa" w:w="1020"/>
            <w:shd w:val="clear" w:color="auto" w:fill="F2F4F7"/>
          </w:tcPr>
          <w:p>
            <w:pPr>
              <w:spacing w:after="0" w:line="240" w:lineRule="auto"/>
              <w:jc w:val="right"/>
            </w:pPr>
            <w:r/>
            <w:r>
              <w:rPr>
                <w:sz w:val="18"/>
              </w:rPr>
              <w:t>75</w:t>
            </w:r>
          </w:p>
        </w:tc>
      </w:tr>
      <w:tr>
        <w:trPr>
          <w:cantSplit/>
        </w:trPr>
        <w:tc>
          <w:tcPr>
            <w:tcW w:type="dxa" w:w="3515"/>
          </w:tcPr>
          <w:p>
            <w:pPr>
              <w:spacing w:after="0" w:line="240" w:lineRule="auto"/>
            </w:pPr>
            <w:r/>
            <w:r>
              <w:rPr>
                <w:sz w:val="18"/>
              </w:rPr>
              <w:t>S3 Fixed 1.8x plus 2.9% of collections, cap 2.8x</w:t>
            </w:r>
          </w:p>
        </w:tc>
        <w:tc>
          <w:tcPr>
            <w:tcW w:type="dxa" w:w="1417"/>
          </w:tcPr>
          <w:p>
            <w:pPr>
              <w:spacing w:after="0" w:line="240" w:lineRule="auto"/>
              <w:jc w:val="right"/>
            </w:pPr>
            <w:r/>
            <w:r>
              <w:rPr>
                <w:sz w:val="18"/>
              </w:rPr>
              <w:t>27.4%</w:t>
            </w:r>
          </w:p>
        </w:tc>
        <w:tc>
          <w:tcPr>
            <w:tcW w:type="dxa" w:w="1701"/>
          </w:tcPr>
          <w:p>
            <w:pPr>
              <w:spacing w:after="0" w:line="240" w:lineRule="auto"/>
              <w:jc w:val="right"/>
            </w:pPr>
            <w:r/>
            <w:r>
              <w:rPr>
                <w:sz w:val="18"/>
              </w:rPr>
              <w:t>3 of 12</w:t>
            </w:r>
          </w:p>
        </w:tc>
        <w:tc>
          <w:tcPr>
            <w:tcW w:type="dxa" w:w="1587"/>
          </w:tcPr>
          <w:p>
            <w:pPr>
              <w:spacing w:after="0" w:line="240" w:lineRule="auto"/>
              <w:jc w:val="right"/>
            </w:pPr>
            <w:r/>
            <w:r>
              <w:rPr>
                <w:sz w:val="18"/>
              </w:rPr>
              <w:t>-854</w:t>
            </w:r>
          </w:p>
        </w:tc>
        <w:tc>
          <w:tcPr>
            <w:tcW w:type="dxa" w:w="1020"/>
          </w:tcPr>
          <w:p>
            <w:pPr>
              <w:spacing w:after="0" w:line="240" w:lineRule="auto"/>
              <w:jc w:val="right"/>
            </w:pPr>
            <w:r/>
            <w:r>
              <w:rPr>
                <w:sz w:val="18"/>
              </w:rPr>
              <w:t>72</w:t>
            </w:r>
          </w:p>
        </w:tc>
      </w:tr>
    </w:tbl>
    <w:p>
      <w:pPr>
        <w:spacing w:after="80"/>
      </w:pPr>
    </w:p>
    <w:p>
      <w:r>
        <w:rPr>
          <w:b w:val="0"/>
          <w:i w:val="0"/>
        </w:rPr>
        <w:t>S2 and S3 front-load payments into the large delivery-payment quarter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25: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8"/>
              </w:rPr>
              <w:t>Case</w:t>
            </w:r>
          </w:p>
        </w:tc>
        <w:tc>
          <w:tcPr>
            <w:tcW w:type="dxa" w:w="1928"/>
            <w:shd w:val="clear" w:color="auto" w:fill="17324D"/>
          </w:tcPr>
          <w:p>
            <w:pPr>
              <w:spacing w:after="0" w:line="240" w:lineRule="auto"/>
              <w:jc w:val="right"/>
            </w:pPr>
            <w:r/>
            <w:r>
              <w:rPr>
                <w:b/>
                <w:color w:val="FFFFFF"/>
                <w:sz w:val="18"/>
              </w:rPr>
              <w:t>Net cash flow (EGP m)</w:t>
            </w:r>
          </w:p>
        </w:tc>
        <w:tc>
          <w:tcPr>
            <w:tcW w:type="dxa" w:w="1984"/>
            <w:shd w:val="clear" w:color="auto" w:fill="17324D"/>
          </w:tcPr>
          <w:p>
            <w:pPr>
              <w:spacing w:after="0" w:line="240" w:lineRule="auto"/>
              <w:jc w:val="right"/>
            </w:pPr>
            <w:r/>
            <w:r>
              <w:rPr>
                <w:b/>
                <w:color w:val="FFFFFF"/>
                <w:sz w:val="18"/>
              </w:rPr>
              <w:t>NPV at 14% (EGP m)</w:t>
            </w:r>
          </w:p>
        </w:tc>
        <w:tc>
          <w:tcPr>
            <w:tcW w:type="dxa" w:w="1928"/>
            <w:shd w:val="clear" w:color="auto" w:fill="17324D"/>
          </w:tcPr>
          <w:p>
            <w:pPr>
              <w:spacing w:after="0" w:line="240" w:lineRule="auto"/>
              <w:jc w:val="right"/>
            </w:pPr>
            <w:r/>
            <w:r>
              <w:rPr>
                <w:b/>
                <w:color w:val="FFFFFF"/>
                <w:sz w:val="18"/>
              </w:rPr>
              <w:t>Peak shortage (EGP m)</w:t>
            </w:r>
          </w:p>
        </w:tc>
      </w:tr>
      <w:tr>
        <w:trPr>
          <w:cantSplit/>
        </w:trPr>
        <w:tc>
          <w:tcPr>
            <w:tcW w:type="dxa" w:w="3402"/>
          </w:tcPr>
          <w:p>
            <w:pPr>
              <w:spacing w:after="0" w:line="240" w:lineRule="auto"/>
            </w:pPr>
            <w:r/>
            <w:r>
              <w:rPr>
                <w:sz w:val="18"/>
              </w:rPr>
              <w:t>Base</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308</w:t>
            </w:r>
          </w:p>
        </w:tc>
        <w:tc>
          <w:tcPr>
            <w:tcW w:type="dxa" w:w="1928"/>
          </w:tcPr>
          <w:p>
            <w:pPr>
              <w:spacing w:after="0" w:line="240" w:lineRule="auto"/>
              <w:jc w:val="right"/>
            </w:pPr>
            <w:r/>
            <w:r>
              <w:rPr>
                <w:sz w:val="18"/>
              </w:rPr>
              <w:t>102</w:t>
            </w:r>
          </w:p>
        </w:tc>
      </w:tr>
      <w:tr>
        <w:trPr>
          <w:cantSplit/>
        </w:trPr>
        <w:tc>
          <w:tcPr>
            <w:tcW w:type="dxa" w:w="3402"/>
            <w:shd w:val="clear" w:color="auto" w:fill="F2F4F7"/>
          </w:tcPr>
          <w:p>
            <w:pPr>
              <w:spacing w:after="0" w:line="240" w:lineRule="auto"/>
            </w:pPr>
            <w:r/>
            <w:r>
              <w:rPr>
                <w:sz w:val="18"/>
              </w:rPr>
              <w:t>Prices -19%</w:t>
            </w:r>
          </w:p>
        </w:tc>
        <w:tc>
          <w:tcPr>
            <w:tcW w:type="dxa" w:w="1928"/>
            <w:shd w:val="clear" w:color="auto" w:fill="F2F4F7"/>
          </w:tcPr>
          <w:p>
            <w:pPr>
              <w:spacing w:after="0" w:line="240" w:lineRule="auto"/>
              <w:jc w:val="right"/>
            </w:pPr>
            <w:r/>
            <w:r>
              <w:rPr>
                <w:sz w:val="18"/>
              </w:rPr>
              <w:t>316</w:t>
            </w:r>
          </w:p>
        </w:tc>
        <w:tc>
          <w:tcPr>
            <w:tcW w:type="dxa" w:w="1984"/>
            <w:shd w:val="clear" w:color="auto" w:fill="F2F4F7"/>
          </w:tcPr>
          <w:p>
            <w:pPr>
              <w:spacing w:after="0" w:line="240" w:lineRule="auto"/>
              <w:jc w:val="right"/>
            </w:pPr>
            <w:r/>
            <w:r>
              <w:rPr>
                <w:sz w:val="18"/>
              </w:rPr>
              <w:t>100</w:t>
            </w:r>
          </w:p>
        </w:tc>
        <w:tc>
          <w:tcPr>
            <w:tcW w:type="dxa" w:w="1928"/>
            <w:shd w:val="clear" w:color="auto" w:fill="F2F4F7"/>
          </w:tcPr>
          <w:p>
            <w:pPr>
              <w:spacing w:after="0" w:line="240" w:lineRule="auto"/>
              <w:jc w:val="right"/>
            </w:pPr>
            <w:r/>
            <w:r>
              <w:rPr>
                <w:sz w:val="18"/>
              </w:rPr>
              <w:t>175</w:t>
            </w:r>
          </w:p>
        </w:tc>
      </w:tr>
      <w:tr>
        <w:trPr>
          <w:cantSplit/>
        </w:trPr>
        <w:tc>
          <w:tcPr>
            <w:tcW w:type="dxa" w:w="3402"/>
          </w:tcPr>
          <w:p>
            <w:pPr>
              <w:spacing w:after="0" w:line="240" w:lineRule="auto"/>
            </w:pPr>
            <w:r/>
            <w:r>
              <w:rPr>
                <w:sz w:val="18"/>
              </w:rPr>
              <w:t>Prices -9%</w:t>
            </w:r>
          </w:p>
        </w:tc>
        <w:tc>
          <w:tcPr>
            <w:tcW w:type="dxa" w:w="1928"/>
          </w:tcPr>
          <w:p>
            <w:pPr>
              <w:spacing w:after="0" w:line="240" w:lineRule="auto"/>
              <w:jc w:val="right"/>
            </w:pPr>
            <w:r/>
            <w:r>
              <w:rPr>
                <w:sz w:val="18"/>
              </w:rPr>
              <w:t>456</w:t>
            </w:r>
          </w:p>
        </w:tc>
        <w:tc>
          <w:tcPr>
            <w:tcW w:type="dxa" w:w="1984"/>
          </w:tcPr>
          <w:p>
            <w:pPr>
              <w:spacing w:after="0" w:line="240" w:lineRule="auto"/>
              <w:jc w:val="right"/>
            </w:pPr>
            <w:r/>
            <w:r>
              <w:rPr>
                <w:sz w:val="18"/>
              </w:rPr>
              <w:t>204</w:t>
            </w:r>
          </w:p>
        </w:tc>
        <w:tc>
          <w:tcPr>
            <w:tcW w:type="dxa" w:w="1928"/>
          </w:tcPr>
          <w:p>
            <w:pPr>
              <w:spacing w:after="0" w:line="240" w:lineRule="auto"/>
              <w:jc w:val="right"/>
            </w:pPr>
            <w:r/>
            <w:r>
              <w:rPr>
                <w:sz w:val="18"/>
              </w:rPr>
              <w:t>138</w:t>
            </w:r>
          </w:p>
        </w:tc>
      </w:tr>
      <w:tr>
        <w:trPr>
          <w:cantSplit/>
        </w:trPr>
        <w:tc>
          <w:tcPr>
            <w:tcW w:type="dxa" w:w="3402"/>
            <w:shd w:val="clear" w:color="auto" w:fill="F2F4F7"/>
          </w:tcPr>
          <w:p>
            <w:pPr>
              <w:spacing w:after="0" w:line="240" w:lineRule="auto"/>
            </w:pPr>
            <w:r/>
            <w:r>
              <w:rPr>
                <w:sz w:val="18"/>
              </w:rPr>
              <w:t>Prices +10%</w:t>
            </w:r>
          </w:p>
        </w:tc>
        <w:tc>
          <w:tcPr>
            <w:tcW w:type="dxa" w:w="1928"/>
            <w:shd w:val="clear" w:color="auto" w:fill="F2F4F7"/>
          </w:tcPr>
          <w:p>
            <w:pPr>
              <w:spacing w:after="0" w:line="240" w:lineRule="auto"/>
              <w:jc w:val="right"/>
            </w:pPr>
            <w:r/>
            <w:r>
              <w:rPr>
                <w:sz w:val="18"/>
              </w:rPr>
              <w:t>735</w:t>
            </w:r>
          </w:p>
        </w:tc>
        <w:tc>
          <w:tcPr>
            <w:tcW w:type="dxa" w:w="1984"/>
            <w:shd w:val="clear" w:color="auto" w:fill="F2F4F7"/>
          </w:tcPr>
          <w:p>
            <w:pPr>
              <w:spacing w:after="0" w:line="240" w:lineRule="auto"/>
              <w:jc w:val="right"/>
            </w:pPr>
            <w:r/>
            <w:r>
              <w:rPr>
                <w:sz w:val="18"/>
              </w:rPr>
              <w:t>412</w:t>
            </w:r>
          </w:p>
        </w:tc>
        <w:tc>
          <w:tcPr>
            <w:tcW w:type="dxa" w:w="1928"/>
            <w:shd w:val="clear" w:color="auto" w:fill="F2F4F7"/>
          </w:tcPr>
          <w:p>
            <w:pPr>
              <w:spacing w:after="0" w:line="240" w:lineRule="auto"/>
              <w:jc w:val="right"/>
            </w:pPr>
            <w:r/>
            <w:r>
              <w:rPr>
                <w:sz w:val="18"/>
              </w:rPr>
              <w:t>88</w:t>
            </w:r>
          </w:p>
        </w:tc>
      </w:tr>
      <w:tr>
        <w:trPr>
          <w:cantSplit/>
        </w:trPr>
        <w:tc>
          <w:tcPr>
            <w:tcW w:type="dxa" w:w="3402"/>
          </w:tcPr>
          <w:p>
            <w:pPr>
              <w:spacing w:after="0" w:line="240" w:lineRule="auto"/>
            </w:pPr>
            <w:r/>
            <w:r>
              <w:rPr>
                <w:sz w:val="18"/>
              </w:rPr>
              <w:t>Prices +19%</w:t>
            </w:r>
          </w:p>
        </w:tc>
        <w:tc>
          <w:tcPr>
            <w:tcW w:type="dxa" w:w="1928"/>
          </w:tcPr>
          <w:p>
            <w:pPr>
              <w:spacing w:after="0" w:line="240" w:lineRule="auto"/>
              <w:jc w:val="right"/>
            </w:pPr>
            <w:r/>
            <w:r>
              <w:rPr>
                <w:sz w:val="18"/>
              </w:rPr>
              <w:t>875</w:t>
            </w:r>
          </w:p>
        </w:tc>
        <w:tc>
          <w:tcPr>
            <w:tcW w:type="dxa" w:w="1984"/>
          </w:tcPr>
          <w:p>
            <w:pPr>
              <w:spacing w:after="0" w:line="240" w:lineRule="auto"/>
              <w:jc w:val="right"/>
            </w:pPr>
            <w:r/>
            <w:r>
              <w:rPr>
                <w:sz w:val="18"/>
              </w:rPr>
              <w:t>516</w:t>
            </w:r>
          </w:p>
        </w:tc>
        <w:tc>
          <w:tcPr>
            <w:tcW w:type="dxa" w:w="1928"/>
          </w:tcPr>
          <w:p>
            <w:pPr>
              <w:spacing w:after="0" w:line="240" w:lineRule="auto"/>
              <w:jc w:val="right"/>
            </w:pPr>
            <w:r/>
            <w:r>
              <w:rPr>
                <w:sz w:val="18"/>
              </w:rPr>
              <w:t>86</w:t>
            </w:r>
          </w:p>
        </w:tc>
      </w:tr>
      <w:tr>
        <w:trPr>
          <w:cantSplit/>
        </w:trPr>
        <w:tc>
          <w:tcPr>
            <w:tcW w:type="dxa" w:w="3402"/>
            <w:shd w:val="clear" w:color="auto" w:fill="F2F4F7"/>
          </w:tcPr>
          <w:p>
            <w:pPr>
              <w:spacing w:after="0" w:line="240" w:lineRule="auto"/>
            </w:pPr>
            <w:r/>
            <w:r>
              <w:rPr>
                <w:sz w:val="18"/>
              </w:rPr>
              <w:t>Sales delayed 6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214</w:t>
            </w:r>
          </w:p>
        </w:tc>
        <w:tc>
          <w:tcPr>
            <w:tcW w:type="dxa" w:w="1928"/>
            <w:shd w:val="clear" w:color="auto" w:fill="F2F4F7"/>
          </w:tcPr>
          <w:p>
            <w:pPr>
              <w:spacing w:after="0" w:line="240" w:lineRule="auto"/>
              <w:jc w:val="right"/>
            </w:pPr>
            <w:r/>
            <w:r>
              <w:rPr>
                <w:sz w:val="18"/>
              </w:rPr>
              <w:t>366</w:t>
            </w:r>
          </w:p>
        </w:tc>
      </w:tr>
      <w:tr>
        <w:trPr>
          <w:cantSplit/>
        </w:trPr>
        <w:tc>
          <w:tcPr>
            <w:tcW w:type="dxa" w:w="3402"/>
          </w:tcPr>
          <w:p>
            <w:pPr>
              <w:spacing w:after="0" w:line="240" w:lineRule="auto"/>
            </w:pPr>
            <w:r/>
            <w:r>
              <w:rPr>
                <w:sz w:val="18"/>
              </w:rPr>
              <w:t>Sales delayed 12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126</w:t>
            </w:r>
          </w:p>
        </w:tc>
        <w:tc>
          <w:tcPr>
            <w:tcW w:type="dxa" w:w="1928"/>
          </w:tcPr>
          <w:p>
            <w:pPr>
              <w:spacing w:after="0" w:line="240" w:lineRule="auto"/>
              <w:jc w:val="right"/>
            </w:pPr>
            <w:r/>
            <w:r>
              <w:rPr>
                <w:sz w:val="18"/>
              </w:rPr>
              <w:t>779</w:t>
            </w:r>
          </w:p>
        </w:tc>
      </w:tr>
      <w:tr>
        <w:trPr>
          <w:cantSplit/>
        </w:trPr>
        <w:tc>
          <w:tcPr>
            <w:tcW w:type="dxa" w:w="3402"/>
            <w:shd w:val="clear" w:color="auto" w:fill="F2F4F7"/>
          </w:tcPr>
          <w:p>
            <w:pPr>
              <w:spacing w:after="0" w:line="240" w:lineRule="auto"/>
            </w:pPr>
            <w:r/>
            <w:r>
              <w:rPr>
                <w:sz w:val="18"/>
              </w:rPr>
              <w:t>Sales delayed 18 months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43</w:t>
            </w:r>
          </w:p>
        </w:tc>
        <w:tc>
          <w:tcPr>
            <w:tcW w:type="dxa" w:w="1928"/>
            <w:shd w:val="clear" w:color="auto" w:fill="F2F4F7"/>
          </w:tcPr>
          <w:p>
            <w:pPr>
              <w:spacing w:after="0" w:line="240" w:lineRule="auto"/>
              <w:jc w:val="right"/>
            </w:pPr>
            <w:r/>
            <w:r>
              <w:rPr>
                <w:sz w:val="18"/>
              </w:rPr>
              <w:t>1,004</w:t>
            </w:r>
          </w:p>
        </w:tc>
      </w:tr>
      <w:tr>
        <w:trPr>
          <w:cantSplit/>
        </w:trPr>
        <w:tc>
          <w:tcPr>
            <w:tcW w:type="dxa" w:w="3402"/>
          </w:tcPr>
          <w:p>
            <w:pPr>
              <w:spacing w:after="0" w:line="240" w:lineRule="auto"/>
            </w:pPr>
            <w:r/>
            <w:r>
              <w:rPr>
                <w:sz w:val="18"/>
              </w:rPr>
              <w:t>Sales delayed 24 months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-34</w:t>
            </w:r>
          </w:p>
        </w:tc>
        <w:tc>
          <w:tcPr>
            <w:tcW w:type="dxa" w:w="1928"/>
          </w:tcPr>
          <w:p>
            <w:pPr>
              <w:spacing w:after="0" w:line="240" w:lineRule="auto"/>
              <w:jc w:val="right"/>
            </w:pPr>
            <w:r/>
            <w:r>
              <w:rPr>
                <w:sz w:val="18"/>
              </w:rPr>
              <w:t>1,179</w:t>
            </w:r>
          </w:p>
        </w:tc>
      </w:tr>
      <w:tr>
        <w:trPr>
          <w:cantSplit/>
        </w:trPr>
        <w:tc>
          <w:tcPr>
            <w:tcW w:type="dxa" w:w="3402"/>
            <w:shd w:val="clear" w:color="auto" w:fill="F2F4F7"/>
          </w:tcPr>
          <w:p>
            <w:pPr>
              <w:spacing w:after="0" w:line="240" w:lineRule="auto"/>
            </w:pPr>
            <w:r/>
            <w:r>
              <w:rPr>
                <w:sz w:val="18"/>
              </w:rPr>
              <w:t>Construction cost +10%</w:t>
            </w:r>
          </w:p>
        </w:tc>
        <w:tc>
          <w:tcPr>
            <w:tcW w:type="dxa" w:w="1928"/>
            <w:shd w:val="clear" w:color="auto" w:fill="F2F4F7"/>
          </w:tcPr>
          <w:p>
            <w:pPr>
              <w:spacing w:after="0" w:line="240" w:lineRule="auto"/>
              <w:jc w:val="right"/>
            </w:pPr>
            <w:r/>
            <w:r>
              <w:rPr>
                <w:sz w:val="18"/>
              </w:rPr>
              <w:t>515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117</w:t>
            </w:r>
          </w:p>
        </w:tc>
      </w:tr>
      <w:tr>
        <w:trPr>
          <w:cantSplit/>
        </w:trPr>
        <w:tc>
          <w:tcPr>
            <w:tcW w:type="dxa" w:w="3402"/>
          </w:tcPr>
          <w:p>
            <w:pPr>
              <w:spacing w:after="0" w:line="240" w:lineRule="auto"/>
            </w:pPr>
            <w:r/>
            <w:r>
              <w:rPr>
                <w:sz w:val="18"/>
              </w:rPr>
              <w:t>Construction cost +19%</w:t>
            </w:r>
          </w:p>
        </w:tc>
        <w:tc>
          <w:tcPr>
            <w:tcW w:type="dxa" w:w="1928"/>
          </w:tcPr>
          <w:p>
            <w:pPr>
              <w:spacing w:after="0" w:line="240" w:lineRule="auto"/>
              <w:jc w:val="right"/>
            </w:pPr>
            <w:r/>
            <w:r>
              <w:rPr>
                <w:sz w:val="18"/>
              </w:rPr>
              <w:t>435</w:t>
            </w:r>
          </w:p>
        </w:tc>
        <w:tc>
          <w:tcPr>
            <w:tcW w:type="dxa" w:w="1984"/>
          </w:tcPr>
          <w:p>
            <w:pPr>
              <w:spacing w:after="0" w:line="240" w:lineRule="auto"/>
              <w:jc w:val="right"/>
            </w:pPr>
            <w:r/>
            <w:r>
              <w:rPr>
                <w:sz w:val="18"/>
              </w:rPr>
              <w:t>208</w:t>
            </w:r>
          </w:p>
        </w:tc>
        <w:tc>
          <w:tcPr>
            <w:tcW w:type="dxa" w:w="1928"/>
          </w:tcPr>
          <w:p>
            <w:pPr>
              <w:spacing w:after="0" w:line="240" w:lineRule="auto"/>
              <w:jc w:val="right"/>
            </w:pPr>
            <w:r/>
            <w:r>
              <w:rPr>
                <w:sz w:val="18"/>
              </w:rPr>
              <w:t>133</w:t>
            </w:r>
          </w:p>
        </w:tc>
      </w:tr>
      <w:tr>
        <w:trPr>
          <w:cantSplit/>
        </w:trPr>
        <w:tc>
          <w:tcPr>
            <w:tcW w:type="dxa" w:w="3402"/>
            <w:shd w:val="clear" w:color="auto" w:fill="F2F4F7"/>
          </w:tcPr>
          <w:p>
            <w:pPr>
              <w:spacing w:after="0" w:line="240" w:lineRule="auto"/>
            </w:pPr>
            <w:r/>
            <w:r>
              <w:rPr>
                <w:sz w:val="18"/>
              </w:rPr>
              <w:t>Collections slip 1 quarter</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258</w:t>
            </w:r>
          </w:p>
        </w:tc>
        <w:tc>
          <w:tcPr>
            <w:tcW w:type="dxa" w:w="1928"/>
            <w:shd w:val="clear" w:color="auto" w:fill="F2F4F7"/>
          </w:tcPr>
          <w:p>
            <w:pPr>
              <w:spacing w:after="0" w:line="240" w:lineRule="auto"/>
              <w:jc w:val="right"/>
            </w:pPr>
            <w:r/>
            <w:r>
              <w:rPr>
                <w:sz w:val="18"/>
              </w:rPr>
              <w:t>190</w:t>
            </w:r>
          </w:p>
        </w:tc>
      </w:tr>
      <w:tr>
        <w:trPr>
          <w:cantSplit/>
        </w:trPr>
        <w:tc>
          <w:tcPr>
            <w:tcW w:type="dxa" w:w="3402"/>
          </w:tcPr>
          <w:p>
            <w:pPr>
              <w:spacing w:after="0" w:line="240" w:lineRule="auto"/>
            </w:pPr>
            <w:r/>
            <w:r>
              <w:rPr>
                <w:sz w:val="18"/>
              </w:rPr>
              <w:t>Collections slip 2 quarters</w:t>
            </w:r>
          </w:p>
        </w:tc>
        <w:tc>
          <w:tcPr>
            <w:tcW w:type="dxa" w:w="1928"/>
          </w:tcPr>
          <w:p>
            <w:pPr>
              <w:spacing w:after="0" w:line="240" w:lineRule="auto"/>
              <w:jc w:val="right"/>
            </w:pPr>
            <w:r/>
            <w:r>
              <w:rPr>
                <w:sz w:val="18"/>
              </w:rPr>
              <w:t>595</w:t>
            </w:r>
          </w:p>
        </w:tc>
        <w:tc>
          <w:tcPr>
            <w:tcW w:type="dxa" w:w="1984"/>
          </w:tcPr>
          <w:p>
            <w:pPr>
              <w:spacing w:after="0" w:line="240" w:lineRule="auto"/>
              <w:jc w:val="right"/>
            </w:pPr>
            <w:r/>
            <w:r>
              <w:rPr>
                <w:sz w:val="18"/>
              </w:rPr>
              <w:t>209</w:t>
            </w:r>
          </w:p>
        </w:tc>
        <w:tc>
          <w:tcPr>
            <w:tcW w:type="dxa" w:w="1928"/>
          </w:tcPr>
          <w:p>
            <w:pPr>
              <w:spacing w:after="0" w:line="240" w:lineRule="auto"/>
              <w:jc w:val="right"/>
            </w:pPr>
            <w:r/>
            <w:r>
              <w:rPr>
                <w:sz w:val="18"/>
              </w:rPr>
              <w:t>381</w:t>
            </w:r>
          </w:p>
        </w:tc>
      </w:tr>
      <w:tr>
        <w:trPr>
          <w:cantSplit/>
        </w:trPr>
        <w:tc>
          <w:tcPr>
            <w:tcW w:type="dxa" w:w="3402"/>
            <w:shd w:val="clear" w:color="auto" w:fill="F2F4F7"/>
          </w:tcPr>
          <w:p>
            <w:pPr>
              <w:spacing w:after="0" w:line="240" w:lineRule="auto"/>
            </w:pPr>
            <w:r/>
            <w:r>
              <w:rPr>
                <w:sz w:val="18"/>
              </w:rPr>
              <w:t>Collections slip 4 quarters</w:t>
            </w:r>
          </w:p>
        </w:tc>
        <w:tc>
          <w:tcPr>
            <w:tcW w:type="dxa" w:w="1928"/>
            <w:shd w:val="clear" w:color="auto" w:fill="F2F4F7"/>
          </w:tcPr>
          <w:p>
            <w:pPr>
              <w:spacing w:after="0" w:line="240" w:lineRule="auto"/>
              <w:jc w:val="right"/>
            </w:pPr>
            <w:r/>
            <w:r>
              <w:rPr>
                <w:sz w:val="18"/>
              </w:rPr>
              <w:t>595</w:t>
            </w:r>
          </w:p>
        </w:tc>
        <w:tc>
          <w:tcPr>
            <w:tcW w:type="dxa" w:w="1984"/>
            <w:shd w:val="clear" w:color="auto" w:fill="F2F4F7"/>
          </w:tcPr>
          <w:p>
            <w:pPr>
              <w:spacing w:after="0" w:line="240" w:lineRule="auto"/>
              <w:jc w:val="right"/>
            </w:pPr>
            <w:r/>
            <w:r>
              <w:rPr>
                <w:sz w:val="18"/>
              </w:rPr>
              <w:t>117</w:t>
            </w:r>
          </w:p>
        </w:tc>
        <w:tc>
          <w:tcPr>
            <w:tcW w:type="dxa" w:w="1928"/>
            <w:shd w:val="clear" w:color="auto" w:fill="F2F4F7"/>
          </w:tcPr>
          <w:p>
            <w:pPr>
              <w:spacing w:after="0" w:line="240" w:lineRule="auto"/>
              <w:jc w:val="right"/>
            </w:pPr>
            <w:r/>
            <w:r>
              <w:rPr>
                <w:sz w:val="18"/>
              </w:rPr>
              <w:t>811</w:t>
            </w:r>
          </w:p>
        </w:tc>
      </w:tr>
    </w:tbl>
    <w:p>
      <w:pPr>
        <w:spacing w:after="80"/>
      </w:pPr>
    </w:p>
    <w:p>
      <w:pPr>
        <w:keepNext/>
        <w:jc w:val="center"/>
      </w:pPr>
      <w:r>
        <w:drawing>
          <wp:inline xmlns:a="http://schemas.openxmlformats.org/drawingml/2006/main" xmlns:pic="http://schemas.openxmlformats.org/drawingml/2006/picture">
            <wp:extent cx="5580000" cy="2557500"/>
            <wp:docPr id="4" name="Picture 4"/>
            <wp:cNvGraphicFramePr>
              <a:graphicFrameLocks noChangeAspect="1"/>
            </wp:cNvGraphicFramePr>
            <a:graphic>
              <a:graphicData uri="http://schemas.openxmlformats.org/drawingml/2006/picture">
                <pic:pic>
                  <pic:nvPicPr>
                    <pic:cNvPr id="0" name="fig_sens.png"/>
                    <pic:cNvPicPr/>
                  </pic:nvPicPr>
                  <pic:blipFill>
                    <a:blip r:embed="rId14"/>
                    <a:stretch>
                      <a:fillRect/>
                    </a:stretch>
                  </pic:blipFill>
                  <pic:spPr>
                    <a:xfrm>
                      <a:off x="0" y="0"/>
                      <a:ext cx="5580000" cy="2557500"/>
                    </a:xfrm>
                    <a:prstGeom prst="rect"/>
                  </pic:spPr>
                </pic:pic>
              </a:graphicData>
            </a:graphic>
          </wp:inline>
        </w:drawing>
      </w:r>
    </w:p>
    <w:p>
      <w:pPr>
        <w:jc w:val="center"/>
      </w:pPr>
      <w:r>
        <w:rPr>
          <w:b/>
          <w:color w:val="17324D"/>
          <w:sz w:val="18"/>
        </w:rPr>
        <w:t xml:space="preserve">Figure 4: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w:t>
      </w:r>
    </w:p>
    <w:p>
      <w:pPr>
        <w:pStyle w:val="Heading2"/>
      </w:pPr>
      <w:r>
        <w:t>14.1 Base package</w:t>
      </w:r>
    </w:p>
    <w:p>
      <w:pPr>
        <w:keepNext/>
        <w:spacing w:after="60"/>
      </w:pPr>
      <w:r>
        <w:rPr>
          <w:b/>
          <w:color w:val="17324D"/>
          <w:sz w:val="19"/>
        </w:rPr>
        <w:t>Table 26: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 Jalour retained units not used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the investor's entitlement ranks as an obligation of the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w:t>
      </w:r>
    </w:p>
    <w:p>
      <w:pPr>
        <w:pStyle w:val="ListBullet"/>
        <w:spacing w:after="60"/>
      </w:pPr>
      <w:r>
        <w:rPr>
          <w:b/>
          <w:i w:val="0"/>
        </w:rPr>
        <w:t>Annual audited accounts</w:t>
      </w:r>
      <w:r>
        <w:rPr>
          <w:b w:val="0"/>
          <w:i w:val="0"/>
        </w:rPr>
        <w:t xml:space="preserve"> of the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the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the construction programme, any payment overdue to the investor.</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54; units can be registered and sold from handover. The base case assumes sale over four quarters from month 57.</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 (for example, no more than an agreed share of the allocated area marketed in any quarter).</w:t>
      </w:r>
    </w:p>
    <w:p>
      <w:pPr>
        <w:keepNext/>
        <w:spacing w:after="60"/>
      </w:pPr>
      <w:r>
        <w:rPr>
          <w:b/>
          <w:color w:val="17324D"/>
          <w:sz w:val="19"/>
        </w:rPr>
        <w:t>Table 27: Early assignment of the contract at month 36 (units valued at face, 3% cost)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969"/>
            <w:shd w:val="clear" w:color="auto" w:fill="17324D"/>
          </w:tcPr>
          <w:p>
            <w:pPr>
              <w:spacing w:after="0" w:line="240" w:lineRule="auto"/>
            </w:pPr>
            <w:r/>
            <w:r>
              <w:rPr>
                <w:b/>
                <w:color w:val="FFFFFF"/>
                <w:sz w:val="19"/>
              </w:rPr>
              <w:t>Assignment at month 36</w:t>
            </w:r>
          </w:p>
        </w:tc>
        <w:tc>
          <w:tcPr>
            <w:tcW w:type="dxa" w:w="2551"/>
            <w:shd w:val="clear" w:color="auto" w:fill="17324D"/>
          </w:tcPr>
          <w:p>
            <w:pPr>
              <w:spacing w:after="0" w:line="240" w:lineRule="auto"/>
              <w:jc w:val="right"/>
            </w:pPr>
            <w:r/>
            <w:r>
              <w:rPr>
                <w:b/>
                <w:color w:val="FFFFFF"/>
                <w:sz w:val="19"/>
              </w:rPr>
              <w:t>Investor IRR</w:t>
            </w:r>
          </w:p>
        </w:tc>
        <w:tc>
          <w:tcPr>
            <w:tcW w:type="dxa" w:w="2721"/>
            <w:shd w:val="clear" w:color="auto" w:fill="17324D"/>
          </w:tcPr>
          <w:p>
            <w:pPr>
              <w:spacing w:after="0" w:line="240" w:lineRule="auto"/>
              <w:jc w:val="right"/>
            </w:pPr>
            <w:r/>
            <w:r>
              <w:rPr>
                <w:b/>
                <w:color w:val="FFFFFF"/>
                <w:sz w:val="19"/>
              </w:rPr>
              <w:t>Investor MOIC</w:t>
            </w:r>
          </w:p>
        </w:tc>
      </w:tr>
      <w:tr>
        <w:trPr>
          <w:cantSplit/>
        </w:trPr>
        <w:tc>
          <w:tcPr>
            <w:tcW w:type="dxa" w:w="3969"/>
          </w:tcPr>
          <w:p>
            <w:pPr>
              <w:spacing w:after="0" w:line="240" w:lineRule="auto"/>
            </w:pPr>
            <w:r/>
            <w:r>
              <w:rPr>
                <w:sz w:val="19"/>
              </w:rPr>
              <w:t>Discount to face 0%</w:t>
            </w:r>
          </w:p>
        </w:tc>
        <w:tc>
          <w:tcPr>
            <w:tcW w:type="dxa" w:w="2551"/>
          </w:tcPr>
          <w:p>
            <w:pPr>
              <w:spacing w:after="0" w:line="240" w:lineRule="auto"/>
              <w:jc w:val="right"/>
            </w:pPr>
            <w:r/>
            <w:r>
              <w:rPr>
                <w:sz w:val="19"/>
              </w:rPr>
              <w:t>39.3%</w:t>
            </w:r>
          </w:p>
        </w:tc>
        <w:tc>
          <w:tcPr>
            <w:tcW w:type="dxa" w:w="2721"/>
          </w:tcPr>
          <w:p>
            <w:pPr>
              <w:spacing w:after="0" w:line="240" w:lineRule="auto"/>
              <w:jc w:val="right"/>
            </w:pPr>
            <w:r/>
            <w:r>
              <w:rPr>
                <w:sz w:val="19"/>
              </w:rPr>
              <w:t>1.94x</w:t>
            </w:r>
          </w:p>
        </w:tc>
      </w:tr>
      <w:tr>
        <w:trPr>
          <w:cantSplit/>
        </w:trPr>
        <w:tc>
          <w:tcPr>
            <w:tcW w:type="dxa" w:w="3969"/>
            <w:shd w:val="clear" w:color="auto" w:fill="F2F4F7"/>
          </w:tcPr>
          <w:p>
            <w:pPr>
              <w:spacing w:after="0" w:line="240" w:lineRule="auto"/>
            </w:pPr>
            <w:r/>
            <w:r>
              <w:rPr>
                <w:sz w:val="19"/>
              </w:rPr>
              <w:t>Discount to face 10%</w:t>
            </w:r>
          </w:p>
        </w:tc>
        <w:tc>
          <w:tcPr>
            <w:tcW w:type="dxa" w:w="2551"/>
            <w:shd w:val="clear" w:color="auto" w:fill="F2F4F7"/>
          </w:tcPr>
          <w:p>
            <w:pPr>
              <w:spacing w:after="0" w:line="240" w:lineRule="auto"/>
              <w:jc w:val="right"/>
            </w:pPr>
            <w:r/>
            <w:r>
              <w:rPr>
                <w:sz w:val="19"/>
              </w:rPr>
              <w:t>32.1%</w:t>
            </w:r>
          </w:p>
        </w:tc>
        <w:tc>
          <w:tcPr>
            <w:tcW w:type="dxa" w:w="2721"/>
            <w:shd w:val="clear" w:color="auto" w:fill="F2F4F7"/>
          </w:tcPr>
          <w:p>
            <w:pPr>
              <w:spacing w:after="0" w:line="240" w:lineRule="auto"/>
              <w:jc w:val="right"/>
            </w:pPr>
            <w:r/>
            <w:r>
              <w:rPr>
                <w:sz w:val="19"/>
              </w:rPr>
              <w:t>1.75x</w:t>
            </w:r>
          </w:p>
        </w:tc>
      </w:tr>
      <w:tr>
        <w:trPr>
          <w:cantSplit/>
        </w:trPr>
        <w:tc>
          <w:tcPr>
            <w:tcW w:type="dxa" w:w="3969"/>
          </w:tcPr>
          <w:p>
            <w:pPr>
              <w:spacing w:after="0" w:line="240" w:lineRule="auto"/>
            </w:pPr>
            <w:r/>
            <w:r>
              <w:rPr>
                <w:sz w:val="19"/>
              </w:rPr>
              <w:t>Discount to face 20%</w:t>
            </w:r>
          </w:p>
        </w:tc>
        <w:tc>
          <w:tcPr>
            <w:tcW w:type="dxa" w:w="2551"/>
          </w:tcPr>
          <w:p>
            <w:pPr>
              <w:spacing w:after="0" w:line="240" w:lineRule="auto"/>
              <w:jc w:val="right"/>
            </w:pPr>
            <w:r/>
            <w:r>
              <w:rPr>
                <w:sz w:val="19"/>
              </w:rPr>
              <w:t>24.6%</w:t>
            </w:r>
          </w:p>
        </w:tc>
        <w:tc>
          <w:tcPr>
            <w:tcW w:type="dxa" w:w="2721"/>
          </w:tcPr>
          <w:p>
            <w:pPr>
              <w:spacing w:after="0" w:line="240" w:lineRule="auto"/>
              <w:jc w:val="right"/>
            </w:pPr>
            <w:r/>
            <w:r>
              <w:rPr>
                <w:sz w:val="19"/>
              </w:rPr>
              <w:t>1.55x</w:t>
            </w:r>
          </w:p>
        </w:tc>
      </w:tr>
      <w:tr>
        <w:trPr>
          <w:cantSplit/>
        </w:trPr>
        <w:tc>
          <w:tcPr>
            <w:tcW w:type="dxa" w:w="3969"/>
            <w:shd w:val="clear" w:color="auto" w:fill="F2F4F7"/>
          </w:tcPr>
          <w:p>
            <w:pPr>
              <w:spacing w:after="0" w:line="240" w:lineRule="auto"/>
            </w:pPr>
            <w:r/>
            <w:r>
              <w:rPr>
                <w:sz w:val="19"/>
              </w:rPr>
              <w:t>Discount to face 30%</w:t>
            </w:r>
          </w:p>
        </w:tc>
        <w:tc>
          <w:tcPr>
            <w:tcW w:type="dxa" w:w="2551"/>
            <w:shd w:val="clear" w:color="auto" w:fill="F2F4F7"/>
          </w:tcPr>
          <w:p>
            <w:pPr>
              <w:spacing w:after="0" w:line="240" w:lineRule="auto"/>
              <w:jc w:val="right"/>
            </w:pPr>
            <w:r/>
            <w:r>
              <w:rPr>
                <w:sz w:val="19"/>
              </w:rPr>
              <w:t>16.5%</w:t>
            </w:r>
          </w:p>
        </w:tc>
        <w:tc>
          <w:tcPr>
            <w:tcW w:type="dxa" w:w="2721"/>
            <w:shd w:val="clear" w:color="auto" w:fill="F2F4F7"/>
          </w:tcPr>
          <w:p>
            <w:pPr>
              <w:spacing w:after="0" w:line="240" w:lineRule="auto"/>
              <w:jc w:val="right"/>
            </w:pPr>
            <w:r/>
            <w:r>
              <w:rPr>
                <w:sz w:val="19"/>
              </w:rPr>
              <w:t>1.36x</w:t>
            </w:r>
          </w:p>
        </w:tc>
      </w:tr>
    </w:tbl>
    <w:p>
      <w:pPr>
        <w:spacing w:after="80"/>
      </w:pPr>
    </w:p>
    <w:p>
      <w:pPr>
        <w:pStyle w:val="Heading2"/>
      </w:pPr>
      <w:r>
        <w:t>16.2 Option B</w:t>
      </w:r>
    </w:p>
    <w:p>
      <w:r>
        <w:rPr>
          <w:b w:val="0"/>
          <w:i w:val="0"/>
        </w:rPr>
        <w:t>Cash is returned through the instalments in section 12.2. There is no market for the entitlement. Transfer of the entitlement to a third party requires Jalour's consent. Payback (cumulative cash returned equals the ticket) occurs in month 54; for Option A, payback in the base case is month 60.</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 or fall. The plan needs list prices to rise by 44% (retail) and 50% (offices). Option A returns depend on resale value; with no appreciation they fall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the project NPV falls to EGP 126 million and the peak funding need rises to EGP 779 million. Mitigant: Jalour funding undertaking; phased sales.</w:t>
      </w:r>
    </w:p>
    <w:p>
      <w:pPr>
        <w:pStyle w:val="Heading3"/>
      </w:pPr>
      <w:r>
        <w:t>Inflation and cost risk</w:t>
      </w:r>
    </w:p>
    <w:p>
      <w:r>
        <w:rPr>
          <w:b w:val="0"/>
          <w:i w:val="0"/>
        </w:rPr>
        <w:t>Construction cost is flat in the model. A 10% overrun lowers NPV by EGP 50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The development must be built in 36 months from month 19. Delay delays resale of units and the collection of delivery payments. Mitigant: independent engineer (optional); reporting; Jalour funding undertaking.</w:t>
      </w:r>
    </w:p>
    <w:p>
      <w:pPr>
        <w:pStyle w:val="Heading3"/>
      </w:pPr>
      <w:r>
        <w:t>Delivery-payment timing</w:t>
      </w:r>
    </w:p>
    <w:p>
      <w:r>
        <w:rPr>
          <w:b w:val="0"/>
          <w:i w:val="0"/>
        </w:rPr>
        <w:t>The plan collects delivery payments ahead of handover under the sale contracts. If buyers do not pay until handover, the peak funding need is EGP 244 million. Mitigant: contractual milestone; Jalour funding.</w:t>
      </w:r>
    </w:p>
    <w:p>
      <w:pPr>
        <w:pStyle w:val="Heading3"/>
      </w:pPr>
      <w:r>
        <w:t>Landlord risk</w:t>
      </w:r>
    </w:p>
    <w:p>
      <w:r>
        <w:rPr>
          <w:b w:val="0"/>
          <w:i w:val="0"/>
        </w:rPr>
        <w:t>The landlord's guarantee is payable regardless of sales and its consent is required for allocations and encumbrances. A dispute could delay or prevent the allocation. Mitigant: consent as a condition precedent; guarantee schedule funded in the plan.</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the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a single project, in a single city, in two property types. There is no cross-collateral or cross-default with other projects.</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company.</w:t>
      </w:r>
    </w:p>
    <w:p>
      <w:pPr>
        <w:pStyle w:val="Heading1"/>
        <w:pageBreakBefore/>
      </w:pPr>
      <w:r>
        <w:t>Appendices</w:t>
      </w:r>
    </w:p>
    <w:p>
      <w:pPr>
        <w:pStyle w:val="Heading2"/>
      </w:pPr>
      <w:r>
        <w:t>Appendix A: Definitions</w:t>
      </w:r>
    </w:p>
    <w:p>
      <w:pPr>
        <w:keepNext/>
        <w:spacing w:after="60"/>
      </w:pPr>
      <w:r>
        <w:rPr>
          <w:b/>
          <w:color w:val="17324D"/>
          <w:sz w:val="19"/>
        </w:rPr>
        <w:t>Table 28: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retail EGP 250,000, offices EGP 160,000 per m2</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(Summary sheet). The Reconciliation sheet of the annex ties the project cash flow to the Jalour model (net cash flow, NPV, peak shortage, collections, landlord payments and costs) and to an independent recomputation; all differences are zero.</w:t>
      </w:r>
    </w:p>
    <w:p>
      <w:pPr>
        <w:keepNext/>
        <w:spacing w:after="60"/>
      </w:pPr>
      <w:r>
        <w:rPr>
          <w:b/>
          <w:color w:val="17324D"/>
          <w:sz w:val="19"/>
        </w:rPr>
        <w:t>Table 29: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w:t>
            </w:r>
          </w:p>
        </w:tc>
        <w:tc>
          <w:tcPr>
            <w:tcW w:type="dxa" w:w="2268"/>
          </w:tcPr>
          <w:p>
            <w:pPr>
              <w:spacing w:after="0" w:line="240" w:lineRule="auto"/>
              <w:jc w:val="right"/>
            </w:pPr>
            <w:r/>
            <w:r>
              <w:rPr>
                <w:sz w:val="19"/>
              </w:rPr>
              <w:t>595.3</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NPV at 14% (EGP m)</w:t>
            </w:r>
          </w:p>
        </w:tc>
        <w:tc>
          <w:tcPr>
            <w:tcW w:type="dxa" w:w="2268"/>
            <w:shd w:val="clear" w:color="auto" w:fill="F2F4F7"/>
          </w:tcPr>
          <w:p>
            <w:pPr>
              <w:spacing w:after="0" w:line="240" w:lineRule="auto"/>
              <w:jc w:val="right"/>
            </w:pPr>
            <w:r/>
            <w:r>
              <w:rPr>
                <w:sz w:val="19"/>
              </w:rPr>
              <w:t>307.5</w:t>
            </w:r>
          </w:p>
        </w:tc>
        <w:tc>
          <w:tcPr>
            <w:tcW w:type="dxa" w:w="2721"/>
            <w:shd w:val="clear" w:color="auto" w:fill="F2F4F7"/>
          </w:tcPr>
          <w:p>
            <w:pPr>
              <w:spacing w:after="0" w:line="240" w:lineRule="auto"/>
              <w:jc w:val="right"/>
            </w:pPr>
            <w:r/>
            <w:r>
              <w:rPr>
                <w:sz w:val="19"/>
              </w:rPr>
              <w:t>Summary; Project_CF</w:t>
            </w:r>
          </w:p>
        </w:tc>
      </w:tr>
      <w:tr>
        <w:trPr>
          <w:cantSplit/>
        </w:trPr>
        <w:tc>
          <w:tcPr>
            <w:tcW w:type="dxa" w:w="4252"/>
          </w:tcPr>
          <w:p>
            <w:pPr>
              <w:spacing w:after="0" w:line="240" w:lineRule="auto"/>
            </w:pPr>
            <w:r/>
            <w:r>
              <w:rPr>
                <w:sz w:val="19"/>
              </w:rPr>
              <w:t>Peak shortage (EGP m)</w:t>
            </w:r>
          </w:p>
        </w:tc>
        <w:tc>
          <w:tcPr>
            <w:tcW w:type="dxa" w:w="2268"/>
          </w:tcPr>
          <w:p>
            <w:pPr>
              <w:spacing w:after="0" w:line="240" w:lineRule="auto"/>
              <w:jc w:val="right"/>
            </w:pPr>
            <w:r/>
            <w:r>
              <w:rPr>
                <w:sz w:val="19"/>
              </w:rPr>
              <w:t>102.0</w:t>
            </w:r>
          </w:p>
        </w:tc>
        <w:tc>
          <w:tcPr>
            <w:tcW w:type="dxa" w:w="2721"/>
          </w:tcPr>
          <w:p>
            <w:pPr>
              <w:spacing w:after="0" w:line="240" w:lineRule="auto"/>
              <w:jc w:val="right"/>
            </w:pPr>
            <w:r/>
            <w:r>
              <w:rPr>
                <w:sz w:val="19"/>
              </w:rPr>
              <w:t>Summary; Project_CF</w:t>
            </w:r>
          </w:p>
        </w:tc>
      </w:tr>
      <w:tr>
        <w:trPr>
          <w:cantSplit/>
        </w:trPr>
        <w:tc>
          <w:tcPr>
            <w:tcW w:type="dxa" w:w="4252"/>
            <w:shd w:val="clear" w:color="auto" w:fill="F2F4F7"/>
          </w:tcPr>
          <w:p>
            <w:pPr>
              <w:spacing w:after="0" w:line="240" w:lineRule="auto"/>
            </w:pPr>
            <w:r/>
            <w:r>
              <w:rPr>
                <w:sz w:val="19"/>
              </w:rPr>
              <w:t>Total uses (EGP m)</w:t>
            </w:r>
          </w:p>
        </w:tc>
        <w:tc>
          <w:tcPr>
            <w:tcW w:type="dxa" w:w="2268"/>
            <w:shd w:val="clear" w:color="auto" w:fill="F2F4F7"/>
          </w:tcPr>
          <w:p>
            <w:pPr>
              <w:spacing w:after="0" w:line="240" w:lineRule="auto"/>
              <w:jc w:val="right"/>
            </w:pPr>
            <w:r/>
            <w:r>
              <w:rPr>
                <w:sz w:val="19"/>
              </w:rPr>
              <w:t>112.5</w:t>
            </w:r>
          </w:p>
        </w:tc>
        <w:tc>
          <w:tcPr>
            <w:tcW w:type="dxa" w:w="2721"/>
            <w:shd w:val="clear" w:color="auto" w:fill="F2F4F7"/>
          </w:tcPr>
          <w:p>
            <w:pPr>
              <w:spacing w:after="0" w:line="240" w:lineRule="auto"/>
              <w:jc w:val="right"/>
            </w:pPr>
            <w:r/>
            <w:r>
              <w:rPr>
                <w:sz w:val="19"/>
              </w:rPr>
              <w:t>Sources_Uses</w:t>
            </w:r>
          </w:p>
        </w:tc>
      </w:tr>
      <w:tr>
        <w:trPr>
          <w:cantSplit/>
        </w:trPr>
        <w:tc>
          <w:tcPr>
            <w:tcW w:type="dxa" w:w="4252"/>
          </w:tcPr>
          <w:p>
            <w:pPr>
              <w:spacing w:after="0" w:line="240" w:lineRule="auto"/>
            </w:pPr>
            <w:r/>
            <w:r>
              <w:rPr>
                <w:sz w:val="19"/>
              </w:rPr>
              <w:t>Option A investor IRR / MOIC</w:t>
            </w:r>
          </w:p>
        </w:tc>
        <w:tc>
          <w:tcPr>
            <w:tcW w:type="dxa" w:w="2268"/>
          </w:tcPr>
          <w:p>
            <w:pPr>
              <w:spacing w:after="0" w:line="240" w:lineRule="auto"/>
              <w:jc w:val="right"/>
            </w:pPr>
            <w:r/>
            <w:r>
              <w:rPr>
                <w:sz w:val="19"/>
              </w:rPr>
              <w:t>29.2% / 2.87x</w:t>
            </w:r>
          </w:p>
        </w:tc>
        <w:tc>
          <w:tcPr>
            <w:tcW w:type="dxa" w:w="2721"/>
          </w:tcPr>
          <w:p>
            <w:pPr>
              <w:spacing w:after="0" w:line="240" w:lineRule="auto"/>
              <w:jc w:val="right"/>
            </w:pPr>
            <w:r/>
            <w:r>
              <w:rPr>
                <w:sz w:val="19"/>
              </w:rPr>
              <w:t>Option_A</w:t>
            </w:r>
          </w:p>
        </w:tc>
      </w:tr>
      <w:tr>
        <w:trPr>
          <w:cantSplit/>
        </w:trPr>
        <w:tc>
          <w:tcPr>
            <w:tcW w:type="dxa" w:w="4252"/>
            <w:shd w:val="clear" w:color="auto" w:fill="F2F4F7"/>
          </w:tcPr>
          <w:p>
            <w:pPr>
              <w:spacing w:after="0" w:line="240" w:lineRule="auto"/>
            </w:pPr>
            <w:r/>
            <w:r>
              <w:rPr>
                <w:sz w:val="19"/>
              </w:rPr>
              <w:t>Option A Jalour cost of capital</w:t>
            </w:r>
          </w:p>
        </w:tc>
        <w:tc>
          <w:tcPr>
            <w:tcW w:type="dxa" w:w="2268"/>
            <w:shd w:val="clear" w:color="auto" w:fill="F2F4F7"/>
          </w:tcPr>
          <w:p>
            <w:pPr>
              <w:spacing w:after="0" w:line="240" w:lineRule="auto"/>
              <w:jc w:val="right"/>
            </w:pPr>
            <w:r/>
            <w:r>
              <w:rPr>
                <w:sz w:val="19"/>
              </w:rPr>
              <w:t>22.6%</w:t>
            </w:r>
          </w:p>
        </w:tc>
        <w:tc>
          <w:tcPr>
            <w:tcW w:type="dxa" w:w="2721"/>
            <w:shd w:val="clear" w:color="auto" w:fill="F2F4F7"/>
          </w:tcPr>
          <w:p>
            <w:pPr>
              <w:spacing w:after="0" w:line="240" w:lineRule="auto"/>
              <w:jc w:val="right"/>
            </w:pPr>
            <w:r/>
            <w:r>
              <w:rPr>
                <w:sz w:val="19"/>
              </w:rPr>
              <w:t>Option_A</w:t>
            </w:r>
          </w:p>
        </w:tc>
      </w:tr>
      <w:tr>
        <w:trPr>
          <w:cantSplit/>
        </w:trPr>
        <w:tc>
          <w:tcPr>
            <w:tcW w:type="dxa" w:w="4252"/>
          </w:tcPr>
          <w:p>
            <w:pPr>
              <w:spacing w:after="0" w:line="240" w:lineRule="auto"/>
            </w:pPr>
            <w:r/>
            <w:r>
              <w:rPr>
                <w:sz w:val="19"/>
              </w:rPr>
              <w:t>Option B investor IRR / MOIC</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Option_B</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-2.0</w:t>
            </w:r>
          </w:p>
        </w:tc>
        <w:tc>
          <w:tcPr>
            <w:tcW w:type="dxa" w:w="2721"/>
            <w:shd w:val="clear" w:color="auto" w:fill="F2F4F7"/>
          </w:tcPr>
          <w:p>
            <w:pPr>
              <w:spacing w:after="0" w:line="240" w:lineRule="auto"/>
              <w:jc w:val="right"/>
            </w:pPr>
            <w:r/>
            <w:r>
              <w:rPr>
                <w:sz w:val="19"/>
              </w:rPr>
              <w:t>Option_B</w:t>
            </w:r>
          </w:p>
        </w:tc>
      </w:tr>
      <w:tr>
        <w:trPr>
          <w:cantSplit/>
        </w:trPr>
        <w:tc>
          <w:tcPr>
            <w:tcW w:type="dxa" w:w="4252"/>
          </w:tcPr>
          <w:p>
            <w:pPr>
              <w:spacing w:after="0" w:line="240" w:lineRule="auto"/>
            </w:pPr>
            <w:r/>
            <w:r>
              <w:rPr>
                <w:sz w:val="19"/>
              </w:rPr>
              <w:t>Downside peak shortage (EGP m)</w:t>
            </w:r>
          </w:p>
        </w:tc>
        <w:tc>
          <w:tcPr>
            <w:tcW w:type="dxa" w:w="2268"/>
          </w:tcPr>
          <w:p>
            <w:pPr>
              <w:spacing w:after="0" w:line="240" w:lineRule="auto"/>
              <w:jc w:val="right"/>
            </w:pPr>
            <w:r/>
            <w:r>
              <w:rPr>
                <w:sz w:val="19"/>
              </w:rPr>
              <w:t>849</w:t>
            </w:r>
          </w:p>
        </w:tc>
        <w:tc>
          <w:tcPr>
            <w:tcW w:type="dxa" w:w="2721"/>
          </w:tcPr>
          <w:p>
            <w:pPr>
              <w:spacing w:after="0" w:line="240" w:lineRule="auto"/>
              <w:jc w:val="right"/>
            </w:pPr>
            <w:r/>
            <w:r>
              <w:rPr>
                <w:sz w:val="19"/>
              </w:rPr>
              <w:t>Scenarios</w:t>
            </w:r>
          </w:p>
        </w:tc>
      </w:tr>
    </w:tbl>
    <w:p>
      <w:pPr>
        <w:spacing w:after="80"/>
      </w:pPr>
    </w:p>
    <w:p>
      <w:pPr>
        <w:pStyle w:val="Heading2"/>
      </w:pPr>
      <w:r>
        <w:t>Appendix C: Financial Annex contents</w:t>
      </w:r>
    </w:p>
    <w:p>
      <w:r>
        <w:rPr>
          <w:b w:val="0"/>
          <w:i w:val="0"/>
        </w:rPr>
        <w:t>Cover, Summary, Inputs, Source_Data, Project_CF, Sources_Uses, Option_A, Option_B, Scenarios, Sensitivity, Reconciliation. Inputs are in blue; every calculation is a formula.</w:t>
      </w:r>
    </w:p>
    <w:p>
      <w:pPr>
        <w:pStyle w:val="Heading2"/>
      </w:pPr>
      <w:r>
        <w:t>Appendix D: Market sources</w:t>
      </w:r>
    </w:p>
    <w:p>
      <w:pPr>
        <w:keepNext/>
        <w:spacing w:after="60"/>
      </w:pPr>
      <w:r>
        <w:rPr>
          <w:b/>
          <w:color w:val="17324D"/>
          <w:sz w:val="19"/>
        </w:rPr>
        <w:t>Table 30: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Investment Memorandum (EGP 100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