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120"/>
      </w:pPr>
      <w:r>
        <w:rPr>
          <w:b/>
          <w:i w:val="0"/>
          <w:color w:val="17324D"/>
          <w:sz w:val="36"/>
        </w:rPr>
        <w:t>Due Diligence Memorandum</w:t>
      </w:r>
    </w:p>
    <w:p>
      <w:pPr>
        <w:spacing w:after="600"/>
      </w:pPr>
      <w:r>
        <w:rPr>
          <w:b w:val="0"/>
          <w:i w:val="0"/>
          <w:sz w:val="24"/>
        </w:rPr>
        <w:t>Private placement of EGP 125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850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85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0, Y2 90, Y3 180, Y4 225,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54</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106.9</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52.0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50 million and a 20% overrun by EGP 99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160,000</w:t>
            </w:r>
          </w:p>
        </w:tc>
        <w:tc>
          <w:tcPr>
            <w:tcW w:type="dxa" w:w="1474"/>
          </w:tcPr>
          <w:p>
            <w:pPr>
              <w:spacing w:after="0" w:line="240" w:lineRule="auto"/>
              <w:jc w:val="right"/>
            </w:pPr>
            <w:r/>
            <w:r>
              <w:rPr>
                <w:sz w:val="18"/>
              </w:rPr>
              <w:t>240,000</w:t>
            </w:r>
          </w:p>
        </w:tc>
        <w:tc>
          <w:tcPr>
            <w:tcW w:type="dxa" w:w="1814"/>
          </w:tcPr>
          <w:p>
            <w:pPr>
              <w:spacing w:after="0" w:line="240" w:lineRule="auto"/>
              <w:jc w:val="right"/>
            </w:pPr>
            <w:r/>
            <w:r>
              <w:rPr>
                <w:sz w:val="18"/>
              </w:rPr>
              <w:t>191,250</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250,000</w:t>
            </w:r>
          </w:p>
        </w:tc>
        <w:tc>
          <w:tcPr>
            <w:tcW w:type="dxa" w:w="1474"/>
            <w:shd w:val="clear" w:color="auto" w:fill="F2F4F7"/>
          </w:tcPr>
          <w:p>
            <w:pPr>
              <w:spacing w:after="0" w:line="240" w:lineRule="auto"/>
              <w:jc w:val="right"/>
            </w:pPr>
            <w:r/>
            <w:r>
              <w:rPr>
                <w:sz w:val="18"/>
              </w:rPr>
              <w:t>360,000</w:t>
            </w:r>
          </w:p>
        </w:tc>
        <w:tc>
          <w:tcPr>
            <w:tcW w:type="dxa" w:w="1814"/>
            <w:shd w:val="clear" w:color="auto" w:fill="F2F4F7"/>
          </w:tcPr>
          <w:p>
            <w:pPr>
              <w:spacing w:after="0" w:line="240" w:lineRule="auto"/>
              <w:jc w:val="right"/>
            </w:pPr>
            <w:r/>
            <w:r>
              <w:rPr>
                <w:sz w:val="18"/>
              </w:rPr>
              <w:t>300,938</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44% (retail) and 50% (offices) from the first to the last sales tranche. New Cairo secondary prices rose 3.1% y/y in Q1 2026 (JLL via Enterprise); broker estimates for 2026 are 10% to 16% a year (a blog estimate). Against today's office asking prices (mid-point EGP 113,000) the delivery list is +112%, about 18% a year to handover.</w:t>
      </w:r>
    </w:p>
    <w:p>
      <w:pPr>
        <w:pStyle w:val="ListBullet"/>
        <w:spacing w:after="60"/>
      </w:pPr>
      <w:r>
        <w:rPr>
          <w:b w:val="0"/>
          <w:i w:val="0"/>
        </w:rPr>
        <w:t>Sellable office area in the model is 10,437 m2, against 8,946 m2 of office built-up area. Jalour to provide the sellable-area schedule. If the lower area were right, office sales at 80% would be about EGP 228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100</w:t>
            </w:r>
          </w:p>
        </w:tc>
        <w:tc>
          <w:tcPr>
            <w:tcW w:type="dxa" w:w="2438"/>
          </w:tcPr>
          <w:p>
            <w:pPr>
              <w:spacing w:after="0" w:line="240" w:lineRule="auto"/>
              <w:jc w:val="right"/>
            </w:pPr>
            <w:r/>
            <w:r>
              <w:rPr>
                <w:sz w:val="19"/>
              </w:rPr>
              <w:t>175</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204</w:t>
            </w:r>
          </w:p>
        </w:tc>
        <w:tc>
          <w:tcPr>
            <w:tcW w:type="dxa" w:w="2438"/>
            <w:shd w:val="clear" w:color="auto" w:fill="F2F4F7"/>
          </w:tcPr>
          <w:p>
            <w:pPr>
              <w:spacing w:after="0" w:line="240" w:lineRule="auto"/>
              <w:jc w:val="right"/>
            </w:pPr>
            <w:r/>
            <w:r>
              <w:rPr>
                <w:sz w:val="19"/>
              </w:rPr>
              <w:t>138</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412</w:t>
            </w:r>
          </w:p>
        </w:tc>
        <w:tc>
          <w:tcPr>
            <w:tcW w:type="dxa" w:w="2438"/>
          </w:tcPr>
          <w:p>
            <w:pPr>
              <w:spacing w:after="0" w:line="240" w:lineRule="auto"/>
              <w:jc w:val="right"/>
            </w:pPr>
            <w:r/>
            <w:r>
              <w:rPr>
                <w:sz w:val="19"/>
              </w:rPr>
              <w:t>88</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214</w:t>
            </w:r>
          </w:p>
        </w:tc>
        <w:tc>
          <w:tcPr>
            <w:tcW w:type="dxa" w:w="2438"/>
            <w:shd w:val="clear" w:color="auto" w:fill="F2F4F7"/>
          </w:tcPr>
          <w:p>
            <w:pPr>
              <w:spacing w:after="0" w:line="240" w:lineRule="auto"/>
              <w:jc w:val="right"/>
            </w:pPr>
            <w:r/>
            <w:r>
              <w:rPr>
                <w:sz w:val="19"/>
              </w:rPr>
              <w:t>366</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126</w:t>
            </w:r>
          </w:p>
        </w:tc>
        <w:tc>
          <w:tcPr>
            <w:tcW w:type="dxa" w:w="2438"/>
          </w:tcPr>
          <w:p>
            <w:pPr>
              <w:spacing w:after="0" w:line="240" w:lineRule="auto"/>
              <w:jc w:val="right"/>
            </w:pPr>
            <w:r/>
            <w:r>
              <w:rPr>
                <w:sz w:val="19"/>
              </w:rPr>
              <w:t>779</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-34</w:t>
            </w:r>
          </w:p>
        </w:tc>
        <w:tc>
          <w:tcPr>
            <w:tcW w:type="dxa" w:w="2438"/>
            <w:shd w:val="clear" w:color="auto" w:fill="F2F4F7"/>
          </w:tcPr>
          <w:p>
            <w:pPr>
              <w:spacing w:after="0" w:line="240" w:lineRule="auto"/>
              <w:jc w:val="right"/>
            </w:pPr>
            <w:r/>
            <w:r>
              <w:rPr>
                <w:sz w:val="19"/>
              </w:rPr>
              <w:t>1,179</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275</w:t>
            </w:r>
          </w:p>
        </w:tc>
        <w:tc>
          <w:tcPr>
            <w:tcW w:type="dxa" w:w="2438"/>
          </w:tcPr>
          <w:p>
            <w:pPr>
              <w:spacing w:after="0" w:line="240" w:lineRule="auto"/>
              <w:jc w:val="right"/>
            </w:pPr>
            <w:r/>
            <w:r>
              <w:rPr>
                <w:sz w:val="19"/>
              </w:rPr>
              <w:t>244</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22.6%</w:t>
            </w:r>
          </w:p>
        </w:tc>
        <w:tc>
          <w:tcPr>
            <w:tcW w:type="dxa" w:w="2041"/>
          </w:tcPr>
          <w:p>
            <w:pPr>
              <w:spacing w:after="0" w:line="240" w:lineRule="auto"/>
              <w:jc w:val="right"/>
            </w:pPr>
            <w:r/>
            <w:r>
              <w:rPr>
                <w:sz w:val="19"/>
              </w:rPr>
              <w:t>-26.0</w:t>
            </w:r>
          </w:p>
        </w:tc>
        <w:tc>
          <w:tcPr>
            <w:tcW w:type="dxa" w:w="1984"/>
          </w:tcPr>
          <w:p>
            <w:pPr>
              <w:spacing w:after="0" w:line="240" w:lineRule="auto"/>
              <w:jc w:val="right"/>
            </w:pPr>
            <w:r/>
            <w:r>
              <w:rPr>
                <w:sz w:val="19"/>
              </w:rPr>
              <w:t>Removes 35%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31.6%</w:t>
            </w:r>
          </w:p>
        </w:tc>
        <w:tc>
          <w:tcPr>
            <w:tcW w:type="dxa" w:w="2041"/>
            <w:shd w:val="clear" w:color="auto" w:fill="F2F4F7"/>
          </w:tcPr>
          <w:p>
            <w:pPr>
              <w:spacing w:after="0" w:line="240" w:lineRule="auto"/>
              <w:jc w:val="right"/>
            </w:pPr>
            <w:r/>
            <w:r>
              <w:rPr>
                <w:sz w:val="19"/>
              </w:rPr>
              <w:t>-56.2</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31%, offices 69%)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5 of 12</w:t>
            </w:r>
          </w:p>
        </w:tc>
        <w:tc>
          <w:tcPr>
            <w:tcW w:type="dxa" w:w="1701"/>
          </w:tcPr>
          <w:p>
            <w:pPr>
              <w:spacing w:after="0" w:line="240" w:lineRule="auto"/>
              <w:jc w:val="right"/>
            </w:pPr>
            <w:r/>
            <w:r>
              <w:rPr>
                <w:sz w:val="18"/>
              </w:rPr>
              <w:t>-867</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24.6% of collections, floor and cap</w:t>
            </w:r>
          </w:p>
        </w:tc>
        <w:tc>
          <w:tcPr>
            <w:tcW w:type="dxa" w:w="1247"/>
            <w:shd w:val="clear" w:color="auto" w:fill="F2F4F7"/>
          </w:tcPr>
          <w:p>
            <w:pPr>
              <w:spacing w:after="0" w:line="240" w:lineRule="auto"/>
              <w:jc w:val="right"/>
            </w:pPr>
            <w:r/>
            <w:r>
              <w:rPr>
                <w:sz w:val="18"/>
              </w:rPr>
              <w:t>28.7%</w:t>
            </w:r>
          </w:p>
        </w:tc>
        <w:tc>
          <w:tcPr>
            <w:tcW w:type="dxa" w:w="1531"/>
            <w:shd w:val="clear" w:color="auto" w:fill="F2F4F7"/>
          </w:tcPr>
          <w:p>
            <w:pPr>
              <w:spacing w:after="0" w:line="240" w:lineRule="auto"/>
              <w:jc w:val="right"/>
            </w:pPr>
            <w:r/>
            <w:r>
              <w:rPr>
                <w:sz w:val="18"/>
              </w:rPr>
              <w:t>3 of 12</w:t>
            </w:r>
          </w:p>
        </w:tc>
        <w:tc>
          <w:tcPr>
            <w:tcW w:type="dxa" w:w="1701"/>
            <w:shd w:val="clear" w:color="auto" w:fill="F2F4F7"/>
          </w:tcPr>
          <w:p>
            <w:pPr>
              <w:spacing w:after="0" w:line="240" w:lineRule="auto"/>
              <w:jc w:val="right"/>
            </w:pPr>
            <w:r/>
            <w:r>
              <w:rPr>
                <w:sz w:val="18"/>
              </w:rPr>
              <w:t>-851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3.6% of collections</w:t>
            </w:r>
          </w:p>
        </w:tc>
        <w:tc>
          <w:tcPr>
            <w:tcW w:type="dxa" w:w="1247"/>
          </w:tcPr>
          <w:p>
            <w:pPr>
              <w:spacing w:after="0" w:line="240" w:lineRule="auto"/>
              <w:jc w:val="right"/>
            </w:pPr>
            <w:r/>
            <w:r>
              <w:rPr>
                <w:sz w:val="18"/>
              </w:rPr>
              <w:t>27.4%</w:t>
            </w:r>
          </w:p>
        </w:tc>
        <w:tc>
          <w:tcPr>
            <w:tcW w:type="dxa" w:w="1531"/>
          </w:tcPr>
          <w:p>
            <w:pPr>
              <w:spacing w:after="0" w:line="240" w:lineRule="auto"/>
              <w:jc w:val="right"/>
            </w:pPr>
            <w:r/>
            <w:r>
              <w:rPr>
                <w:sz w:val="18"/>
              </w:rPr>
              <w:t>4 of 12</w:t>
            </w:r>
          </w:p>
        </w:tc>
        <w:tc>
          <w:tcPr>
            <w:tcW w:type="dxa" w:w="1701"/>
          </w:tcPr>
          <w:p>
            <w:pPr>
              <w:spacing w:after="0" w:line="240" w:lineRule="auto"/>
              <w:jc w:val="right"/>
            </w:pPr>
            <w:r/>
            <w:r>
              <w:rPr>
                <w:sz w:val="18"/>
              </w:rPr>
              <w:t>-855</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779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244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50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45, 9 months before handover. If collected at handover the peak shortage is EGP 244 million, not EGP 102.0 million.</w:t>
      </w:r>
    </w:p>
    <w:p>
      <w:pPr>
        <w:pStyle w:val="ListNumber"/>
        <w:spacing w:after="60"/>
      </w:pPr>
      <w:r>
        <w:rPr>
          <w:b/>
          <w:i w:val="0"/>
        </w:rPr>
        <w:t>Price growth.</w:t>
      </w:r>
      <w:r>
        <w:rPr>
          <w:b w:val="0"/>
          <w:i w:val="0"/>
        </w:rPr>
        <w:t xml:space="preserve"> The plan needs list prices to rise 44% (retail) and 50% (offices); launch office prices exceed current Mostakbal City asking prices; recent growth evidence is mixed.</w:t>
      </w:r>
    </w:p>
    <w:p>
      <w:pPr>
        <w:pStyle w:val="ListNumber"/>
        <w:spacing w:after="60"/>
      </w:pPr>
      <w:r>
        <w:rPr>
          <w:b/>
          <w:i w:val="0"/>
        </w:rPr>
        <w:t>Sellable office area</w:t>
      </w:r>
      <w:r>
        <w:rPr>
          <w:b w:val="0"/>
          <w:i w:val="0"/>
        </w:rPr>
        <w:t xml:space="preserve"> (10,437 m2) exceeds office built-up area (8,946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7 of 12 quarters; the minimum on net cash flow is -5.4x. Pooled cash covers at least 3.8x in the base case.</w:t>
      </w:r>
    </w:p>
    <w:p>
      <w:pPr>
        <w:pStyle w:val="ListNumber"/>
        <w:spacing w:after="60"/>
      </w:pPr>
      <w:r>
        <w:rPr>
          <w:b/>
          <w:i w:val="0"/>
        </w:rPr>
        <w:t>Downside funding need.</w:t>
      </w:r>
      <w:r>
        <w:rPr>
          <w:b w:val="0"/>
          <w:i w:val="0"/>
        </w:rPr>
        <w:t xml:space="preserve"> With sales delayed 12 months and prices 10% lower the funding need is EGP 849 million and the lowest pooled cash after Option B payouts is EGP -867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35% of the launch-priced inventory, which raises the peak shortage before the ticket from EGP 102.0 million to EGP 146.6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+44% retail and +50% offices. Evidence is mixed (section 5). Option B removes the exposure; the Option A downside shows 20.4% IRR.</w:t>
      </w:r>
    </w:p>
    <w:p>
      <w:r>
        <w:rPr>
          <w:b/>
          <w:i w:val="0"/>
        </w:rPr>
        <w:t>What if delivery payments are not received early?</w:t>
      </w:r>
      <w:r>
        <w:rPr>
          <w:b w:val="0"/>
          <w:i w:val="0"/>
        </w:rPr>
        <w:t xml:space="preserve"> Peak funding rises to EGP 244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Due Diligence Memorandum (EGP 125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