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A23B3B"/>
          <w:sz w:val="20"/>
        </w:rPr>
        <w:t>INTERNAL GUIDE. NOT PART OF ANY INVESTOR PACK.</w:t>
      </w:r>
    </w:p>
    <w:p>
      <w:pPr>
        <w:spacing w:after="80"/>
      </w:pPr>
      <w:r>
        <w:rPr>
          <w:b/>
          <w:i w:val="0"/>
          <w:color w:val="17324D"/>
          <w:sz w:val="44"/>
        </w:rPr>
        <w:t>How to read the output files</w:t>
      </w:r>
    </w:p>
    <w:p>
      <w:r>
        <w:rPr>
          <w:b w:val="0"/>
          <w:i w:val="0"/>
        </w:rPr>
        <w:t>Jalour investor packs for Green Square and L'avenir. All figures are in EGP million unless stated. All returns are projections, not guarantees.</w:t>
      </w:r>
    </w:p>
    <w:p>
      <w:pPr>
        <w:pStyle w:val="Heading2"/>
      </w:pPr>
      <w:r>
        <w:t>1. What is in the output folder</w:t>
      </w:r>
    </w:p>
    <w:p>
      <w:pPr>
        <w:keepNext/>
        <w:spacing w:after="60"/>
      </w:pPr>
      <w:r>
        <w:rPr>
          <w:b/>
          <w:color w:val="17324D"/>
          <w:sz w:val="19"/>
        </w:rPr>
        <w:t>Table 1: Output folder</w:t>
      </w:r>
    </w:p>
    <w:tbl>
      <w:tblPr>
        <w:tblW w:type="auto" w:w="0"/>
        <w:jc w:val="center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2608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Folder or file</w:t>
            </w:r>
          </w:p>
        </w:tc>
        <w:tc>
          <w:tcPr>
            <w:tcW w:type="dxa" w:w="4422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211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Who may see it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COMBINED_125M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pack for an investor paying EGP 125M: EGP 62.5M in each project. Shows both projects.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That investor, after signing the NDA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GS_050M, GS_075M, GS_100M</w:t>
            </w:r>
          </w:p>
        </w:tc>
        <w:tc>
          <w:tcPr>
            <w:tcW w:type="dxa" w:w="4422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Green Square packs for tickets of 50, 75 and 100M. Name only Green Square.</w:t>
            </w:r>
          </w:p>
        </w:tc>
        <w:tc>
          <w:tcPr>
            <w:tcW w:type="dxa" w:w="221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That project's investor only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LA_050M, LA_075M, LA_100M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L'avenir packs for tickets of 50, 75 and 100M. Name only L'avenir.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That project's investor only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00_Model_Reconciliation, 01_Structuring_*, 02_Open_Items_Register</w:t>
            </w:r>
          </w:p>
        </w:tc>
        <w:tc>
          <w:tcPr>
            <w:tcW w:type="dxa" w:w="4422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Internal working papers: how the source model was checked, the structure analysis, and the list of open items.</w:t>
            </w:r>
          </w:p>
        </w:tc>
        <w:tc>
          <w:tcPr>
            <w:tcW w:type="dxa" w:w="221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Jalour only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INTERNAL_Disclosure_QA.docx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What the team may and may not say to investors about other investors and projects.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Jalour only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QA_Reports</w:t>
            </w:r>
          </w:p>
        </w:tc>
        <w:tc>
          <w:tcPr>
            <w:tcW w:type="dxa" w:w="4422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Test results for every pack (numbers tie out, independent recalculation, disclosure scan).</w:t>
            </w:r>
          </w:p>
        </w:tc>
        <w:tc>
          <w:tcPr>
            <w:tcW w:type="dxa" w:w="221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Jalour only</w:t>
            </w:r>
          </w:p>
        </w:tc>
      </w:tr>
    </w:tbl>
    <w:p>
      <w:pPr>
        <w:spacing w:after="80"/>
      </w:pPr>
    </w:p>
    <w:p>
      <w:pPr>
        <w:pStyle w:val="Heading2"/>
      </w:pPr>
      <w:r>
        <w:t>2. The files inside each pack</w:t>
      </w:r>
    </w:p>
    <w:p>
      <w:pPr>
        <w:keepNext/>
        <w:spacing w:after="60"/>
      </w:pPr>
      <w:r>
        <w:rPr>
          <w:b/>
          <w:color w:val="17324D"/>
          <w:sz w:val="19"/>
        </w:rPr>
        <w:t>Table 2: Files in a pack</w:t>
      </w:r>
    </w:p>
    <w:tbl>
      <w:tblPr>
        <w:tblW w:type="auto" w:w="0"/>
        <w:jc w:val="center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2041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701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Formats</w:t>
            </w:r>
          </w:p>
        </w:tc>
        <w:tc>
          <w:tcPr>
            <w:tcW w:type="dxa" w:w="5499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Read it for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Deck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.pptx and .pdf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17 to 18 slide presentation: terms, market, project, cash flow, returns, risks, next steps. Start here.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Investment_Memo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.docx and .pdf</w:t>
            </w:r>
          </w:p>
        </w:tc>
        <w:tc>
          <w:tcPr>
            <w:tcW w:type="dxa" w:w="5499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full 28 to 35 page memorandum. Section 1 is the summary; sections 12 to 14 give the terms, returns and security; section 17 the risks.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DD_Memo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.docx and .pdf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due diligence memorandum: what documents exist, what is pending, red flags, open items.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Financial_Annex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.xlsx</w:t>
            </w:r>
          </w:p>
        </w:tc>
        <w:tc>
          <w:tcPr>
            <w:tcW w:type="dxa" w:w="5499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workbook behind every number in the deck and memos. Open this to check or change a figure.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NDA_Template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.docx and .pdf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non-disclosure agreement to sign before sponsor, permit, title and landlord materials are shared. For counsel review.</w:t>
            </w:r>
          </w:p>
        </w:tc>
      </w:tr>
    </w:tbl>
    <w:p>
      <w:pPr>
        <w:spacing w:after="80"/>
      </w:pPr>
    </w:p>
    <w:p>
      <w:pPr>
        <w:pStyle w:val="Heading2"/>
      </w:pPr>
      <w:r>
        <w:t>3. How to read the Financial Annex (Excel)</w:t>
      </w:r>
    </w:p>
    <w:p>
      <w:r>
        <w:rPr>
          <w:b w:val="0"/>
          <w:i w:val="0"/>
        </w:rPr>
        <w:t>Colour code: blue text is an input you can change; black text is a formula. Change an input on the Inputs sheet or the blue scenario parameters and every sheet recalculates. Do not type over black cells.</w:t>
      </w:r>
    </w:p>
    <w:p>
      <w:pPr>
        <w:keepNext/>
        <w:spacing w:after="60"/>
      </w:pPr>
      <w:r>
        <w:rPr>
          <w:b/>
          <w:color w:val="17324D"/>
          <w:sz w:val="19"/>
        </w:rPr>
        <w:t>Table 3: Annex sheets</w:t>
      </w:r>
    </w:p>
    <w:tbl>
      <w:tblPr>
        <w:tblW w:type="auto" w:w="0"/>
        <w:jc w:val="center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3175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6066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Cover</w:t>
            </w:r>
          </w:p>
        </w:tc>
        <w:tc>
          <w:tcPr>
            <w:tcW w:type="dxa" w:w="606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Title, confidentiality statement, status and sheet list.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Summary (single packs) or Combined_Summary (combined pack)</w:t>
            </w:r>
          </w:p>
        </w:tc>
        <w:tc>
          <w:tcPr>
            <w:tcW w:type="dxa" w:w="6066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headline figures used in the deck and memos: ticket, net cash flow, NPV, peak shortage, Option A and Option B returns. The reference sheet.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Inputs</w:t>
            </w:r>
          </w:p>
        </w:tc>
        <w:tc>
          <w:tcPr>
            <w:tcW w:type="dxa" w:w="606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Every assumption with its source or basis.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Source_Data</w:t>
            </w:r>
          </w:p>
        </w:tc>
        <w:tc>
          <w:tcPr>
            <w:tcW w:type="dxa" w:w="6066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Quarterly sales, collections and costs taken from the Jalour model.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Project_CF</w:t>
            </w:r>
          </w:p>
        </w:tc>
        <w:tc>
          <w:tcPr>
            <w:tcW w:type="dxa" w:w="606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Quarterly project cash flow: collections less landlord payments, construction, commission and SG&amp;A. Net cash flow, cumulative position and NPV at 14%.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Sources_Uses</w:t>
            </w:r>
          </w:p>
        </w:tc>
        <w:tc>
          <w:tcPr>
            <w:tcW w:type="dxa" w:w="6066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What the money is used for at the funding peak and where it comes from. The balance is shown as Jalour sponsor equity, project collections and other capital sources.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Option_A</w:t>
            </w:r>
          </w:p>
        </w:tc>
        <w:tc>
          <w:tcPr>
            <w:tcW w:type="dxa" w:w="606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Units option: face value (2.0x), resale at delivery list, investor cash flows, IRR and multiple, and the cost to Jalour.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Option_B</w:t>
            </w:r>
          </w:p>
        </w:tc>
        <w:tc>
          <w:tcPr>
            <w:tcW w:type="dxa" w:w="6066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Cash option: 2.3x in 12 quarterly instalments after a 24-month grace period, coverage tests and pooled cash.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Scenarios</w:t>
            </w:r>
          </w:p>
        </w:tc>
        <w:tc>
          <w:tcPr>
            <w:tcW w:type="dxa" w:w="606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Downside, upside, cost overrun, collections slip and delivery payments at handover.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Sensitivity</w:t>
            </w:r>
          </w:p>
        </w:tc>
        <w:tc>
          <w:tcPr>
            <w:tcW w:type="dxa" w:w="6066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Price, delay, cost and slip sensitivities.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Reconciliation</w:t>
            </w:r>
          </w:p>
        </w:tc>
        <w:tc>
          <w:tcPr>
            <w:tcW w:type="dxa" w:w="606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Checks against the source model and an independent recomputation. Every difference should be zero.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Combined pack only</w:t>
            </w:r>
          </w:p>
        </w:tc>
        <w:tc>
          <w:tcPr>
            <w:tcW w:type="dxa" w:w="6066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Project sheets carry the prefix GS_ or LA_. Combined_Position adds the two projects together; Combined_Reconciliation checks both.</w:t>
            </w:r>
          </w:p>
        </w:tc>
      </w:tr>
    </w:tbl>
    <w:p>
      <w:pPr>
        <w:spacing w:after="80"/>
      </w:pPr>
    </w:p>
    <w:p>
      <w:pPr>
        <w:pStyle w:val="Heading2"/>
      </w:pPr>
      <w:r>
        <w:t>4. Key terms</w:t>
      </w:r>
    </w:p>
    <w:p>
      <w:pPr>
        <w:keepNext/>
        <w:spacing w:after="60"/>
      </w:pPr>
      <w:r>
        <w:rPr>
          <w:b/>
          <w:color w:val="17324D"/>
          <w:sz w:val="19"/>
        </w:rPr>
        <w:t>Table 4: Terms</w:t>
      </w:r>
    </w:p>
    <w:tbl>
      <w:tblPr>
        <w:tblW w:type="auto" w:w="0"/>
        <w:jc w:val="center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2381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860"/>
            <w:shd w:val="clear" w:color="auto" w:fill="17324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Option A (units)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investor receives units with a face value of 2.0x the ticket, priced at the launch list, and resells them after handover.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Option B (cash)</w:t>
            </w:r>
          </w:p>
        </w:tc>
        <w:tc>
          <w:tcPr>
            <w:tcW w:type="dxa" w:w="6860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investor receives 2.3x the ticket in 12 equal quarterly instalments after a 24-month grace period.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IRR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Annual internal rate of return of the investor's cash flows. MOIC is cash received divided by cash invested.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NPV</w:t>
            </w:r>
          </w:p>
        </w:tc>
        <w:tc>
          <w:tcPr>
            <w:tcW w:type="dxa" w:w="6860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Value today of Jalour's net cash flow, discounted at 14% a year.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Peak shortage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The lowest cumulative net cash flow before any investor money. It is the project's maximum funding need.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Pooled cash</w:t>
            </w:r>
          </w:p>
        </w:tc>
        <w:tc>
          <w:tcPr>
            <w:tcW w:type="dxa" w:w="6860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Project cash plus the ticket less payouts. Nothing is ring-fenced.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Coverage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Cash available to pay an instalment divided by the instalment. Two versions: net cash flow only (strict) and pooled cash.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Base, downside, upside</w:t>
            </w:r>
          </w:p>
        </w:tc>
        <w:tc>
          <w:tcPr>
            <w:tcW w:type="dxa" w:w="6860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Downside: sales 12 months later and prices 10% lower. Upside: prices 10% higher. Handover case: delivery payments arrive at handover, not before.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Month numbers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 every single-project pack, month 1 is that project's own sales launch; month 0 and negative months are before launch. The landlord down payment, and so the investor's funding, falls at month -3 (Green Square) and month 0 (L'avenir). In the combined pack each project uses its own months, except the combined cash position, which uses one common calendar: Green Square launch = month 1 and L'avenir launch = month 7.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[After NDA]</w:t>
            </w:r>
          </w:p>
        </w:tc>
        <w:tc>
          <w:tcPr>
            <w:tcW w:type="dxa" w:w="6860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Information provided only once the investor has signed the NDA.</w:t>
            </w:r>
          </w:p>
        </w:tc>
      </w:tr>
    </w:tbl>
    <w:p>
      <w:pPr>
        <w:spacing w:after="80"/>
      </w:pPr>
    </w:p>
    <w:p>
      <w:pPr>
        <w:pStyle w:val="Heading2"/>
      </w:pPr>
      <w:r>
        <w:t>5. How to check a number</w:t>
      </w:r>
    </w:p>
    <w:p>
      <w:pPr>
        <w:pStyle w:val="ListNumber"/>
        <w:spacing w:after="60"/>
      </w:pPr>
      <w:r>
        <w:rPr>
          <w:b w:val="0"/>
          <w:i w:val="0"/>
        </w:rPr>
        <w:t>Find the figure in the deck or memo and note its label and case (base, downside, upside).</w:t>
      </w:r>
    </w:p>
    <w:p>
      <w:pPr>
        <w:pStyle w:val="ListNumber"/>
        <w:spacing w:after="60"/>
      </w:pPr>
      <w:r>
        <w:rPr>
          <w:b w:val="0"/>
          <w:i w:val="0"/>
        </w:rPr>
        <w:t>Open Financial_Annex.xlsx and go to Summary (or Combined_Summary). The same figure is there, and the cell links back to the calculation sheet.</w:t>
      </w:r>
    </w:p>
    <w:p>
      <w:pPr>
        <w:pStyle w:val="ListNumber"/>
        <w:spacing w:after="60"/>
      </w:pPr>
      <w:r>
        <w:rPr>
          <w:b w:val="0"/>
          <w:i w:val="0"/>
        </w:rPr>
        <w:t>Click the cell to see its formula and follow it to Project_CF, Option_A or Option_B.</w:t>
      </w:r>
    </w:p>
    <w:p>
      <w:pPr>
        <w:pStyle w:val="ListNumber"/>
        <w:spacing w:after="60"/>
      </w:pPr>
      <w:r>
        <w:rPr>
          <w:b w:val="0"/>
          <w:i w:val="0"/>
        </w:rPr>
        <w:t>Open the matching QA report in QA_Reports to see the tie-out and the independent recalculation.</w:t>
      </w:r>
    </w:p>
    <w:p>
      <w:pPr>
        <w:pStyle w:val="Heading2"/>
      </w:pPr>
      <w:r>
        <w:t>6. Rules for sharing</w:t>
      </w:r>
    </w:p>
    <w:p>
      <w:pPr>
        <w:pStyle w:val="ListBullet"/>
        <w:spacing w:after="60"/>
      </w:pPr>
      <w:r>
        <w:rPr>
          <w:b w:val="0"/>
          <w:i w:val="0"/>
        </w:rPr>
        <w:t>Everything in every pack is confidential and subject to the NDA. Send the NDA first.</w:t>
      </w:r>
    </w:p>
    <w:p>
      <w:pPr>
        <w:pStyle w:val="ListBullet"/>
        <w:spacing w:after="60"/>
      </w:pPr>
      <w:r>
        <w:rPr>
          <w:b w:val="0"/>
          <w:i w:val="0"/>
        </w:rPr>
        <w:t>Send each investor only their own pack. The six single-project packs must never be sent with, or mention, the other project.</w:t>
      </w:r>
    </w:p>
    <w:p>
      <w:pPr>
        <w:pStyle w:val="ListBullet"/>
        <w:spacing w:after="60"/>
      </w:pPr>
      <w:r>
        <w:rPr>
          <w:b w:val="0"/>
          <w:i w:val="0"/>
        </w:rPr>
        <w:t>Keep the files in this guide, QA_Reports, the 00, 01 and 02 working papers and INTERNAL_Disclosure_QA.docx inside Jalour.</w:t>
      </w:r>
    </w:p>
    <w:p>
      <w:pPr>
        <w:pStyle w:val="ListBullet"/>
        <w:spacing w:after="60"/>
      </w:pPr>
      <w:r>
        <w:rPr>
          <w:b w:val="0"/>
          <w:i w:val="0"/>
        </w:rPr>
        <w:t>Send the PDF versions to investors who only need to read; send the Excel annex to those who want to test the numbers.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PAGE</w:instrText>
    </w:r>
    <w:r>
      <w:rPr>
        <w:color w:val="6B72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7"/>
      </w:rPr>
      <w:t>Jalour Developments  |  INTERNAL guide. Do not send to investors.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read the output files</dc:title>
  <dc:subject>Strictly private and confidential</dc:subject>
  <dc:creator>Jalour Developments</dc:creator>
  <cp:keywords/>
  <dc:description/>
  <cp:lastModifiedBy>Jalour Developments</cp:lastModifiedBy>
  <cp:revision>1</cp:revision>
  <dcterms:created xsi:type="dcterms:W3CDTF">2013-12-23T23:15:00Z</dcterms:created>
  <dcterms:modified xsi:type="dcterms:W3CDTF">2013-12-23T23:15:00Z</dcterms:modified>
  <cp:category/>
</cp:coreProperties>
</file>