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i w:val="0"/>
          <w:color w:val="B8893B"/>
          <w:sz w:val="20"/>
        </w:rPr>
        <w:t>STRICTLY PRIVATE AND CONFIDENTIAL</w:t>
      </w:r>
    </w:p>
    <w:p>
      <w:pPr>
        <w:spacing w:after="40"/>
      </w:pPr>
      <w:r>
        <w:rPr>
          <w:b/>
          <w:i w:val="0"/>
          <w:color w:val="17324D"/>
          <w:sz w:val="64"/>
        </w:rPr>
        <w:t>Green Square and L'avenir</w:t>
      </w:r>
    </w:p>
    <w:p>
      <w:pPr>
        <w:spacing w:after="280"/>
      </w:pPr>
      <w:r>
        <w:rPr>
          <w:b w:val="0"/>
          <w:i w:val="0"/>
          <w:color w:val="1B1F2A"/>
          <w:sz w:val="30"/>
        </w:rPr>
        <w:t>Two commercial and office developments, El Mostakbal City, Cairo</w:t>
      </w:r>
    </w:p>
    <w:p>
      <w:pPr>
        <w:spacing w:after="40"/>
      </w:pPr>
      <w:r>
        <w:rPr>
          <w:b/>
          <w:i w:val="0"/>
          <w:color w:val="17324D"/>
          <w:sz w:val="28"/>
        </w:rPr>
        <w:t>INVESTMENT MEMORANDUM</w:t>
      </w:r>
    </w:p>
    <w:p>
      <w:pPr>
        <w:spacing w:after="40"/>
      </w:pPr>
      <w:r>
        <w:rPr>
          <w:b w:val="0"/>
          <w:i w:val="0"/>
          <w:sz w:val="24"/>
        </w:rPr>
        <w:t>Private placement of EGP 125 million (USD 2.6 million at EGP 48 per USD): EGP 62.5 million in each project</w:t>
      </w:r>
    </w:p>
    <w:p>
      <w:pPr>
        <w:spacing w:after="720"/>
      </w:pPr>
      <w:r>
        <w:rPr>
          <w:b w:val="0"/>
          <w:i w:val="0"/>
          <w:sz w:val="24"/>
        </w:rPr>
        <w:t>Option A: units. Option B: cash. One option applies to both projects.</w:t>
      </w:r>
    </w:p>
    <w:p>
      <w:pPr>
        <w:spacing w:after="160"/>
      </w:pPr>
      <w:r>
        <w:rPr>
          <w:b/>
          <w:i w:val="0"/>
          <w:color w:val="B8893B"/>
          <w:sz w:val="19"/>
        </w:rPr>
        <w:t>ALL INFORMATION IN THIS DOCUMENT IS CONFIDENTIAL AND SUBJECT TO THE NON-DISCLOSURE AGREEMENT.</w:t>
      </w:r>
    </w:p>
    <w:p>
      <w:pPr>
        <w:spacing w:after="40"/>
      </w:pPr>
      <w:r>
        <w:rPr>
          <w:b w:val="0"/>
          <w:i w:val="0"/>
          <w:sz w:val="21"/>
        </w:rPr>
        <w:t>Issued by Jalour Developments, a subsidiary of Al Jalal Holding, Cairo</w:t>
      </w:r>
    </w:p>
    <w:p>
      <w:r>
        <w:rPr>
          <w:b w:val="0"/>
          <w:i w:val="0"/>
          <w:color w:val="6B7280"/>
          <w:sz w:val="21"/>
        </w:rPr>
        <w:t>October 2026. Draft for discussion with the named investor only.</w:t>
      </w:r>
    </w:p>
    <w:p>
      <w:pPr>
        <w:pStyle w:val="Heading1"/>
        <w:pageBreakBefore/>
      </w:pPr>
      <w:r>
        <w:t>Important notice</w:t>
      </w:r>
    </w:p>
    <w:tbl>
      <w:tblPr>
        <w:tblW w:type="auto" w:w="0"/>
        <w:jc w:val="center"/>
        <w:tblLayout w:type="fixed"/>
        <w:tblCellMar>
          <w:top w:w="100" w:type="dxa"/>
          <w:left w:w="160" w:type="dxa"/>
          <w:bottom w:w="100" w:type="dxa"/>
          <w:right w:w="160" w:type="dxa"/>
        </w:tblCellMar>
        <w:tblLook w:firstColumn="1" w:firstRow="1" w:lastColumn="0" w:lastRow="0" w:noHBand="0" w:noVBand="1" w:val="04A0"/>
      </w:tblPr>
      <w:tblGrid>
        <w:gridCol w:w="9298"/>
      </w:tblGrid>
      <w:tr>
        <w:tc>
          <w:tcPr>
            <w:tcW w:type="dxa" w:w="9298"/>
            <w:shd w:val="clear" w:color="auto" w:fill="FBF3E4"/>
          </w:tcPr>
          <w:p>
            <w:pPr>
              <w:spacing w:after="0"/>
            </w:pPr>
            <w:r/>
            <w:r>
              <w:rPr>
                <w:b/>
                <w:i w:val="0"/>
                <w:sz w:val="20"/>
              </w:rPr>
              <w:t>ALL INFORMATION IN THIS DOCUMENT, IN THE OTHER DOCUMENTS OF THIS PACK AND IN THE DATA ROOM IS CONFIDENTIAL. It is provided only under the non-disclosure agreement between the recipient and Jalour, and must not be disclosed, copied, forwarded or used for any other purpose.</w:t>
            </w:r>
          </w:p>
        </w:tc>
      </w:tr>
    </w:tbl>
    <w:p>
      <w:pPr>
        <w:spacing w:after="80"/>
      </w:pPr>
    </w:p>
    <w:p>
      <w:r>
        <w:rPr>
          <w:b w:val="0"/>
          <w:i w:val="0"/>
        </w:rPr>
        <w:t>This memorandum has been prepared by Jalour Developments (Jalour) for the sole use of the investor to whom it is addressed. It is confidential. It must not be copied, distributed or disclosed to any other person without Jalour's written consent. The non-disclosure agreement covers every document, figure and statement in this pack, including the financial information of both projects.</w:t>
      </w:r>
    </w:p>
    <w:p>
      <w:r>
        <w:rPr>
          <w:b w:val="0"/>
          <w:i w:val="0"/>
        </w:rPr>
        <w:t>It is not an offer to the public and is not a prospectus. It has not been reviewed or approved by any regulator. Whether this placement requires any regulatory filing, approval or exemption in Egypt or elsewhere is a matter for legal counsel; nothing here is legal, tax or investment advice.</w:t>
      </w:r>
    </w:p>
    <w:p>
      <w:r>
        <w:rPr>
          <w:b w:val="0"/>
          <w:i w:val="0"/>
        </w:rPr>
        <w:t>All forecasts, returns, multiples, internal rates of return, cash flows and market statements are projections or reported third-party statements, not statements of fact or guarantees. Actual results may differ materially. Every return figure is labelled with its case (base, downside or upside).</w:t>
      </w:r>
    </w:p>
    <w:p>
      <w:r>
        <w:rPr>
          <w:b w:val="0"/>
          <w:i w:val="0"/>
        </w:rPr>
        <w:t>Figures come from the Jalour financial model for the two projects and are reproduced in the Financial Annex, whose Combined_Summary sheet is the reference for every number below. Market data are taken from third-party publications identified in the text and in Appendix D; Jalour has not independently verified them. Property listings are asking prices, not transaction prices.</w:t>
      </w:r>
    </w:p>
    <w:p>
      <w:r>
        <w:rPr>
          <w:b w:val="0"/>
          <w:i w:val="0"/>
        </w:rPr>
        <w:t>Items shown in square brackets are provided after the investor signs the non-disclosure agreement. Terms are indicative until set out in definitive agreements, which prevail over this memorandum.</w:t>
      </w:r>
    </w:p>
    <w:p>
      <w:r>
        <w:rPr>
          <w:b w:val="0"/>
          <w:i w:val="0"/>
        </w:rPr>
        <w:t>Jalour may raise further capital at project or holding level, subject to the investor's stated rights as to ranking, collateral and information. This memorandum creates no exclusivity in favour of any investor.</w:t>
      </w:r>
    </w:p>
    <w:p>
      <w:r>
        <w:rPr>
          <w:b w:val="0"/>
          <w:i w:val="0"/>
        </w:rPr>
        <w:t>Each project is held in its own company, with no cross-collateral and no cross-default between the projects. The two projects are presented together because this placement is a single investment of EGP 62.5 million in each.</w:t>
      </w:r>
    </w:p>
    <w:p>
      <w:pPr>
        <w:pStyle w:val="Heading1"/>
        <w:pageBreakBefore/>
      </w:pPr>
      <w:r>
        <w:t>Contents</w:t>
      </w:r>
    </w:p>
    <w:p>
      <w:pPr>
        <w:tabs>
          <w:tab w:pos="9241" w:val="right" w:leader="dot"/>
        </w:tabs>
        <w:spacing w:after="60"/>
      </w:pPr>
      <w:r>
        <w:rPr>
          <w:sz w:val="22"/>
        </w:rPr>
        <w:t>1. Executive summary</w:t>
        <w:tab/>
        <w:t>4</w:t>
      </w:r>
    </w:p>
    <w:p>
      <w:pPr>
        <w:tabs>
          <w:tab w:pos="9241" w:val="right" w:leader="dot"/>
        </w:tabs>
        <w:spacing w:after="60"/>
      </w:pPr>
      <w:r>
        <w:rPr>
          <w:sz w:val="22"/>
        </w:rPr>
        <w:t>2. Transaction overview</w:t>
        <w:tab/>
        <w:t>6</w:t>
      </w:r>
    </w:p>
    <w:p>
      <w:pPr>
        <w:tabs>
          <w:tab w:pos="9241" w:val="right" w:leader="dot"/>
        </w:tabs>
        <w:spacing w:after="60"/>
      </w:pPr>
      <w:r>
        <w:rPr>
          <w:sz w:val="22"/>
        </w:rPr>
        <w:t>3. Investment thesis</w:t>
        <w:tab/>
        <w:t>7</w:t>
      </w:r>
    </w:p>
    <w:p>
      <w:pPr>
        <w:tabs>
          <w:tab w:pos="9241" w:val="right" w:leader="dot"/>
        </w:tabs>
        <w:spacing w:after="60"/>
      </w:pPr>
      <w:r>
        <w:rPr>
          <w:sz w:val="22"/>
        </w:rPr>
        <w:t>4. Market analysis</w:t>
        <w:tab/>
        <w:t>8</w:t>
      </w:r>
    </w:p>
    <w:p>
      <w:pPr>
        <w:tabs>
          <w:tab w:pos="9241" w:val="right" w:leader="dot"/>
        </w:tabs>
        <w:spacing w:after="60"/>
      </w:pPr>
      <w:r>
        <w:rPr>
          <w:sz w:val="22"/>
        </w:rPr>
        <w:t>5. Project descriptions</w:t>
        <w:tab/>
        <w:t>11</w:t>
      </w:r>
    </w:p>
    <w:p>
      <w:pPr>
        <w:tabs>
          <w:tab w:pos="9241" w:val="right" w:leader="dot"/>
        </w:tabs>
        <w:spacing w:after="60"/>
      </w:pPr>
      <w:r>
        <w:rPr>
          <w:sz w:val="22"/>
        </w:rPr>
        <w:t>6. The Al Ahly Sabbour agreements and consents</w:t>
        <w:tab/>
        <w:t>12</w:t>
      </w:r>
    </w:p>
    <w:p>
      <w:pPr>
        <w:tabs>
          <w:tab w:pos="9241" w:val="right" w:leader="dot"/>
        </w:tabs>
        <w:spacing w:after="60"/>
      </w:pPr>
      <w:r>
        <w:rPr>
          <w:sz w:val="22"/>
        </w:rPr>
        <w:t>7. Sponsor and management</w:t>
        <w:tab/>
        <w:t>12</w:t>
      </w:r>
    </w:p>
    <w:p>
      <w:pPr>
        <w:tabs>
          <w:tab w:pos="9241" w:val="right" w:leader="dot"/>
        </w:tabs>
        <w:spacing w:after="60"/>
      </w:pPr>
      <w:r>
        <w:rPr>
          <w:sz w:val="22"/>
        </w:rPr>
        <w:t>8. Business plan and assumptions</w:t>
        <w:tab/>
        <w:t>14</w:t>
      </w:r>
    </w:p>
    <w:p>
      <w:pPr>
        <w:tabs>
          <w:tab w:pos="9241" w:val="right" w:leader="dot"/>
        </w:tabs>
        <w:spacing w:after="60"/>
      </w:pPr>
      <w:r>
        <w:rPr>
          <w:sz w:val="22"/>
        </w:rPr>
        <w:t>9. Sales and collections model</w:t>
        <w:tab/>
        <w:t>15</w:t>
      </w:r>
    </w:p>
    <w:p>
      <w:pPr>
        <w:tabs>
          <w:tab w:pos="9241" w:val="right" w:leader="dot"/>
        </w:tabs>
        <w:spacing w:after="60"/>
      </w:pPr>
      <w:r>
        <w:rPr>
          <w:sz w:val="22"/>
        </w:rPr>
        <w:t>10. Cost model</w:t>
        <w:tab/>
        <w:t>17</w:t>
      </w:r>
    </w:p>
    <w:p>
      <w:pPr>
        <w:tabs>
          <w:tab w:pos="9241" w:val="right" w:leader="dot"/>
        </w:tabs>
        <w:spacing w:after="60"/>
      </w:pPr>
      <w:r>
        <w:rPr>
          <w:sz w:val="22"/>
        </w:rPr>
        <w:t>11. Funding plan, use of funds and combined cash position</w:t>
        <w:tab/>
        <w:t>19</w:t>
      </w:r>
    </w:p>
    <w:p>
      <w:pPr>
        <w:tabs>
          <w:tab w:pos="9241" w:val="right" w:leader="dot"/>
        </w:tabs>
        <w:spacing w:after="60"/>
      </w:pPr>
      <w:r>
        <w:rPr>
          <w:sz w:val="22"/>
        </w:rPr>
        <w:t>12. Investment terms</w:t>
        <w:tab/>
        <w:t>22</w:t>
      </w:r>
    </w:p>
    <w:p>
      <w:pPr>
        <w:tabs>
          <w:tab w:pos="9241" w:val="right" w:leader="dot"/>
        </w:tabs>
        <w:spacing w:after="60"/>
      </w:pPr>
      <w:r>
        <w:rPr>
          <w:sz w:val="22"/>
        </w:rPr>
        <w:t>13. Returns analysis and sensitivities</w:t>
        <w:tab/>
        <w:t>24</w:t>
      </w:r>
    </w:p>
    <w:p>
      <w:pPr>
        <w:tabs>
          <w:tab w:pos="9241" w:val="right" w:leader="dot"/>
        </w:tabs>
        <w:spacing w:after="60"/>
      </w:pPr>
      <w:r>
        <w:rPr>
          <w:sz w:val="22"/>
        </w:rPr>
        <w:t>14. Security and ranking</w:t>
        <w:tab/>
        <w:t>29</w:t>
      </w:r>
    </w:p>
    <w:p>
      <w:pPr>
        <w:tabs>
          <w:tab w:pos="9241" w:val="right" w:leader="dot"/>
        </w:tabs>
        <w:spacing w:after="60"/>
      </w:pPr>
      <w:r>
        <w:rPr>
          <w:sz w:val="22"/>
        </w:rPr>
        <w:t>15. Governance and information rights</w:t>
        <w:tab/>
        <w:t>29</w:t>
      </w:r>
    </w:p>
    <w:p>
      <w:pPr>
        <w:tabs>
          <w:tab w:pos="9241" w:val="right" w:leader="dot"/>
        </w:tabs>
        <w:spacing w:after="60"/>
      </w:pPr>
      <w:r>
        <w:rPr>
          <w:sz w:val="22"/>
        </w:rPr>
        <w:t>16. Exit and liquidity</w:t>
        <w:tab/>
        <w:t>30</w:t>
      </w:r>
    </w:p>
    <w:p>
      <w:pPr>
        <w:tabs>
          <w:tab w:pos="9241" w:val="right" w:leader="dot"/>
        </w:tabs>
        <w:spacing w:after="60"/>
      </w:pPr>
      <w:r>
        <w:rPr>
          <w:sz w:val="22"/>
        </w:rPr>
        <w:t>17. Risk factors</w:t>
        <w:tab/>
        <w:t>31</w:t>
      </w:r>
    </w:p>
    <w:p>
      <w:pPr>
        <w:tabs>
          <w:tab w:pos="9241" w:val="right" w:leader="dot"/>
        </w:tabs>
        <w:spacing w:after="60"/>
      </w:pPr>
      <w:r>
        <w:rPr>
          <w:sz w:val="22"/>
        </w:rPr>
        <w:t>18. Tax and legal considerations</w:t>
        <w:tab/>
        <w:t>32</w:t>
      </w:r>
    </w:p>
    <w:p>
      <w:pPr>
        <w:tabs>
          <w:tab w:pos="9241" w:val="right" w:leader="dot"/>
        </w:tabs>
        <w:spacing w:after="60"/>
      </w:pPr>
      <w:r>
        <w:rPr>
          <w:sz w:val="22"/>
        </w:rPr>
        <w:t>Appendices</w:t>
        <w:tab/>
        <w:t>33</w:t>
      </w:r>
    </w:p>
    <w:p>
      <w:pPr>
        <w:pStyle w:val="Heading1"/>
        <w:pageBreakBefore/>
      </w:pPr>
      <w:r>
        <w:t>1. Executive summary</w:t>
      </w:r>
    </w:p>
    <w:p>
      <w:r>
        <w:rPr>
          <w:b w:val="0"/>
          <w:i w:val="0"/>
        </w:rPr>
        <w:t>Jalour is raising EGP 125 million from a single investor: EGP 62.5 million into Green Square and EGP 62.5 million into L'avenir. The projects are two commercial and office developments in El Mostakbal City, east of New Cairo, of 13,023 m2 and 13,419 m2 of built-up area on plots of 14,470 and 14,910 m2. Both plots belong to Al Ahly Sabbour. Jalour is developer and operator of each: it designs, obtains permits, builds to core-and-shell standard, markets, sells, collects and operates. Collections are shared 35% to the landowner (subject to minimum guarantees of EGP 800 million and EGP 850 million over six years) and 65% to Jalour.</w:t>
      </w:r>
    </w:p>
    <w:p>
      <w:r>
        <w:rPr>
          <w:b w:val="0"/>
          <w:i w:val="0"/>
        </w:rPr>
        <w:t>The investor chooses one of two instruments at signing, and the choice applies to both projects:</w:t>
      </w:r>
    </w:p>
    <w:p>
      <w:pPr>
        <w:pStyle w:val="ListBullet"/>
        <w:spacing w:after="60"/>
      </w:pPr>
      <w:r>
        <w:rPr>
          <w:b/>
          <w:i w:val="0"/>
        </w:rPr>
        <w:t>Option A, units.</w:t>
      </w:r>
      <w:r>
        <w:rPr>
          <w:b w:val="0"/>
          <w:i w:val="0"/>
        </w:rPr>
        <w:t xml:space="preserve"> In each project, units with a face value of EGP 125 million, twice the ticket, priced at the launch list, allocated from the first two sales tranches: EGP 250 million in total. At the delivery list prices the units are worth EGP 364 million. Projected investor IRR on the combined EGP 125 million: 27.7% base, 19.5% downside, 30.6% upside.</w:t>
      </w:r>
    </w:p>
    <w:p>
      <w:pPr>
        <w:pStyle w:val="ListBullet"/>
        <w:spacing w:after="60"/>
      </w:pPr>
      <w:r>
        <w:rPr>
          <w:b/>
          <w:i w:val="0"/>
        </w:rPr>
        <w:t>Option B, cash.</w:t>
      </w:r>
      <w:r>
        <w:rPr>
          <w:b w:val="0"/>
          <w:i w:val="0"/>
        </w:rPr>
        <w:t xml:space="preserve"> EGP 143.75 million (2.3x the ticket) from each project, EGP 287.5 million in total, in 12 equal quarterly instalments per project of EGP 11.98 million after a 24-month grace period (Green Square months 24 to 57; L'avenir months 27 to 60). Projected investor IRR 26.5%, contractual if Jalour pays.</w:t>
      </w:r>
    </w:p>
    <w:p>
      <w:pPr>
        <w:keepNext/>
        <w:spacing w:after="60"/>
      </w:pPr>
      <w:r>
        <w:rPr>
          <w:b/>
          <w:color w:val="17324D"/>
          <w:sz w:val="19"/>
        </w:rPr>
        <w:t>Table 1: Headline figures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855"/>
            <w:shd w:val="clear" w:color="auto" w:fill="17324D"/>
          </w:tcPr>
          <w:p>
            <w:pPr>
              <w:spacing w:after="0" w:line="240" w:lineRule="auto"/>
            </w:pPr>
            <w:r/>
            <w:r>
              <w:rPr>
                <w:b/>
                <w:color w:val="FFFFFF"/>
                <w:sz w:val="19"/>
              </w:rPr>
              <w:t>Key figures (EGP million unless stated)</w:t>
            </w:r>
          </w:p>
        </w:tc>
        <w:tc>
          <w:tcPr>
            <w:tcW w:type="dxa" w:w="1757"/>
            <w:shd w:val="clear" w:color="auto" w:fill="17324D"/>
          </w:tcPr>
          <w:p>
            <w:pPr>
              <w:spacing w:after="0" w:line="240" w:lineRule="auto"/>
              <w:jc w:val="right"/>
            </w:pPr>
            <w:r/>
            <w:r>
              <w:rPr>
                <w:b/>
                <w:color w:val="FFFFFF"/>
                <w:sz w:val="19"/>
              </w:rPr>
              <w:t>Green Square</w:t>
            </w:r>
          </w:p>
        </w:tc>
        <w:tc>
          <w:tcPr>
            <w:tcW w:type="dxa" w:w="1757"/>
            <w:shd w:val="clear" w:color="auto" w:fill="17324D"/>
          </w:tcPr>
          <w:p>
            <w:pPr>
              <w:spacing w:after="0" w:line="240" w:lineRule="auto"/>
              <w:jc w:val="right"/>
            </w:pPr>
            <w:r/>
            <w:r>
              <w:rPr>
                <w:b/>
                <w:color w:val="FFFFFF"/>
                <w:sz w:val="19"/>
              </w:rPr>
              <w:t>L'avenir</w:t>
            </w:r>
          </w:p>
        </w:tc>
        <w:tc>
          <w:tcPr>
            <w:tcW w:type="dxa" w:w="1871"/>
            <w:shd w:val="clear" w:color="auto" w:fill="17324D"/>
          </w:tcPr>
          <w:p>
            <w:pPr>
              <w:spacing w:after="0" w:line="240" w:lineRule="auto"/>
              <w:jc w:val="right"/>
            </w:pPr>
            <w:r/>
            <w:r>
              <w:rPr>
                <w:b/>
                <w:color w:val="FFFFFF"/>
                <w:sz w:val="19"/>
              </w:rPr>
              <w:t>Combined</w:t>
            </w:r>
          </w:p>
        </w:tc>
      </w:tr>
      <w:tr>
        <w:trPr>
          <w:cantSplit/>
        </w:trPr>
        <w:tc>
          <w:tcPr>
            <w:tcW w:type="dxa" w:w="3855"/>
          </w:tcPr>
          <w:p>
            <w:pPr>
              <w:spacing w:after="0" w:line="240" w:lineRule="auto"/>
            </w:pPr>
            <w:r/>
            <w:r>
              <w:rPr>
                <w:sz w:val="19"/>
              </w:rPr>
              <w:t>Investor ticket</w:t>
            </w:r>
          </w:p>
        </w:tc>
        <w:tc>
          <w:tcPr>
            <w:tcW w:type="dxa" w:w="1757"/>
          </w:tcPr>
          <w:p>
            <w:pPr>
              <w:spacing w:after="0" w:line="240" w:lineRule="auto"/>
              <w:jc w:val="right"/>
            </w:pPr>
            <w:r/>
            <w:r>
              <w:rPr>
                <w:sz w:val="19"/>
              </w:rPr>
              <w:t>62.5</w:t>
            </w:r>
          </w:p>
        </w:tc>
        <w:tc>
          <w:tcPr>
            <w:tcW w:type="dxa" w:w="1757"/>
          </w:tcPr>
          <w:p>
            <w:pPr>
              <w:spacing w:after="0" w:line="240" w:lineRule="auto"/>
              <w:jc w:val="right"/>
            </w:pPr>
            <w:r/>
            <w:r>
              <w:rPr>
                <w:sz w:val="19"/>
              </w:rPr>
              <w:t>62.5</w:t>
            </w:r>
          </w:p>
        </w:tc>
        <w:tc>
          <w:tcPr>
            <w:tcW w:type="dxa" w:w="1871"/>
          </w:tcPr>
          <w:p>
            <w:pPr>
              <w:spacing w:after="0" w:line="240" w:lineRule="auto"/>
              <w:jc w:val="right"/>
            </w:pPr>
            <w:r/>
            <w:r>
              <w:rPr>
                <w:sz w:val="19"/>
              </w:rPr>
              <w:t>125.0</w:t>
            </w:r>
          </w:p>
        </w:tc>
      </w:tr>
      <w:tr>
        <w:trPr>
          <w:cantSplit/>
        </w:trPr>
        <w:tc>
          <w:tcPr>
            <w:tcW w:type="dxa" w:w="3855"/>
            <w:shd w:val="clear" w:color="auto" w:fill="F2F4F7"/>
          </w:tcPr>
          <w:p>
            <w:pPr>
              <w:spacing w:after="0" w:line="240" w:lineRule="auto"/>
            </w:pPr>
            <w:r/>
            <w:r>
              <w:rPr>
                <w:sz w:val="19"/>
              </w:rPr>
              <w:t>Modelled peak cumulative shortage, base case</w:t>
            </w:r>
          </w:p>
        </w:tc>
        <w:tc>
          <w:tcPr>
            <w:tcW w:type="dxa" w:w="1757"/>
            <w:shd w:val="clear" w:color="auto" w:fill="F2F4F7"/>
          </w:tcPr>
          <w:p>
            <w:pPr>
              <w:spacing w:after="0" w:line="240" w:lineRule="auto"/>
              <w:jc w:val="right"/>
            </w:pPr>
            <w:r/>
            <w:r>
              <w:rPr>
                <w:sz w:val="19"/>
              </w:rPr>
              <w:t>102.5</w:t>
            </w:r>
          </w:p>
        </w:tc>
        <w:tc>
          <w:tcPr>
            <w:tcW w:type="dxa" w:w="1757"/>
            <w:shd w:val="clear" w:color="auto" w:fill="F2F4F7"/>
          </w:tcPr>
          <w:p>
            <w:pPr>
              <w:spacing w:after="0" w:line="240" w:lineRule="auto"/>
              <w:jc w:val="right"/>
            </w:pPr>
            <w:r/>
            <w:r>
              <w:rPr>
                <w:sz w:val="19"/>
              </w:rPr>
              <w:t>102.0</w:t>
            </w:r>
          </w:p>
        </w:tc>
        <w:tc>
          <w:tcPr>
            <w:tcW w:type="dxa" w:w="1871"/>
            <w:shd w:val="clear" w:color="auto" w:fill="F2F4F7"/>
          </w:tcPr>
          <w:p>
            <w:pPr>
              <w:spacing w:after="0" w:line="240" w:lineRule="auto"/>
              <w:jc w:val="right"/>
            </w:pPr>
            <w:r/>
            <w:r>
              <w:rPr>
                <w:sz w:val="19"/>
              </w:rPr>
              <w:t>168.0</w:t>
            </w:r>
          </w:p>
        </w:tc>
      </w:tr>
      <w:tr>
        <w:trPr>
          <w:cantSplit/>
        </w:trPr>
        <w:tc>
          <w:tcPr>
            <w:tcW w:type="dxa" w:w="3855"/>
          </w:tcPr>
          <w:p>
            <w:pPr>
              <w:spacing w:after="0" w:line="240" w:lineRule="auto"/>
            </w:pPr>
            <w:r/>
            <w:r>
              <w:rPr>
                <w:sz w:val="19"/>
              </w:rPr>
              <w:t>Total uses at the funding peak</w:t>
            </w:r>
          </w:p>
        </w:tc>
        <w:tc>
          <w:tcPr>
            <w:tcW w:type="dxa" w:w="1757"/>
          </w:tcPr>
          <w:p>
            <w:pPr>
              <w:spacing w:after="0" w:line="240" w:lineRule="auto"/>
              <w:jc w:val="right"/>
            </w:pPr>
            <w:r/>
            <w:r>
              <w:rPr>
                <w:sz w:val="19"/>
              </w:rPr>
              <w:t>113.0</w:t>
            </w:r>
          </w:p>
        </w:tc>
        <w:tc>
          <w:tcPr>
            <w:tcW w:type="dxa" w:w="1757"/>
          </w:tcPr>
          <w:p>
            <w:pPr>
              <w:spacing w:after="0" w:line="240" w:lineRule="auto"/>
              <w:jc w:val="right"/>
            </w:pPr>
            <w:r/>
            <w:r>
              <w:rPr>
                <w:sz w:val="19"/>
              </w:rPr>
              <w:t>112.5</w:t>
            </w:r>
          </w:p>
        </w:tc>
        <w:tc>
          <w:tcPr>
            <w:tcW w:type="dxa" w:w="1871"/>
          </w:tcPr>
          <w:p>
            <w:pPr>
              <w:spacing w:after="0" w:line="240" w:lineRule="auto"/>
              <w:jc w:val="right"/>
            </w:pPr>
            <w:r/>
            <w:r>
              <w:rPr>
                <w:sz w:val="19"/>
              </w:rPr>
              <w:t>225.4</w:t>
            </w:r>
          </w:p>
        </w:tc>
      </w:tr>
      <w:tr>
        <w:trPr>
          <w:cantSplit/>
        </w:trPr>
        <w:tc>
          <w:tcPr>
            <w:tcW w:type="dxa" w:w="3855"/>
            <w:shd w:val="clear" w:color="auto" w:fill="F2F4F7"/>
          </w:tcPr>
          <w:p>
            <w:pPr>
              <w:spacing w:after="0" w:line="240" w:lineRule="auto"/>
            </w:pPr>
            <w:r/>
            <w:r>
              <w:rPr>
                <w:sz w:val="19"/>
              </w:rPr>
              <w:t>Total sales in the sales plans</w:t>
            </w:r>
          </w:p>
        </w:tc>
        <w:tc>
          <w:tcPr>
            <w:tcW w:type="dxa" w:w="1757"/>
            <w:shd w:val="clear" w:color="auto" w:fill="F2F4F7"/>
          </w:tcPr>
          <w:p>
            <w:pPr>
              <w:spacing w:after="0" w:line="240" w:lineRule="auto"/>
              <w:jc w:val="right"/>
            </w:pPr>
            <w:r/>
            <w:r>
              <w:rPr>
                <w:sz w:val="19"/>
              </w:rPr>
              <w:t>2,253</w:t>
            </w:r>
          </w:p>
        </w:tc>
        <w:tc>
          <w:tcPr>
            <w:tcW w:type="dxa" w:w="1757"/>
            <w:shd w:val="clear" w:color="auto" w:fill="F2F4F7"/>
          </w:tcPr>
          <w:p>
            <w:pPr>
              <w:spacing w:after="0" w:line="240" w:lineRule="auto"/>
              <w:jc w:val="right"/>
            </w:pPr>
            <w:r/>
            <w:r>
              <w:rPr>
                <w:sz w:val="19"/>
              </w:rPr>
              <w:t>2,674</w:t>
            </w:r>
          </w:p>
        </w:tc>
        <w:tc>
          <w:tcPr>
            <w:tcW w:type="dxa" w:w="1871"/>
            <w:shd w:val="clear" w:color="auto" w:fill="F2F4F7"/>
          </w:tcPr>
          <w:p>
            <w:pPr>
              <w:spacing w:after="0" w:line="240" w:lineRule="auto"/>
              <w:jc w:val="right"/>
            </w:pPr>
            <w:r/>
            <w:r>
              <w:rPr>
                <w:sz w:val="19"/>
              </w:rPr>
              <w:t>4,927</w:t>
            </w:r>
          </w:p>
        </w:tc>
      </w:tr>
      <w:tr>
        <w:trPr>
          <w:cantSplit/>
        </w:trPr>
        <w:tc>
          <w:tcPr>
            <w:tcW w:type="dxa" w:w="3855"/>
          </w:tcPr>
          <w:p>
            <w:pPr>
              <w:spacing w:after="0" w:line="240" w:lineRule="auto"/>
            </w:pPr>
            <w:r/>
            <w:r>
              <w:rPr>
                <w:sz w:val="19"/>
              </w:rPr>
              <w:t>Jalour net cash flow, nominal</w:t>
            </w:r>
          </w:p>
        </w:tc>
        <w:tc>
          <w:tcPr>
            <w:tcW w:type="dxa" w:w="1757"/>
          </w:tcPr>
          <w:p>
            <w:pPr>
              <w:spacing w:after="0" w:line="240" w:lineRule="auto"/>
              <w:jc w:val="right"/>
            </w:pPr>
            <w:r/>
            <w:r>
              <w:rPr>
                <w:sz w:val="19"/>
              </w:rPr>
              <w:t>375.4</w:t>
            </w:r>
          </w:p>
        </w:tc>
        <w:tc>
          <w:tcPr>
            <w:tcW w:type="dxa" w:w="1757"/>
          </w:tcPr>
          <w:p>
            <w:pPr>
              <w:spacing w:after="0" w:line="240" w:lineRule="auto"/>
              <w:jc w:val="right"/>
            </w:pPr>
            <w:r/>
            <w:r>
              <w:rPr>
                <w:sz w:val="19"/>
              </w:rPr>
              <w:t>595.3</w:t>
            </w:r>
          </w:p>
        </w:tc>
        <w:tc>
          <w:tcPr>
            <w:tcW w:type="dxa" w:w="1871"/>
          </w:tcPr>
          <w:p>
            <w:pPr>
              <w:spacing w:after="0" w:line="240" w:lineRule="auto"/>
              <w:jc w:val="right"/>
            </w:pPr>
            <w:r/>
            <w:r>
              <w:rPr>
                <w:sz w:val="19"/>
              </w:rPr>
              <w:t>970.7</w:t>
            </w:r>
          </w:p>
        </w:tc>
      </w:tr>
      <w:tr>
        <w:trPr>
          <w:cantSplit/>
        </w:trPr>
        <w:tc>
          <w:tcPr>
            <w:tcW w:type="dxa" w:w="3855"/>
            <w:shd w:val="clear" w:color="auto" w:fill="F2F4F7"/>
          </w:tcPr>
          <w:p>
            <w:pPr>
              <w:spacing w:after="0" w:line="240" w:lineRule="auto"/>
            </w:pPr>
            <w:r/>
            <w:r>
              <w:rPr>
                <w:sz w:val="19"/>
              </w:rPr>
              <w:t>NPV of Jalour net cash flow at 14%</w:t>
            </w:r>
          </w:p>
        </w:tc>
        <w:tc>
          <w:tcPr>
            <w:tcW w:type="dxa" w:w="1757"/>
            <w:shd w:val="clear" w:color="auto" w:fill="F2F4F7"/>
          </w:tcPr>
          <w:p>
            <w:pPr>
              <w:spacing w:after="0" w:line="240" w:lineRule="auto"/>
              <w:jc w:val="right"/>
            </w:pPr>
            <w:r/>
            <w:r>
              <w:rPr>
                <w:sz w:val="19"/>
              </w:rPr>
              <w:t>229.9</w:t>
            </w:r>
          </w:p>
        </w:tc>
        <w:tc>
          <w:tcPr>
            <w:tcW w:type="dxa" w:w="1757"/>
            <w:shd w:val="clear" w:color="auto" w:fill="F2F4F7"/>
          </w:tcPr>
          <w:p>
            <w:pPr>
              <w:spacing w:after="0" w:line="240" w:lineRule="auto"/>
              <w:jc w:val="right"/>
            </w:pPr>
            <w:r/>
            <w:r>
              <w:rPr>
                <w:sz w:val="19"/>
              </w:rPr>
              <w:t>350.6</w:t>
            </w:r>
          </w:p>
        </w:tc>
        <w:tc>
          <w:tcPr>
            <w:tcW w:type="dxa" w:w="1871"/>
            <w:shd w:val="clear" w:color="auto" w:fill="F2F4F7"/>
          </w:tcPr>
          <w:p>
            <w:pPr>
              <w:spacing w:after="0" w:line="240" w:lineRule="auto"/>
              <w:jc w:val="right"/>
            </w:pPr>
            <w:r/>
            <w:r>
              <w:rPr>
                <w:sz w:val="19"/>
              </w:rPr>
              <w:t>580.5</w:t>
            </w:r>
          </w:p>
        </w:tc>
      </w:tr>
      <w:tr>
        <w:trPr>
          <w:cantSplit/>
        </w:trPr>
        <w:tc>
          <w:tcPr>
            <w:tcW w:type="dxa" w:w="3855"/>
          </w:tcPr>
          <w:p>
            <w:pPr>
              <w:spacing w:after="0" w:line="240" w:lineRule="auto"/>
            </w:pPr>
            <w:r/>
            <w:r>
              <w:rPr>
                <w:sz w:val="19"/>
              </w:rPr>
              <w:t>Handover (project month)</w:t>
            </w:r>
          </w:p>
        </w:tc>
        <w:tc>
          <w:tcPr>
            <w:tcW w:type="dxa" w:w="1757"/>
          </w:tcPr>
          <w:p>
            <w:pPr>
              <w:spacing w:after="0" w:line="240" w:lineRule="auto"/>
              <w:jc w:val="right"/>
            </w:pPr>
            <w:r/>
            <w:r>
              <w:rPr>
                <w:sz w:val="19"/>
              </w:rPr>
              <w:t>42</w:t>
            </w:r>
          </w:p>
        </w:tc>
        <w:tc>
          <w:tcPr>
            <w:tcW w:type="dxa" w:w="1757"/>
          </w:tcPr>
          <w:p>
            <w:pPr>
              <w:spacing w:after="0" w:line="240" w:lineRule="auto"/>
              <w:jc w:val="right"/>
            </w:pPr>
            <w:r/>
            <w:r>
              <w:rPr>
                <w:sz w:val="19"/>
              </w:rPr>
              <w:t>42</w:t>
            </w:r>
          </w:p>
        </w:tc>
        <w:tc>
          <w:tcPr>
            <w:tcW w:type="dxa" w:w="1871"/>
          </w:tcPr>
          <w:p>
            <w:pPr>
              <w:spacing w:after="0" w:line="240" w:lineRule="auto"/>
              <w:jc w:val="right"/>
            </w:pPr>
            <w:r/>
            <w:r>
              <w:rPr>
                <w:sz w:val="19"/>
              </w:rPr>
            </w:r>
          </w:p>
        </w:tc>
      </w:tr>
      <w:tr>
        <w:trPr>
          <w:cantSplit/>
        </w:trPr>
        <w:tc>
          <w:tcPr>
            <w:tcW w:type="dxa" w:w="3855"/>
            <w:shd w:val="clear" w:color="auto" w:fill="F2F4F7"/>
          </w:tcPr>
          <w:p>
            <w:pPr>
              <w:spacing w:after="0" w:line="240" w:lineRule="auto"/>
            </w:pPr>
            <w:r/>
            <w:r>
              <w:rPr>
                <w:sz w:val="19"/>
              </w:rPr>
              <w:t>Option A units, face value</w:t>
            </w:r>
          </w:p>
        </w:tc>
        <w:tc>
          <w:tcPr>
            <w:tcW w:type="dxa" w:w="1757"/>
            <w:shd w:val="clear" w:color="auto" w:fill="F2F4F7"/>
          </w:tcPr>
          <w:p>
            <w:pPr>
              <w:spacing w:after="0" w:line="240" w:lineRule="auto"/>
              <w:jc w:val="right"/>
            </w:pPr>
            <w:r/>
            <w:r>
              <w:rPr>
                <w:sz w:val="19"/>
              </w:rPr>
              <w:t>125</w:t>
            </w:r>
          </w:p>
        </w:tc>
        <w:tc>
          <w:tcPr>
            <w:tcW w:type="dxa" w:w="1757"/>
            <w:shd w:val="clear" w:color="auto" w:fill="F2F4F7"/>
          </w:tcPr>
          <w:p>
            <w:pPr>
              <w:spacing w:after="0" w:line="240" w:lineRule="auto"/>
              <w:jc w:val="right"/>
            </w:pPr>
            <w:r/>
            <w:r>
              <w:rPr>
                <w:sz w:val="19"/>
              </w:rPr>
              <w:t>125</w:t>
            </w:r>
          </w:p>
        </w:tc>
        <w:tc>
          <w:tcPr>
            <w:tcW w:type="dxa" w:w="1871"/>
            <w:shd w:val="clear" w:color="auto" w:fill="F2F4F7"/>
          </w:tcPr>
          <w:p>
            <w:pPr>
              <w:spacing w:after="0" w:line="240" w:lineRule="auto"/>
              <w:jc w:val="right"/>
            </w:pPr>
            <w:r/>
            <w:r>
              <w:rPr>
                <w:sz w:val="19"/>
              </w:rPr>
              <w:t>250</w:t>
            </w:r>
          </w:p>
        </w:tc>
      </w:tr>
      <w:tr>
        <w:trPr>
          <w:cantSplit/>
        </w:trPr>
        <w:tc>
          <w:tcPr>
            <w:tcW w:type="dxa" w:w="3855"/>
          </w:tcPr>
          <w:p>
            <w:pPr>
              <w:spacing w:after="0" w:line="240" w:lineRule="auto"/>
            </w:pPr>
            <w:r/>
            <w:r>
              <w:rPr>
                <w:sz w:val="19"/>
              </w:rPr>
              <w:t>Option B total return</w:t>
            </w:r>
          </w:p>
        </w:tc>
        <w:tc>
          <w:tcPr>
            <w:tcW w:type="dxa" w:w="1757"/>
          </w:tcPr>
          <w:p>
            <w:pPr>
              <w:spacing w:after="0" w:line="240" w:lineRule="auto"/>
              <w:jc w:val="right"/>
            </w:pPr>
            <w:r/>
            <w:r>
              <w:rPr>
                <w:sz w:val="19"/>
              </w:rPr>
              <w:t>143.8</w:t>
            </w:r>
          </w:p>
        </w:tc>
        <w:tc>
          <w:tcPr>
            <w:tcW w:type="dxa" w:w="1757"/>
          </w:tcPr>
          <w:p>
            <w:pPr>
              <w:spacing w:after="0" w:line="240" w:lineRule="auto"/>
              <w:jc w:val="right"/>
            </w:pPr>
            <w:r/>
            <w:r>
              <w:rPr>
                <w:sz w:val="19"/>
              </w:rPr>
              <w:t>143.8</w:t>
            </w:r>
          </w:p>
        </w:tc>
        <w:tc>
          <w:tcPr>
            <w:tcW w:type="dxa" w:w="1871"/>
          </w:tcPr>
          <w:p>
            <w:pPr>
              <w:spacing w:after="0" w:line="240" w:lineRule="auto"/>
              <w:jc w:val="right"/>
            </w:pPr>
            <w:r/>
            <w:r>
              <w:rPr>
                <w:sz w:val="19"/>
              </w:rPr>
              <w:t>287.5</w:t>
            </w:r>
          </w:p>
        </w:tc>
      </w:tr>
    </w:tbl>
    <w:p>
      <w:pPr>
        <w:spacing w:after="80"/>
      </w:pPr>
    </w:p>
    <w:p>
      <w:pPr>
        <w:keepNext/>
      </w:pPr>
      <w:r>
        <w:rPr>
          <w:b/>
          <w:i w:val="0"/>
        </w:rPr>
        <w:t>Three points deserve the investor's attention before the detail.</w:t>
      </w:r>
    </w:p>
    <w:p>
      <w:pPr>
        <w:pStyle w:val="ListBullet"/>
        <w:spacing w:after="60"/>
      </w:pPr>
      <w:r>
        <w:rPr>
          <w:b/>
          <w:i w:val="0"/>
        </w:rPr>
        <w:t>Pricing.</w:t>
      </w:r>
      <w:r>
        <w:rPr>
          <w:b w:val="0"/>
          <w:i w:val="0"/>
        </w:rPr>
        <w:t xml:space="preserve"> The plans rely on list prices rising from launch to delivery by 33% (retail) and 48% (offices) in Green Square and by 44% and 50% in L'avenir. Recent evidence of price growth is lower at its low end and similar at its high end (section 4). Option B removes unit price exposure; Option A does not.</w:t>
      </w:r>
    </w:p>
    <w:p>
      <w:pPr>
        <w:pStyle w:val="ListBullet"/>
        <w:spacing w:after="60"/>
      </w:pPr>
      <w:r>
        <w:rPr>
          <w:b/>
          <w:i w:val="0"/>
        </w:rPr>
        <w:t>Timing of cash.</w:t>
      </w:r>
      <w:r>
        <w:rPr>
          <w:b w:val="0"/>
          <w:i w:val="0"/>
        </w:rPr>
        <w:t xml:space="preserve"> The model collects each project's delivery payment (20% to 25% of price) on a contractual milestone ahead of handover. If it were collected at handover the peak funding need would be EGP 269 million (Green Square) and EGP 244 million (L'avenir) instead of EGP 102.5 and 102.0 million. Jalour has said it will cover project funding gaps above project cash from its cash reserves and from cash generated by other projects it is constructing (section 11).</w:t>
      </w:r>
    </w:p>
    <w:p>
      <w:pPr>
        <w:pStyle w:val="ListBullet"/>
        <w:spacing w:after="60"/>
      </w:pPr>
      <w:r>
        <w:rPr>
          <w:b/>
          <w:i w:val="0"/>
        </w:rPr>
        <w:t>Both projects together.</w:t>
      </w:r>
      <w:r>
        <w:rPr>
          <w:b w:val="0"/>
          <w:i w:val="0"/>
        </w:rPr>
        <w:t xml:space="preserve"> The combined base-case position is lowest at EGP 168.0 million in month 9 and positive from month 24 (common calendar: month 1 is the Green Square launch; L'avenir launches in month 7), but in the stress cases both projects are short at the same time: the combined peak is EGP 318 million if delivery payments arrive at handover and EGP 1,089 million in the downside. One project's cash cannot be assumed to fund the other.</w:t>
      </w:r>
    </w:p>
    <w:p>
      <w:r>
        <w:rPr>
          <w:b w:val="0"/>
          <w:i/>
        </w:rPr>
        <w:t>The balance of project funding is provided by Jalour sponsor equity, project collections and other capital sources. This applies in each project.</w:t>
      </w:r>
    </w:p>
    <w:p>
      <w:pPr>
        <w:pStyle w:val="Heading1"/>
        <w:pageBreakBefore/>
      </w:pPr>
      <w:r>
        <w:t>2. Transaction overview</w:t>
      </w:r>
    </w:p>
    <w:p>
      <w:pPr>
        <w:pStyle w:val="Heading2"/>
      </w:pPr>
      <w:r>
        <w:t>2.1 Parties and instrument</w:t>
      </w:r>
    </w:p>
    <w:p>
      <w:pPr>
        <w:keepNext/>
        <w:spacing w:after="60"/>
      </w:pPr>
      <w:r>
        <w:rPr>
          <w:b/>
          <w:color w:val="17324D"/>
          <w:sz w:val="19"/>
        </w:rPr>
        <w:t>Table 2: Principal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381"/>
            <w:shd w:val="clear" w:color="auto" w:fill="17324D"/>
          </w:tcPr>
          <w:p>
            <w:pPr>
              <w:spacing w:after="0" w:line="240" w:lineRule="auto"/>
            </w:pPr>
            <w:r/>
            <w:r>
              <w:rPr>
                <w:b/>
                <w:color w:val="FFFFFF"/>
                <w:sz w:val="19"/>
              </w:rPr>
              <w:t>Item</w:t>
            </w:r>
          </w:p>
        </w:tc>
        <w:tc>
          <w:tcPr>
            <w:tcW w:type="dxa" w:w="6860"/>
            <w:shd w:val="clear" w:color="auto" w:fill="17324D"/>
          </w:tcPr>
          <w:p>
            <w:pPr>
              <w:spacing w:after="0" w:line="240" w:lineRule="auto"/>
            </w:pPr>
            <w:r/>
            <w:r>
              <w:rPr>
                <w:b/>
                <w:color w:val="FFFFFF"/>
                <w:sz w:val="19"/>
              </w:rPr>
              <w:t>Description</w:t>
            </w:r>
          </w:p>
        </w:tc>
      </w:tr>
      <w:tr>
        <w:trPr>
          <w:cantSplit/>
        </w:trPr>
        <w:tc>
          <w:tcPr>
            <w:tcW w:type="dxa" w:w="2381"/>
          </w:tcPr>
          <w:p>
            <w:pPr>
              <w:spacing w:after="0" w:line="240" w:lineRule="auto"/>
            </w:pPr>
            <w:r/>
            <w:r>
              <w:rPr>
                <w:b/>
                <w:sz w:val="19"/>
              </w:rPr>
              <w:t>Sponsor and developer</w:t>
            </w:r>
          </w:p>
        </w:tc>
        <w:tc>
          <w:tcPr>
            <w:tcW w:type="dxa" w:w="6860"/>
          </w:tcPr>
          <w:p>
            <w:pPr>
              <w:spacing w:after="0" w:line="240" w:lineRule="auto"/>
            </w:pPr>
            <w:r/>
            <w:r>
              <w:rPr>
                <w:sz w:val="19"/>
              </w:rPr>
              <w:t>Jalour Developments, the real estate arm of Al Jalal Holding, Cairo</w:t>
            </w:r>
          </w:p>
        </w:tc>
      </w:tr>
      <w:tr>
        <w:trPr>
          <w:cantSplit/>
        </w:trPr>
        <w:tc>
          <w:tcPr>
            <w:tcW w:type="dxa" w:w="2381"/>
            <w:shd w:val="clear" w:color="auto" w:fill="F2F4F7"/>
          </w:tcPr>
          <w:p>
            <w:pPr>
              <w:spacing w:after="0" w:line="240" w:lineRule="auto"/>
            </w:pPr>
            <w:r/>
            <w:r>
              <w:rPr>
                <w:b/>
                <w:sz w:val="19"/>
              </w:rPr>
              <w:t>Landowner</w:t>
            </w:r>
          </w:p>
        </w:tc>
        <w:tc>
          <w:tcPr>
            <w:tcW w:type="dxa" w:w="6860"/>
            <w:shd w:val="clear" w:color="auto" w:fill="F2F4F7"/>
          </w:tcPr>
          <w:p>
            <w:pPr>
              <w:spacing w:after="0" w:line="240" w:lineRule="auto"/>
            </w:pPr>
            <w:r/>
            <w:r>
              <w:rPr>
                <w:sz w:val="19"/>
              </w:rPr>
              <w:t>Al Ahly Sabbour (both plots)</w:t>
            </w:r>
          </w:p>
        </w:tc>
      </w:tr>
      <w:tr>
        <w:trPr>
          <w:cantSplit/>
        </w:trPr>
        <w:tc>
          <w:tcPr>
            <w:tcW w:type="dxa" w:w="2381"/>
          </w:tcPr>
          <w:p>
            <w:pPr>
              <w:spacing w:after="0" w:line="240" w:lineRule="auto"/>
            </w:pPr>
            <w:r/>
            <w:r>
              <w:rPr>
                <w:b/>
                <w:sz w:val="19"/>
              </w:rPr>
              <w:t>Issuers</w:t>
            </w:r>
          </w:p>
        </w:tc>
        <w:tc>
          <w:tcPr>
            <w:tcW w:type="dxa" w:w="6860"/>
          </w:tcPr>
          <w:p>
            <w:pPr>
              <w:spacing w:after="0" w:line="240" w:lineRule="auto"/>
            </w:pPr>
            <w:r/>
            <w:r>
              <w:rPr>
                <w:sz w:val="19"/>
              </w:rPr>
              <w:t>One project company for each development [names and jurisdiction to be confirmed]</w:t>
            </w:r>
          </w:p>
        </w:tc>
      </w:tr>
      <w:tr>
        <w:trPr>
          <w:cantSplit/>
        </w:trPr>
        <w:tc>
          <w:tcPr>
            <w:tcW w:type="dxa" w:w="2381"/>
            <w:shd w:val="clear" w:color="auto" w:fill="F2F4F7"/>
          </w:tcPr>
          <w:p>
            <w:pPr>
              <w:spacing w:after="0" w:line="240" w:lineRule="auto"/>
            </w:pPr>
            <w:r/>
            <w:r>
              <w:rPr>
                <w:b/>
                <w:sz w:val="19"/>
              </w:rPr>
              <w:t>Investor</w:t>
            </w:r>
          </w:p>
        </w:tc>
        <w:tc>
          <w:tcPr>
            <w:tcW w:type="dxa" w:w="6860"/>
            <w:shd w:val="clear" w:color="auto" w:fill="F2F4F7"/>
          </w:tcPr>
          <w:p>
            <w:pPr>
              <w:spacing w:after="0" w:line="240" w:lineRule="auto"/>
            </w:pPr>
            <w:r/>
            <w:r>
              <w:rPr>
                <w:sz w:val="19"/>
              </w:rPr>
              <w:t>[Name of investor]</w:t>
            </w:r>
          </w:p>
        </w:tc>
      </w:tr>
      <w:tr>
        <w:trPr>
          <w:cantSplit/>
        </w:trPr>
        <w:tc>
          <w:tcPr>
            <w:tcW w:type="dxa" w:w="2381"/>
          </w:tcPr>
          <w:p>
            <w:pPr>
              <w:spacing w:after="0" w:line="240" w:lineRule="auto"/>
            </w:pPr>
            <w:r/>
            <w:r>
              <w:rPr>
                <w:b/>
                <w:sz w:val="19"/>
              </w:rPr>
              <w:t>Instrument</w:t>
            </w:r>
          </w:p>
        </w:tc>
        <w:tc>
          <w:tcPr>
            <w:tcW w:type="dxa" w:w="6860"/>
          </w:tcPr>
          <w:p>
            <w:pPr>
              <w:spacing w:after="0" w:line="240" w:lineRule="auto"/>
            </w:pPr>
            <w:r/>
            <w:r>
              <w:rPr>
                <w:sz w:val="19"/>
              </w:rPr>
              <w:t>Contractual entitlement to units (Option A) or to cash payments (Option B), in each project. Whether it is documented as equity, a loan or a contractual entitlement is to be confirmed by counsel and affects tax, regulation and enforceability</w:t>
            </w:r>
          </w:p>
        </w:tc>
      </w:tr>
      <w:tr>
        <w:trPr>
          <w:cantSplit/>
        </w:trPr>
        <w:tc>
          <w:tcPr>
            <w:tcW w:type="dxa" w:w="2381"/>
            <w:shd w:val="clear" w:color="auto" w:fill="F2F4F7"/>
          </w:tcPr>
          <w:p>
            <w:pPr>
              <w:spacing w:after="0" w:line="240" w:lineRule="auto"/>
            </w:pPr>
            <w:r/>
            <w:r>
              <w:rPr>
                <w:b/>
                <w:sz w:val="19"/>
              </w:rPr>
              <w:t>Ticket</w:t>
            </w:r>
          </w:p>
        </w:tc>
        <w:tc>
          <w:tcPr>
            <w:tcW w:type="dxa" w:w="6860"/>
            <w:shd w:val="clear" w:color="auto" w:fill="F2F4F7"/>
          </w:tcPr>
          <w:p>
            <w:pPr>
              <w:spacing w:after="0" w:line="240" w:lineRule="auto"/>
            </w:pPr>
            <w:r/>
            <w:r>
              <w:rPr>
                <w:sz w:val="19"/>
              </w:rPr>
              <w:t>EGP 125 million in total: EGP 62.5 million into Green Square and EGP 62.5 million into L'avenir</w:t>
            </w:r>
          </w:p>
        </w:tc>
      </w:tr>
      <w:tr>
        <w:trPr>
          <w:cantSplit/>
        </w:trPr>
        <w:tc>
          <w:tcPr>
            <w:tcW w:type="dxa" w:w="2381"/>
          </w:tcPr>
          <w:p>
            <w:pPr>
              <w:spacing w:after="0" w:line="240" w:lineRule="auto"/>
            </w:pPr>
            <w:r/>
            <w:r>
              <w:rPr>
                <w:b/>
                <w:sz w:val="19"/>
              </w:rPr>
              <w:t>Choice</w:t>
            </w:r>
          </w:p>
        </w:tc>
        <w:tc>
          <w:tcPr>
            <w:tcW w:type="dxa" w:w="6860"/>
          </w:tcPr>
          <w:p>
            <w:pPr>
              <w:spacing w:after="0" w:line="240" w:lineRule="auto"/>
            </w:pPr>
            <w:r/>
            <w:r>
              <w:rPr>
                <w:sz w:val="19"/>
              </w:rPr>
              <w:t>Option A or Option B, selected at signing; the same option applies to both projects</w:t>
            </w:r>
          </w:p>
        </w:tc>
      </w:tr>
      <w:tr>
        <w:trPr>
          <w:cantSplit/>
        </w:trPr>
        <w:tc>
          <w:tcPr>
            <w:tcW w:type="dxa" w:w="2381"/>
            <w:shd w:val="clear" w:color="auto" w:fill="F2F4F7"/>
          </w:tcPr>
          <w:p>
            <w:pPr>
              <w:spacing w:after="0" w:line="240" w:lineRule="auto"/>
            </w:pPr>
            <w:r/>
            <w:r>
              <w:rPr>
                <w:b/>
                <w:sz w:val="19"/>
              </w:rPr>
              <w:t>Balance of funding</w:t>
            </w:r>
          </w:p>
        </w:tc>
        <w:tc>
          <w:tcPr>
            <w:tcW w:type="dxa" w:w="6860"/>
            <w:shd w:val="clear" w:color="auto" w:fill="F2F4F7"/>
          </w:tcPr>
          <w:p>
            <w:pPr>
              <w:spacing w:after="0" w:line="240" w:lineRule="auto"/>
            </w:pPr>
            <w:r/>
            <w:r>
              <w:rPr>
                <w:sz w:val="19"/>
              </w:rPr>
              <w:t>The balance of project funding is provided by Jalour sponsor equity, project collections and other capital sources. This applies in each project.</w:t>
            </w:r>
          </w:p>
        </w:tc>
      </w:tr>
    </w:tbl>
    <w:p>
      <w:pPr>
        <w:spacing w:after="80"/>
      </w:pPr>
    </w:p>
    <w:p>
      <w:pPr>
        <w:pStyle w:val="Heading2"/>
      </w:pPr>
      <w:r>
        <w:t>2.2 Conditions and timetable</w:t>
      </w:r>
    </w:p>
    <w:p>
      <w:pPr>
        <w:pStyle w:val="ListBullet"/>
        <w:spacing w:after="60"/>
      </w:pPr>
      <w:r>
        <w:rPr>
          <w:b w:val="0"/>
          <w:i w:val="0"/>
        </w:rPr>
        <w:t>Signature of the non-disclosure agreement (template provided with this pack), which covers all information provided.</w:t>
      </w:r>
    </w:p>
    <w:p>
      <w:pPr>
        <w:pStyle w:val="ListBullet"/>
        <w:spacing w:after="60"/>
      </w:pPr>
      <w:r>
        <w:rPr>
          <w:b w:val="0"/>
          <w:i w:val="0"/>
        </w:rPr>
        <w:t>Due diligence by the investor and its advisers on the data room (Due Diligence Memorandum).</w:t>
      </w:r>
    </w:p>
    <w:p>
      <w:pPr>
        <w:pStyle w:val="ListBullet"/>
        <w:spacing w:after="60"/>
      </w:pPr>
      <w:r>
        <w:rPr>
          <w:b w:val="0"/>
          <w:i w:val="0"/>
        </w:rPr>
        <w:t>Written consent of Al Ahly Sabbour to the unit allocation (Option A) and to any assignment or encumbrance that affects its share, for each project.</w:t>
      </w:r>
    </w:p>
    <w:p>
      <w:pPr>
        <w:pStyle w:val="ListBullet"/>
        <w:spacing w:after="60"/>
      </w:pPr>
      <w:r>
        <w:rPr>
          <w:b w:val="0"/>
          <w:i w:val="0"/>
        </w:rPr>
        <w:t>Definitive agreements for each project, including security documents reviewed by counsel for both sides.</w:t>
      </w:r>
    </w:p>
    <w:p>
      <w:pPr>
        <w:pStyle w:val="ListBullet"/>
        <w:spacing w:after="60"/>
      </w:pPr>
      <w:r>
        <w:rPr>
          <w:b w:val="0"/>
          <w:i w:val="0"/>
        </w:rPr>
        <w:t>Funding in cash into each project company, expected in project month 3 for Green Square and month 12 for L'avenir (the months the landlord down payments fall due in the model).</w:t>
      </w:r>
    </w:p>
    <w:p>
      <w:pPr>
        <w:pStyle w:val="Heading2"/>
      </w:pPr>
      <w:r>
        <w:t>2.3 No exclusivity; further capital</w:t>
      </w:r>
    </w:p>
    <w:p>
      <w:r>
        <w:rPr>
          <w:b w:val="0"/>
          <w:i w:val="0"/>
        </w:rPr>
        <w:t>Jalour may raise further capital at project or holding level, subject to the investor's stated rights: ranking of the investor's claim, collateral over the earmarked units, and information rights. A project company will not grant security over the investor's earmarked units or rank any new instrument ahead of the investor's entitlement without the consent given in the definitive agreements.</w:t>
      </w:r>
    </w:p>
    <w:p>
      <w:pPr>
        <w:pStyle w:val="Heading2"/>
      </w:pPr>
      <w:r>
        <w:t>2.4 Separate projects, single investment</w:t>
      </w:r>
    </w:p>
    <w:p>
      <w:r>
        <w:rPr>
          <w:b w:val="0"/>
          <w:i w:val="0"/>
        </w:rPr>
        <w:t>Each project is held in its own company. There is no cross-collateral and no cross-default between the projects. The investor's EGP 62.5 million in each project is that project's funding, not a restricted or segregated account; payment protections are contractual and described in section 14. The investment is made as one transaction under one non-disclosure agreement.</w:t>
      </w:r>
    </w:p>
    <w:p>
      <w:pPr>
        <w:pStyle w:val="Heading2"/>
      </w:pPr>
      <w:r>
        <w:t>2.5 Confidentiality</w:t>
      </w:r>
    </w:p>
    <w:p>
      <w:r>
        <w:rPr>
          <w:b w:val="0"/>
          <w:i w:val="0"/>
        </w:rPr>
        <w:t>Everything in this pack is confidential: this memorandum, the presentation, the Financial Annex, the Due Diligence Memorandum, the data room and any information about either project, the landowner, Jalour or Al Jalal Holding that the investor receives. The non-disclosure agreement template in this pack is to be signed before the sponsor, permit, title and landlord-consent materials are released.</w:t>
      </w:r>
    </w:p>
    <w:p>
      <w:pPr>
        <w:pStyle w:val="Heading1"/>
      </w:pPr>
      <w:r>
        <w:t>3. Investment thesis</w:t>
      </w:r>
    </w:p>
    <w:p>
      <w:pPr>
        <w:keepNext/>
      </w:pPr>
      <w:r>
        <w:rPr>
          <w:b w:val="0"/>
          <w:i w:val="0"/>
        </w:rPr>
        <w:t>The case for the investment, with the main reservation against each point:</w:t>
      </w:r>
    </w:p>
    <w:p>
      <w:pPr>
        <w:keepNext/>
        <w:spacing w:after="60"/>
      </w:pPr>
      <w:r>
        <w:rPr>
          <w:b/>
          <w:color w:val="17324D"/>
          <w:sz w:val="19"/>
        </w:rPr>
        <w:t>Table 3: Thesis and reservations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706"/>
            <w:shd w:val="clear" w:color="auto" w:fill="17324D"/>
          </w:tcPr>
          <w:p>
            <w:pPr>
              <w:spacing w:after="0" w:line="240" w:lineRule="auto"/>
            </w:pPr>
            <w:r/>
            <w:r>
              <w:rPr>
                <w:b/>
                <w:color w:val="FFFFFF"/>
                <w:sz w:val="19"/>
              </w:rPr>
              <w:t>Thesis</w:t>
            </w:r>
          </w:p>
        </w:tc>
        <w:tc>
          <w:tcPr>
            <w:tcW w:type="dxa" w:w="4535"/>
            <w:shd w:val="clear" w:color="auto" w:fill="17324D"/>
          </w:tcPr>
          <w:p>
            <w:pPr>
              <w:spacing w:after="0" w:line="240" w:lineRule="auto"/>
            </w:pPr>
            <w:r/>
            <w:r>
              <w:rPr>
                <w:b/>
                <w:color w:val="FFFFFF"/>
                <w:sz w:val="19"/>
              </w:rPr>
              <w:t>Reservation</w:t>
            </w:r>
          </w:p>
        </w:tc>
      </w:tr>
      <w:tr>
        <w:trPr>
          <w:cantSplit/>
        </w:trPr>
        <w:tc>
          <w:tcPr>
            <w:tcW w:type="dxa" w:w="4706"/>
          </w:tcPr>
          <w:p>
            <w:pPr>
              <w:spacing w:after="0" w:line="240" w:lineRule="auto"/>
            </w:pPr>
            <w:r/>
            <w:r>
              <w:rPr>
                <w:sz w:val="19"/>
              </w:rPr>
              <w:t>Two defined assets of G+2 buildings (13,023 and 13,419 m2) in a state-planned city of about 11,000 feddans and about 1 million planned residents.</w:t>
            </w:r>
          </w:p>
        </w:tc>
        <w:tc>
          <w:tcPr>
            <w:tcW w:type="dxa" w:w="4535"/>
          </w:tcPr>
          <w:p>
            <w:pPr>
              <w:spacing w:after="0" w:line="240" w:lineRule="auto"/>
            </w:pPr>
            <w:r/>
            <w:r>
              <w:rPr>
                <w:sz w:val="19"/>
              </w:rPr>
              <w:t>Mostakbal City is early in its build-out; current resident population and occupancy were not found in public sources.</w:t>
            </w:r>
          </w:p>
        </w:tc>
      </w:tr>
      <w:tr>
        <w:trPr>
          <w:cantSplit/>
        </w:trPr>
        <w:tc>
          <w:tcPr>
            <w:tcW w:type="dxa" w:w="4706"/>
            <w:shd w:val="clear" w:color="auto" w:fill="F2F4F7"/>
          </w:tcPr>
          <w:p>
            <w:pPr>
              <w:spacing w:after="0" w:line="240" w:lineRule="auto"/>
            </w:pPr>
            <w:r/>
            <w:r>
              <w:rPr>
                <w:sz w:val="19"/>
              </w:rPr>
              <w:t>Land is owned by an established developer, Al Ahly Sabbour, and is not an acquisition cost for Jalour: the landowner is paid from collections.</w:t>
            </w:r>
          </w:p>
        </w:tc>
        <w:tc>
          <w:tcPr>
            <w:tcW w:type="dxa" w:w="4535"/>
            <w:shd w:val="clear" w:color="auto" w:fill="F2F4F7"/>
          </w:tcPr>
          <w:p>
            <w:pPr>
              <w:spacing w:after="0" w:line="240" w:lineRule="auto"/>
            </w:pPr>
            <w:r/>
            <w:r>
              <w:rPr>
                <w:sz w:val="19"/>
              </w:rPr>
              <w:t>The landlord guarantees (EGP 800 million and EGP 850 million over six years) are payable even if sales are slow.</w:t>
            </w:r>
          </w:p>
        </w:tc>
      </w:tr>
      <w:tr>
        <w:trPr>
          <w:cantSplit/>
        </w:trPr>
        <w:tc>
          <w:tcPr>
            <w:tcW w:type="dxa" w:w="4706"/>
          </w:tcPr>
          <w:p>
            <w:pPr>
              <w:spacing w:after="0" w:line="240" w:lineRule="auto"/>
            </w:pPr>
            <w:r/>
            <w:r>
              <w:rPr>
                <w:sz w:val="19"/>
              </w:rPr>
              <w:t>Sales begin at launch lists of EGP 135,000 to 225,000 (Green Square) and 160,000 to 250,000 (L'avenir) per m2, with list price steps built into the plans.</w:t>
            </w:r>
          </w:p>
        </w:tc>
        <w:tc>
          <w:tcPr>
            <w:tcW w:type="dxa" w:w="4535"/>
          </w:tcPr>
          <w:p>
            <w:pPr>
              <w:spacing w:after="0" w:line="240" w:lineRule="auto"/>
            </w:pPr>
            <w:r/>
            <w:r>
              <w:rPr>
                <w:sz w:val="19"/>
              </w:rPr>
              <w:t>Asking prices for Mostakbal City offices today are about EGP 106,000 to 120,000 per m2; the plans assume higher.</w:t>
            </w:r>
          </w:p>
        </w:tc>
      </w:tr>
      <w:tr>
        <w:trPr>
          <w:cantSplit/>
        </w:trPr>
        <w:tc>
          <w:tcPr>
            <w:tcW w:type="dxa" w:w="4706"/>
            <w:shd w:val="clear" w:color="auto" w:fill="F2F4F7"/>
          </w:tcPr>
          <w:p>
            <w:pPr>
              <w:spacing w:after="0" w:line="240" w:lineRule="auto"/>
            </w:pPr>
            <w:r/>
            <w:r>
              <w:rPr>
                <w:sz w:val="19"/>
              </w:rPr>
              <w:t>Project funding peaks at EGP 102.5 million and EGP 102.0 million in the base case, in different months; the projects generate EGP 971 million of net cash flow.</w:t>
            </w:r>
          </w:p>
        </w:tc>
        <w:tc>
          <w:tcPr>
            <w:tcW w:type="dxa" w:w="4535"/>
            <w:shd w:val="clear" w:color="auto" w:fill="F2F4F7"/>
          </w:tcPr>
          <w:p>
            <w:pPr>
              <w:spacing w:after="0" w:line="240" w:lineRule="auto"/>
            </w:pPr>
            <w:r/>
            <w:r>
              <w:rPr>
                <w:sz w:val="19"/>
              </w:rPr>
              <w:t>Combined funding peak is EGP 318 million if delivery payments arrive at handover.</w:t>
            </w:r>
          </w:p>
        </w:tc>
      </w:tr>
      <w:tr>
        <w:trPr>
          <w:cantSplit/>
        </w:trPr>
        <w:tc>
          <w:tcPr>
            <w:tcW w:type="dxa" w:w="4706"/>
          </w:tcPr>
          <w:p>
            <w:pPr>
              <w:spacing w:after="0" w:line="240" w:lineRule="auto"/>
            </w:pPr>
            <w:r/>
            <w:r>
              <w:rPr>
                <w:sz w:val="19"/>
              </w:rPr>
              <w:t>Two ways to participate: units with price upside, or cash with a fixed return, across two projects with different timelines.</w:t>
            </w:r>
          </w:p>
        </w:tc>
        <w:tc>
          <w:tcPr>
            <w:tcW w:type="dxa" w:w="4535"/>
          </w:tcPr>
          <w:p>
            <w:pPr>
              <w:spacing w:after="0" w:line="240" w:lineRule="auto"/>
            </w:pPr>
            <w:r/>
            <w:r>
              <w:rPr>
                <w:sz w:val="19"/>
              </w:rPr>
              <w:t>Option A carries price and resale risk; Option B depends on Jalour's ability to fund payouts during the construction peak.</w:t>
            </w:r>
          </w:p>
        </w:tc>
      </w:tr>
    </w:tbl>
    <w:p>
      <w:pPr>
        <w:spacing w:after="80"/>
      </w:pPr>
    </w:p>
    <w:p>
      <w:pPr>
        <w:pStyle w:val="Heading1"/>
        <w:pageBreakBefore/>
      </w:pPr>
      <w:r>
        <w:t>4. Market analysis</w:t>
      </w:r>
    </w:p>
    <w:p>
      <w:r>
        <w:rPr>
          <w:b w:val="0"/>
          <w:i w:val="0"/>
        </w:rPr>
        <w:t>Market statements below are reported by the third parties named. They are drawn from published summaries as at October 2026; Jalour has not audited them. Where sources use different definitions (for example, Knight Frank and JLL measure Cairo office stock differently) the figures are not additive.</w:t>
      </w:r>
    </w:p>
    <w:p>
      <w:pPr>
        <w:pStyle w:val="Heading2"/>
      </w:pPr>
      <w:r>
        <w:t>4.1 Cairo and New Cairo offices</w:t>
      </w:r>
    </w:p>
    <w:p>
      <w:pPr>
        <w:pStyle w:val="ListBullet"/>
        <w:spacing w:after="60"/>
      </w:pPr>
      <w:r>
        <w:rPr>
          <w:b w:val="0"/>
          <w:i w:val="0"/>
        </w:rPr>
        <w:t>Cairo office stock of about 1.0 million m2 (Knight Frank definition), with a further 818,000 m2 in the pipeline to 2029, equal to +82% of stock (Knight Frank, Cairo office review H2 2025, via Arabian Business (July 2026)).</w:t>
      </w:r>
    </w:p>
    <w:p>
      <w:pPr>
        <w:pStyle w:val="ListBullet"/>
        <w:spacing w:after="60"/>
      </w:pPr>
      <w:r>
        <w:rPr>
          <w:b w:val="0"/>
          <w:i w:val="0"/>
        </w:rPr>
        <w:t>New Cairo holds 73% of current and future Cairo office stock; Grade A occupancy is about 90% (Knight Frank via Arabian Business (July 2026)).</w:t>
      </w:r>
    </w:p>
    <w:p>
      <w:pPr>
        <w:pStyle w:val="ListBullet"/>
        <w:spacing w:after="60"/>
      </w:pPr>
      <w:r>
        <w:rPr>
          <w:b w:val="0"/>
          <w:i w:val="0"/>
        </w:rPr>
        <w:t>Office vacancy averaged about 9% and was stable in Q1 2026; over 100,000 m2 of Grade A and B space was delivered in the quarter (JLL Q1 2026 Cairo, via Invest-Gate).</w:t>
      </w:r>
    </w:p>
    <w:p>
      <w:pPr>
        <w:pStyle w:val="ListBullet"/>
        <w:spacing w:after="60"/>
      </w:pPr>
      <w:r>
        <w:rPr>
          <w:b w:val="0"/>
          <w:i w:val="0"/>
        </w:rPr>
        <w:t>Grade A business-park rent in New Cairo of USD 348/m2/yr (market average USD 325); EGP rents up about 20% y/y after the pound's fall (Knight Frank Q2 2026, via Enterprise (8 July 2026)).</w:t>
      </w:r>
    </w:p>
    <w:p>
      <w:r>
        <w:rPr>
          <w:b w:val="0"/>
          <w:i w:val="0"/>
        </w:rPr>
        <w:t>Reading across: occupancy and rents are firm today, but the pipeline is large relative to stock. New Cairo is where most of that supply will land, so absorption of new supply by 2029 is the main market risk for the offices.</w:t>
      </w:r>
    </w:p>
    <w:p>
      <w:pPr>
        <w:pStyle w:val="Heading2"/>
      </w:pPr>
      <w:r>
        <w:t>4.2 Retail and commercial</w:t>
      </w:r>
    </w:p>
    <w:p>
      <w:pPr>
        <w:pStyle w:val="ListBullet"/>
        <w:spacing w:after="60"/>
      </w:pPr>
      <w:r>
        <w:rPr>
          <w:b w:val="0"/>
          <w:i w:val="0"/>
        </w:rPr>
        <w:t>Cairo retail stock above 3.3 million m2 after about 89,000 m2 delivered in Q1 2026, mostly small malls in New Cairo and Giza; about 331,300 m2 more due by end 2026 (JLL Q1 2026 Cairo, via Invest-Gate).</w:t>
      </w:r>
    </w:p>
    <w:p>
      <w:pPr>
        <w:pStyle w:val="ListBullet"/>
        <w:spacing w:after="60"/>
      </w:pPr>
      <w:r>
        <w:rPr>
          <w:b w:val="0"/>
          <w:i w:val="0"/>
        </w:rPr>
        <w:t>Comparable commercial schemes are under way: Hassan Allam's HAPTOWN (offices G+1 to G+4, retail, healthcare) in Mostakbal City (Invest-Gate).</w:t>
      </w:r>
    </w:p>
    <w:p>
      <w:pPr>
        <w:pStyle w:val="ListBullet"/>
        <w:spacing w:after="60"/>
      </w:pPr>
      <w:r>
        <w:rPr>
          <w:b w:val="0"/>
          <w:i w:val="0"/>
        </w:rPr>
        <w:t>Retail rents rose 0.8% to 3.6% y/y in Q1 2026 depending on format (JLL via Invest-Gate); vacancy fell from 9.2% in Q2 2024 to 7.2% in Q2 2025 (JLL).</w:t>
      </w:r>
    </w:p>
    <w:p>
      <w:r>
        <w:rPr>
          <w:b w:val="0"/>
          <w:i w:val="0"/>
        </w:rPr>
        <w:t>The product, ground-floor retail beneath two office floors in a G+2 form, is close to the mixed-use commercial boulevards now being launched in Mostakbal City. Retail sales in a new city depend on resident and worker footfall that builds over years.</w:t>
      </w:r>
    </w:p>
    <w:p>
      <w:pPr>
        <w:pStyle w:val="Heading2"/>
      </w:pPr>
      <w:r>
        <w:t>4.3 Mostakbal City</w:t>
      </w:r>
    </w:p>
    <w:p>
      <w:pPr>
        <w:pStyle w:val="ListBullet"/>
        <w:spacing w:after="60"/>
      </w:pPr>
      <w:r>
        <w:rPr>
          <w:b w:val="0"/>
          <w:i w:val="0"/>
        </w:rPr>
        <w:t>Mostakbal City covers about 11,000 feddans, with a planned population of about 1 million; master developer is the state-linked Mostakbal for Urban Development (MIDAR) (MIDAR; Nawy).</w:t>
      </w:r>
    </w:p>
    <w:p>
      <w:pPr>
        <w:pStyle w:val="ListBullet"/>
        <w:spacing w:after="60"/>
      </w:pPr>
      <w:r>
        <w:rPr>
          <w:b w:val="0"/>
          <w:i w:val="0"/>
        </w:rPr>
        <w:t>Connected by the Regional (Middle) Ring Road and the East Cairo monorail corridor to Shorouk, Obour, Badr and the New Administrative Capital (Presidency of Egypt; Bayut guide).</w:t>
      </w:r>
    </w:p>
    <w:p>
      <w:pPr>
        <w:pStyle w:val="ListBullet"/>
        <w:spacing w:after="60"/>
      </w:pPr>
      <w:r>
        <w:rPr>
          <w:b w:val="0"/>
          <w:i w:val="0"/>
        </w:rPr>
        <w:t>Al Ahly Sabbour is active in the city (residential schemes and a mixed-use plot), which supports the landowner's interest in the success of these developments (Invest-Gate).</w:t>
      </w:r>
    </w:p>
    <w:p>
      <w:pPr>
        <w:pStyle w:val="Heading2"/>
      </w:pPr>
      <w:r>
        <w:t>4.4 Pricing evidence and the plans</w:t>
      </w:r>
    </w:p>
    <w:p>
      <w:pPr>
        <w:keepNext/>
        <w:spacing w:after="60"/>
      </w:pPr>
      <w:r>
        <w:rPr>
          <w:b/>
          <w:color w:val="17324D"/>
          <w:sz w:val="19"/>
        </w:rPr>
        <w:t>Table 4: Plan prices against market asking prices (GS = Green Square, LA = L'avenir)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8"/>
              </w:rPr>
              <w:t>Measure (EGP per m2)</w:t>
            </w:r>
          </w:p>
        </w:tc>
        <w:tc>
          <w:tcPr>
            <w:tcW w:type="dxa" w:w="2721"/>
            <w:shd w:val="clear" w:color="auto" w:fill="17324D"/>
          </w:tcPr>
          <w:p>
            <w:pPr>
              <w:spacing w:after="0" w:line="240" w:lineRule="auto"/>
            </w:pPr>
            <w:r/>
            <w:r>
              <w:rPr>
                <w:b/>
                <w:color w:val="FFFFFF"/>
                <w:sz w:val="18"/>
              </w:rPr>
              <w:t>Evidence (asking prices)</w:t>
            </w:r>
          </w:p>
        </w:tc>
        <w:tc>
          <w:tcPr>
            <w:tcW w:type="dxa" w:w="1304"/>
            <w:shd w:val="clear" w:color="auto" w:fill="17324D"/>
          </w:tcPr>
          <w:p>
            <w:pPr>
              <w:spacing w:after="0" w:line="240" w:lineRule="auto"/>
              <w:jc w:val="right"/>
            </w:pPr>
            <w:r/>
            <w:r>
              <w:rPr>
                <w:b/>
                <w:color w:val="FFFFFF"/>
                <w:sz w:val="18"/>
              </w:rPr>
              <w:t>GS launch</w:t>
            </w:r>
          </w:p>
        </w:tc>
        <w:tc>
          <w:tcPr>
            <w:tcW w:type="dxa" w:w="1304"/>
            <w:shd w:val="clear" w:color="auto" w:fill="17324D"/>
          </w:tcPr>
          <w:p>
            <w:pPr>
              <w:spacing w:after="0" w:line="240" w:lineRule="auto"/>
              <w:jc w:val="right"/>
            </w:pPr>
            <w:r/>
            <w:r>
              <w:rPr>
                <w:b/>
                <w:color w:val="FFFFFF"/>
                <w:sz w:val="18"/>
              </w:rPr>
              <w:t>GS delivery list</w:t>
            </w:r>
          </w:p>
        </w:tc>
        <w:tc>
          <w:tcPr>
            <w:tcW w:type="dxa" w:w="1247"/>
            <w:shd w:val="clear" w:color="auto" w:fill="17324D"/>
          </w:tcPr>
          <w:p>
            <w:pPr>
              <w:spacing w:after="0" w:line="240" w:lineRule="auto"/>
              <w:jc w:val="right"/>
            </w:pPr>
            <w:r/>
            <w:r>
              <w:rPr>
                <w:b/>
                <w:color w:val="FFFFFF"/>
                <w:sz w:val="18"/>
              </w:rPr>
              <w:t>LA launch</w:t>
            </w:r>
          </w:p>
        </w:tc>
        <w:tc>
          <w:tcPr>
            <w:tcW w:type="dxa" w:w="1304"/>
            <w:shd w:val="clear" w:color="auto" w:fill="17324D"/>
          </w:tcPr>
          <w:p>
            <w:pPr>
              <w:spacing w:after="0" w:line="240" w:lineRule="auto"/>
              <w:jc w:val="right"/>
            </w:pPr>
            <w:r/>
            <w:r>
              <w:rPr>
                <w:b/>
                <w:color w:val="FFFFFF"/>
                <w:sz w:val="18"/>
              </w:rPr>
              <w:t>LA delivery list</w:t>
            </w:r>
          </w:p>
        </w:tc>
      </w:tr>
      <w:tr>
        <w:trPr>
          <w:cantSplit/>
        </w:trPr>
        <w:tc>
          <w:tcPr>
            <w:tcW w:type="dxa" w:w="1361"/>
          </w:tcPr>
          <w:p>
            <w:pPr>
              <w:spacing w:after="0" w:line="240" w:lineRule="auto"/>
            </w:pPr>
            <w:r/>
            <w:r>
              <w:rPr>
                <w:sz w:val="18"/>
              </w:rPr>
              <w:t>Offices</w:t>
            </w:r>
          </w:p>
        </w:tc>
        <w:tc>
          <w:tcPr>
            <w:tcW w:type="dxa" w:w="2721"/>
          </w:tcPr>
          <w:p>
            <w:pPr>
              <w:spacing w:after="0" w:line="240" w:lineRule="auto"/>
            </w:pPr>
            <w:r/>
            <w:r>
              <w:rPr>
                <w:sz w:val="18"/>
              </w:rPr>
              <w:t>106,000 to 120,000 (Mostakbal City listings)</w:t>
            </w:r>
          </w:p>
        </w:tc>
        <w:tc>
          <w:tcPr>
            <w:tcW w:type="dxa" w:w="1304"/>
          </w:tcPr>
          <w:p>
            <w:pPr>
              <w:spacing w:after="0" w:line="240" w:lineRule="auto"/>
              <w:jc w:val="right"/>
            </w:pPr>
            <w:r/>
            <w:r>
              <w:rPr>
                <w:sz w:val="18"/>
              </w:rPr>
              <w:t>135,000</w:t>
            </w:r>
          </w:p>
        </w:tc>
        <w:tc>
          <w:tcPr>
            <w:tcW w:type="dxa" w:w="1304"/>
          </w:tcPr>
          <w:p>
            <w:pPr>
              <w:spacing w:after="0" w:line="240" w:lineRule="auto"/>
              <w:jc w:val="right"/>
            </w:pPr>
            <w:r/>
            <w:r>
              <w:rPr>
                <w:sz w:val="18"/>
              </w:rPr>
              <w:t>200,000</w:t>
            </w:r>
          </w:p>
        </w:tc>
        <w:tc>
          <w:tcPr>
            <w:tcW w:type="dxa" w:w="1247"/>
          </w:tcPr>
          <w:p>
            <w:pPr>
              <w:spacing w:after="0" w:line="240" w:lineRule="auto"/>
              <w:jc w:val="right"/>
            </w:pPr>
            <w:r/>
            <w:r>
              <w:rPr>
                <w:sz w:val="18"/>
              </w:rPr>
              <w:t>160,000</w:t>
            </w:r>
          </w:p>
        </w:tc>
        <w:tc>
          <w:tcPr>
            <w:tcW w:type="dxa" w:w="1304"/>
          </w:tcPr>
          <w:p>
            <w:pPr>
              <w:spacing w:after="0" w:line="240" w:lineRule="auto"/>
              <w:jc w:val="right"/>
            </w:pPr>
            <w:r/>
            <w:r>
              <w:rPr>
                <w:sz w:val="18"/>
              </w:rPr>
              <w:t>240,000</w:t>
            </w:r>
          </w:p>
        </w:tc>
      </w:tr>
      <w:tr>
        <w:trPr>
          <w:cantSplit/>
        </w:trPr>
        <w:tc>
          <w:tcPr>
            <w:tcW w:type="dxa" w:w="1361"/>
            <w:shd w:val="clear" w:color="auto" w:fill="F2F4F7"/>
          </w:tcPr>
          <w:p>
            <w:pPr>
              <w:spacing w:after="0" w:line="240" w:lineRule="auto"/>
            </w:pPr>
            <w:r/>
            <w:r>
              <w:rPr>
                <w:sz w:val="18"/>
              </w:rPr>
              <w:t>Retail</w:t>
            </w:r>
          </w:p>
        </w:tc>
        <w:tc>
          <w:tcPr>
            <w:tcW w:type="dxa" w:w="2721"/>
            <w:shd w:val="clear" w:color="auto" w:fill="F2F4F7"/>
          </w:tcPr>
          <w:p>
            <w:pPr>
              <w:spacing w:after="0" w:line="240" w:lineRule="auto"/>
            </w:pPr>
            <w:r/>
            <w:r>
              <w:rPr>
                <w:sz w:val="18"/>
              </w:rPr>
              <w:t>139,000 to 325,000 (New Cairo listings, individual)</w:t>
            </w:r>
          </w:p>
        </w:tc>
        <w:tc>
          <w:tcPr>
            <w:tcW w:type="dxa" w:w="1304"/>
            <w:shd w:val="clear" w:color="auto" w:fill="F2F4F7"/>
          </w:tcPr>
          <w:p>
            <w:pPr>
              <w:spacing w:after="0" w:line="240" w:lineRule="auto"/>
              <w:jc w:val="right"/>
            </w:pPr>
            <w:r/>
            <w:r>
              <w:rPr>
                <w:sz w:val="18"/>
              </w:rPr>
              <w:t>225,000</w:t>
            </w:r>
          </w:p>
        </w:tc>
        <w:tc>
          <w:tcPr>
            <w:tcW w:type="dxa" w:w="1304"/>
            <w:shd w:val="clear" w:color="auto" w:fill="F2F4F7"/>
          </w:tcPr>
          <w:p>
            <w:pPr>
              <w:spacing w:after="0" w:line="240" w:lineRule="auto"/>
              <w:jc w:val="right"/>
            </w:pPr>
            <w:r/>
            <w:r>
              <w:rPr>
                <w:sz w:val="18"/>
              </w:rPr>
              <w:t>300,000</w:t>
            </w:r>
          </w:p>
        </w:tc>
        <w:tc>
          <w:tcPr>
            <w:tcW w:type="dxa" w:w="1247"/>
            <w:shd w:val="clear" w:color="auto" w:fill="F2F4F7"/>
          </w:tcPr>
          <w:p>
            <w:pPr>
              <w:spacing w:after="0" w:line="240" w:lineRule="auto"/>
              <w:jc w:val="right"/>
            </w:pPr>
            <w:r/>
            <w:r>
              <w:rPr>
                <w:sz w:val="18"/>
              </w:rPr>
              <w:t>250,000</w:t>
            </w:r>
          </w:p>
        </w:tc>
        <w:tc>
          <w:tcPr>
            <w:tcW w:type="dxa" w:w="1304"/>
            <w:shd w:val="clear" w:color="auto" w:fill="F2F4F7"/>
          </w:tcPr>
          <w:p>
            <w:pPr>
              <w:spacing w:after="0" w:line="240" w:lineRule="auto"/>
              <w:jc w:val="right"/>
            </w:pPr>
            <w:r/>
            <w:r>
              <w:rPr>
                <w:sz w:val="18"/>
              </w:rPr>
              <w:t>360,000</w:t>
            </w:r>
          </w:p>
        </w:tc>
      </w:tr>
    </w:tbl>
    <w:p>
      <w:pPr>
        <w:spacing w:after="80"/>
      </w:pPr>
    </w:p>
    <w:p>
      <w:pPr>
        <w:keepNext/>
        <w:spacing w:after="60"/>
      </w:pPr>
      <w:r>
        <w:rPr>
          <w:b/>
          <w:color w:val="17324D"/>
          <w:sz w:val="19"/>
        </w:rPr>
        <w:t>Table 5: Launch, average realised and delivery list prices (EGP per m2)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2154"/>
            <w:shd w:val="clear" w:color="auto" w:fill="17324D"/>
          </w:tcPr>
          <w:p>
            <w:pPr>
              <w:spacing w:after="0" w:line="240" w:lineRule="auto"/>
            </w:pPr>
            <w:r/>
            <w:r>
              <w:rPr>
                <w:b/>
                <w:color w:val="FFFFFF"/>
                <w:sz w:val="17"/>
              </w:rPr>
              <w:t>Project and type</w:t>
            </w:r>
          </w:p>
        </w:tc>
        <w:tc>
          <w:tcPr>
            <w:tcW w:type="dxa" w:w="1247"/>
            <w:shd w:val="clear" w:color="auto" w:fill="17324D"/>
          </w:tcPr>
          <w:p>
            <w:pPr>
              <w:spacing w:after="0" w:line="240" w:lineRule="auto"/>
              <w:jc w:val="right"/>
            </w:pPr>
            <w:r/>
            <w:r>
              <w:rPr>
                <w:b/>
                <w:color w:val="FFFFFF"/>
                <w:sz w:val="17"/>
              </w:rPr>
              <w:t>Launch list</w:t>
            </w:r>
          </w:p>
        </w:tc>
        <w:tc>
          <w:tcPr>
            <w:tcW w:type="dxa" w:w="1361"/>
            <w:shd w:val="clear" w:color="auto" w:fill="17324D"/>
          </w:tcPr>
          <w:p>
            <w:pPr>
              <w:spacing w:after="0" w:line="240" w:lineRule="auto"/>
              <w:jc w:val="right"/>
            </w:pPr>
            <w:r/>
            <w:r>
              <w:rPr>
                <w:b/>
                <w:color w:val="FFFFFF"/>
                <w:sz w:val="17"/>
              </w:rPr>
              <w:t>Average realised</w:t>
            </w:r>
          </w:p>
        </w:tc>
        <w:tc>
          <w:tcPr>
            <w:tcW w:type="dxa" w:w="1247"/>
            <w:shd w:val="clear" w:color="auto" w:fill="17324D"/>
          </w:tcPr>
          <w:p>
            <w:pPr>
              <w:spacing w:after="0" w:line="240" w:lineRule="auto"/>
              <w:jc w:val="right"/>
            </w:pPr>
            <w:r/>
            <w:r>
              <w:rPr>
                <w:b/>
                <w:color w:val="FFFFFF"/>
                <w:sz w:val="17"/>
              </w:rPr>
              <w:t>Delivery list</w:t>
            </w:r>
          </w:p>
        </w:tc>
        <w:tc>
          <w:tcPr>
            <w:tcW w:type="dxa" w:w="1361"/>
            <w:shd w:val="clear" w:color="auto" w:fill="17324D"/>
          </w:tcPr>
          <w:p>
            <w:pPr>
              <w:spacing w:after="0" w:line="240" w:lineRule="auto"/>
              <w:jc w:val="right"/>
            </w:pPr>
            <w:r/>
            <w:r>
              <w:rPr>
                <w:b/>
                <w:color w:val="FFFFFF"/>
                <w:sz w:val="17"/>
              </w:rPr>
              <w:t>Delivery vs launch</w:t>
            </w:r>
          </w:p>
        </w:tc>
        <w:tc>
          <w:tcPr>
            <w:tcW w:type="dxa" w:w="1871"/>
            <w:shd w:val="clear" w:color="auto" w:fill="17324D"/>
          </w:tcPr>
          <w:p>
            <w:pPr>
              <w:spacing w:after="0" w:line="240" w:lineRule="auto"/>
              <w:jc w:val="right"/>
            </w:pPr>
            <w:r/>
            <w:r>
              <w:rPr>
                <w:b/>
                <w:color w:val="FFFFFF"/>
                <w:sz w:val="17"/>
              </w:rPr>
              <w:t>Delivery list vs today's asking</w:t>
            </w:r>
          </w:p>
        </w:tc>
      </w:tr>
      <w:tr>
        <w:trPr>
          <w:cantSplit/>
        </w:trPr>
        <w:tc>
          <w:tcPr>
            <w:tcW w:type="dxa" w:w="2154"/>
          </w:tcPr>
          <w:p>
            <w:pPr>
              <w:spacing w:after="0" w:line="240" w:lineRule="auto"/>
            </w:pPr>
            <w:r/>
            <w:r>
              <w:rPr>
                <w:sz w:val="17"/>
              </w:rPr>
              <w:t>Green Square: offices</w:t>
            </w:r>
          </w:p>
        </w:tc>
        <w:tc>
          <w:tcPr>
            <w:tcW w:type="dxa" w:w="1247"/>
          </w:tcPr>
          <w:p>
            <w:pPr>
              <w:spacing w:after="0" w:line="240" w:lineRule="auto"/>
              <w:jc w:val="right"/>
            </w:pPr>
            <w:r/>
            <w:r>
              <w:rPr>
                <w:sz w:val="17"/>
              </w:rPr>
              <w:t>135,000</w:t>
            </w:r>
          </w:p>
        </w:tc>
        <w:tc>
          <w:tcPr>
            <w:tcW w:type="dxa" w:w="1361"/>
          </w:tcPr>
          <w:p>
            <w:pPr>
              <w:spacing w:after="0" w:line="240" w:lineRule="auto"/>
              <w:jc w:val="right"/>
            </w:pPr>
            <w:r/>
            <w:r>
              <w:rPr>
                <w:sz w:val="17"/>
              </w:rPr>
              <w:t>163,125</w:t>
            </w:r>
          </w:p>
        </w:tc>
        <w:tc>
          <w:tcPr>
            <w:tcW w:type="dxa" w:w="1247"/>
          </w:tcPr>
          <w:p>
            <w:pPr>
              <w:spacing w:after="0" w:line="240" w:lineRule="auto"/>
              <w:jc w:val="right"/>
            </w:pPr>
            <w:r/>
            <w:r>
              <w:rPr>
                <w:sz w:val="17"/>
              </w:rPr>
              <w:t>200,000</w:t>
            </w:r>
          </w:p>
        </w:tc>
        <w:tc>
          <w:tcPr>
            <w:tcW w:type="dxa" w:w="1361"/>
          </w:tcPr>
          <w:p>
            <w:pPr>
              <w:spacing w:after="0" w:line="240" w:lineRule="auto"/>
              <w:jc w:val="right"/>
            </w:pPr>
            <w:r/>
            <w:r>
              <w:rPr>
                <w:sz w:val="17"/>
              </w:rPr>
              <w:t>+48%</w:t>
            </w:r>
          </w:p>
        </w:tc>
        <w:tc>
          <w:tcPr>
            <w:tcW w:type="dxa" w:w="1871"/>
          </w:tcPr>
          <w:p>
            <w:pPr>
              <w:spacing w:after="0" w:line="240" w:lineRule="auto"/>
              <w:jc w:val="right"/>
            </w:pPr>
            <w:r/>
            <w:r>
              <w:rPr>
                <w:sz w:val="17"/>
              </w:rPr>
              <w:t>+77% (mid-point 113,000)</w:t>
            </w:r>
          </w:p>
        </w:tc>
      </w:tr>
      <w:tr>
        <w:trPr>
          <w:cantSplit/>
        </w:trPr>
        <w:tc>
          <w:tcPr>
            <w:tcW w:type="dxa" w:w="2154"/>
            <w:shd w:val="clear" w:color="auto" w:fill="F2F4F7"/>
          </w:tcPr>
          <w:p>
            <w:pPr>
              <w:spacing w:after="0" w:line="240" w:lineRule="auto"/>
            </w:pPr>
            <w:r/>
            <w:r>
              <w:rPr>
                <w:sz w:val="17"/>
              </w:rPr>
              <w:t>Green Square: retail</w:t>
            </w:r>
          </w:p>
        </w:tc>
        <w:tc>
          <w:tcPr>
            <w:tcW w:type="dxa" w:w="1247"/>
            <w:shd w:val="clear" w:color="auto" w:fill="F2F4F7"/>
          </w:tcPr>
          <w:p>
            <w:pPr>
              <w:spacing w:after="0" w:line="240" w:lineRule="auto"/>
              <w:jc w:val="right"/>
            </w:pPr>
            <w:r/>
            <w:r>
              <w:rPr>
                <w:sz w:val="17"/>
              </w:rPr>
              <w:t>225,000</w:t>
            </w:r>
          </w:p>
        </w:tc>
        <w:tc>
          <w:tcPr>
            <w:tcW w:type="dxa" w:w="1361"/>
            <w:shd w:val="clear" w:color="auto" w:fill="F2F4F7"/>
          </w:tcPr>
          <w:p>
            <w:pPr>
              <w:spacing w:after="0" w:line="240" w:lineRule="auto"/>
              <w:jc w:val="right"/>
            </w:pPr>
            <w:r/>
            <w:r>
              <w:rPr>
                <w:sz w:val="17"/>
              </w:rPr>
              <w:t>268,125</w:t>
            </w:r>
          </w:p>
        </w:tc>
        <w:tc>
          <w:tcPr>
            <w:tcW w:type="dxa" w:w="1247"/>
            <w:shd w:val="clear" w:color="auto" w:fill="F2F4F7"/>
          </w:tcPr>
          <w:p>
            <w:pPr>
              <w:spacing w:after="0" w:line="240" w:lineRule="auto"/>
              <w:jc w:val="right"/>
            </w:pPr>
            <w:r/>
            <w:r>
              <w:rPr>
                <w:sz w:val="17"/>
              </w:rPr>
              <w:t>300,000</w:t>
            </w:r>
          </w:p>
        </w:tc>
        <w:tc>
          <w:tcPr>
            <w:tcW w:type="dxa" w:w="1361"/>
            <w:shd w:val="clear" w:color="auto" w:fill="F2F4F7"/>
          </w:tcPr>
          <w:p>
            <w:pPr>
              <w:spacing w:after="0" w:line="240" w:lineRule="auto"/>
              <w:jc w:val="right"/>
            </w:pPr>
            <w:r/>
            <w:r>
              <w:rPr>
                <w:sz w:val="17"/>
              </w:rPr>
              <w:t>+33%</w:t>
            </w:r>
          </w:p>
        </w:tc>
        <w:tc>
          <w:tcPr>
            <w:tcW w:type="dxa" w:w="1871"/>
            <w:shd w:val="clear" w:color="auto" w:fill="F2F4F7"/>
          </w:tcPr>
          <w:p>
            <w:pPr>
              <w:spacing w:after="0" w:line="240" w:lineRule="auto"/>
              <w:jc w:val="right"/>
            </w:pPr>
            <w:r/>
            <w:r>
              <w:rPr>
                <w:sz w:val="17"/>
              </w:rPr>
              <w:t>Within the listed range</w:t>
            </w:r>
          </w:p>
        </w:tc>
      </w:tr>
      <w:tr>
        <w:trPr>
          <w:cantSplit/>
        </w:trPr>
        <w:tc>
          <w:tcPr>
            <w:tcW w:type="dxa" w:w="2154"/>
          </w:tcPr>
          <w:p>
            <w:pPr>
              <w:spacing w:after="0" w:line="240" w:lineRule="auto"/>
            </w:pPr>
            <w:r/>
            <w:r>
              <w:rPr>
                <w:sz w:val="17"/>
              </w:rPr>
              <w:t>L'avenir: offices</w:t>
            </w:r>
          </w:p>
        </w:tc>
        <w:tc>
          <w:tcPr>
            <w:tcW w:type="dxa" w:w="1247"/>
          </w:tcPr>
          <w:p>
            <w:pPr>
              <w:spacing w:after="0" w:line="240" w:lineRule="auto"/>
              <w:jc w:val="right"/>
            </w:pPr>
            <w:r/>
            <w:r>
              <w:rPr>
                <w:sz w:val="17"/>
              </w:rPr>
              <w:t>160,000</w:t>
            </w:r>
          </w:p>
        </w:tc>
        <w:tc>
          <w:tcPr>
            <w:tcW w:type="dxa" w:w="1361"/>
          </w:tcPr>
          <w:p>
            <w:pPr>
              <w:spacing w:after="0" w:line="240" w:lineRule="auto"/>
              <w:jc w:val="right"/>
            </w:pPr>
            <w:r/>
            <w:r>
              <w:rPr>
                <w:sz w:val="17"/>
              </w:rPr>
              <w:t>191,250</w:t>
            </w:r>
          </w:p>
        </w:tc>
        <w:tc>
          <w:tcPr>
            <w:tcW w:type="dxa" w:w="1247"/>
          </w:tcPr>
          <w:p>
            <w:pPr>
              <w:spacing w:after="0" w:line="240" w:lineRule="auto"/>
              <w:jc w:val="right"/>
            </w:pPr>
            <w:r/>
            <w:r>
              <w:rPr>
                <w:sz w:val="17"/>
              </w:rPr>
              <w:t>240,000</w:t>
            </w:r>
          </w:p>
        </w:tc>
        <w:tc>
          <w:tcPr>
            <w:tcW w:type="dxa" w:w="1361"/>
          </w:tcPr>
          <w:p>
            <w:pPr>
              <w:spacing w:after="0" w:line="240" w:lineRule="auto"/>
              <w:jc w:val="right"/>
            </w:pPr>
            <w:r/>
            <w:r>
              <w:rPr>
                <w:sz w:val="17"/>
              </w:rPr>
              <w:t>+50%</w:t>
            </w:r>
          </w:p>
        </w:tc>
        <w:tc>
          <w:tcPr>
            <w:tcW w:type="dxa" w:w="1871"/>
          </w:tcPr>
          <w:p>
            <w:pPr>
              <w:spacing w:after="0" w:line="240" w:lineRule="auto"/>
              <w:jc w:val="right"/>
            </w:pPr>
            <w:r/>
            <w:r>
              <w:rPr>
                <w:sz w:val="17"/>
              </w:rPr>
              <w:t>+112% (mid-point 113,000)</w:t>
            </w:r>
          </w:p>
        </w:tc>
      </w:tr>
      <w:tr>
        <w:trPr>
          <w:cantSplit/>
        </w:trPr>
        <w:tc>
          <w:tcPr>
            <w:tcW w:type="dxa" w:w="2154"/>
            <w:shd w:val="clear" w:color="auto" w:fill="F2F4F7"/>
          </w:tcPr>
          <w:p>
            <w:pPr>
              <w:spacing w:after="0" w:line="240" w:lineRule="auto"/>
            </w:pPr>
            <w:r/>
            <w:r>
              <w:rPr>
                <w:sz w:val="17"/>
              </w:rPr>
              <w:t>L'avenir: retail</w:t>
            </w:r>
          </w:p>
        </w:tc>
        <w:tc>
          <w:tcPr>
            <w:tcW w:type="dxa" w:w="1247"/>
            <w:shd w:val="clear" w:color="auto" w:fill="F2F4F7"/>
          </w:tcPr>
          <w:p>
            <w:pPr>
              <w:spacing w:after="0" w:line="240" w:lineRule="auto"/>
              <w:jc w:val="right"/>
            </w:pPr>
            <w:r/>
            <w:r>
              <w:rPr>
                <w:sz w:val="17"/>
              </w:rPr>
              <w:t>250,000</w:t>
            </w:r>
          </w:p>
        </w:tc>
        <w:tc>
          <w:tcPr>
            <w:tcW w:type="dxa" w:w="1361"/>
            <w:shd w:val="clear" w:color="auto" w:fill="F2F4F7"/>
          </w:tcPr>
          <w:p>
            <w:pPr>
              <w:spacing w:after="0" w:line="240" w:lineRule="auto"/>
              <w:jc w:val="right"/>
            </w:pPr>
            <w:r/>
            <w:r>
              <w:rPr>
                <w:sz w:val="17"/>
              </w:rPr>
              <w:t>300,938</w:t>
            </w:r>
          </w:p>
        </w:tc>
        <w:tc>
          <w:tcPr>
            <w:tcW w:type="dxa" w:w="1247"/>
            <w:shd w:val="clear" w:color="auto" w:fill="F2F4F7"/>
          </w:tcPr>
          <w:p>
            <w:pPr>
              <w:spacing w:after="0" w:line="240" w:lineRule="auto"/>
              <w:jc w:val="right"/>
            </w:pPr>
            <w:r/>
            <w:r>
              <w:rPr>
                <w:sz w:val="17"/>
              </w:rPr>
              <w:t>360,000</w:t>
            </w:r>
          </w:p>
        </w:tc>
        <w:tc>
          <w:tcPr>
            <w:tcW w:type="dxa" w:w="1361"/>
            <w:shd w:val="clear" w:color="auto" w:fill="F2F4F7"/>
          </w:tcPr>
          <w:p>
            <w:pPr>
              <w:spacing w:after="0" w:line="240" w:lineRule="auto"/>
              <w:jc w:val="right"/>
            </w:pPr>
            <w:r/>
            <w:r>
              <w:rPr>
                <w:sz w:val="17"/>
              </w:rPr>
              <w:t>+44%</w:t>
            </w:r>
          </w:p>
        </w:tc>
        <w:tc>
          <w:tcPr>
            <w:tcW w:type="dxa" w:w="1871"/>
            <w:shd w:val="clear" w:color="auto" w:fill="F2F4F7"/>
          </w:tcPr>
          <w:p>
            <w:pPr>
              <w:spacing w:after="0" w:line="240" w:lineRule="auto"/>
              <w:jc w:val="right"/>
            </w:pPr>
            <w:r/>
            <w:r>
              <w:rPr>
                <w:sz w:val="17"/>
              </w:rPr>
              <w:t>Within the listed range</w:t>
            </w:r>
          </w:p>
        </w:tc>
      </w:tr>
    </w:tbl>
    <w:p>
      <w:pPr>
        <w:spacing w:after="80"/>
      </w:pPr>
    </w:p>
    <w:p>
      <w:r>
        <w:rPr>
          <w:b w:val="0"/>
          <w:i w:val="0"/>
        </w:rPr>
        <w:t>The delivery list is the last list price in each plan and is unchanged to handover. Measured from launch, the blended rise is 43% in Green Square and 48% in L'avenir (weighted by the launch tranches), against the 40% to 60% range Jalour expects. Measured from today's office asking prices, the delivery lists are +77% and +112%, or about 15% and 18% a year measured from today (assumed to be December 2026).</w:t>
      </w:r>
    </w:p>
    <w:p>
      <w:r>
        <w:rPr>
          <w:b w:val="0"/>
          <w:i w:val="0"/>
        </w:rPr>
        <w:t>The plans' launch prices for offices are above current Mostakbal City asking prices, and then rise. New Cairo secondary-market prices rose 3.1% y/y in Q1 2026 (JLL via Enterprise); broker estimates for 2026 price growth are 10% to 16% a year (a blog estimate, not an index). A 40% to 60% rise over three to four years needs about 12% to 13% a year, which is at the upper end of that range and depends on continued inflation (14.5% in August 2026). Sales prices may therefore be lower or slower than planned; section 13 shows the effect.</w:t>
      </w:r>
    </w:p>
    <w:p>
      <w:pPr>
        <w:pStyle w:val="Heading2"/>
      </w:pPr>
      <w:r>
        <w:t>4.5 Demand drivers and macro</w:t>
      </w:r>
    </w:p>
    <w:p>
      <w:pPr>
        <w:pStyle w:val="ListBullet"/>
        <w:spacing w:after="60"/>
      </w:pPr>
      <w:r>
        <w:rPr>
          <w:b w:val="0"/>
          <w:i w:val="0"/>
        </w:rPr>
        <w:t>CBE overnight deposit rate 19.00%, unchanged at the September 2026 meeting; urban headline inflation 14.5% in August 2026 (CBE via Bnok24; CAPMAS via Ahram Online).</w:t>
      </w:r>
    </w:p>
    <w:p>
      <w:pPr>
        <w:pStyle w:val="ListBullet"/>
        <w:spacing w:after="60"/>
      </w:pPr>
      <w:r>
        <w:rPr>
          <w:b w:val="0"/>
          <w:i w:val="0"/>
        </w:rPr>
        <w:t>Top 10 developers' sales reached EGP 670 bn in H1 2026 against EGP 651 bn in H1 2025 (+2.9%), with units sold down 5% y/y (Daily News Egypt (2026)).</w:t>
      </w:r>
    </w:p>
    <w:p>
      <w:pPr>
        <w:pStyle w:val="ListBullet"/>
        <w:spacing w:after="60"/>
      </w:pPr>
      <w:r>
        <w:rPr>
          <w:b w:val="0"/>
          <w:i w:val="0"/>
        </w:rPr>
        <w:t>Typical off-plan payment plans run 8 to 12 years with 1.5% to 10% down payments (Bayut and Property Finder listings (2026)).</w:t>
      </w:r>
    </w:p>
    <w:p>
      <w:pPr>
        <w:pStyle w:val="ListBullet"/>
        <w:spacing w:after="60"/>
      </w:pPr>
      <w:r>
        <w:rPr>
          <w:b w:val="0"/>
          <w:i w:val="0"/>
        </w:rPr>
        <w:t>Real estate is widely used in Egypt as an inflation hedge, but affordability is stretched and the share of investor buyers fell in 2025 (Enterprise).</w:t>
      </w:r>
    </w:p>
    <w:p>
      <w:pPr>
        <w:pStyle w:val="Heading2"/>
      </w:pPr>
      <w:r>
        <w:t>4.6 Regulation of off-plan sales</w:t>
      </w:r>
    </w:p>
    <w:p>
      <w:r>
        <w:rPr>
          <w:b w:val="0"/>
          <w:i w:val="0"/>
        </w:rPr>
        <w:t>Prime Minister Decree 2184 of 2022 requires developers on state-allocated land to hold a separate project bank account and to follow approved timelines before announcing sales (Invest-Gate; Mondaq). Jalour's position is that this requirement does not apply to these plots; the basis is provided in the data room after the investor signs the non-disclosure agreement. Counsel should confirm which other rules apply to a private placement of this kind. Resale of contracts is common but developer approval and fees are contractual; no specific rule on developer consent to resale was found.</w:t>
      </w:r>
    </w:p>
    <w:p>
      <w:pPr>
        <w:pStyle w:val="Heading1"/>
        <w:pageBreakBefore/>
      </w:pPr>
      <w:r>
        <w:t>5. Project descriptions</w:t>
      </w:r>
    </w:p>
    <w:p>
      <w:pPr>
        <w:pStyle w:val="Heading2"/>
      </w:pPr>
      <w:r>
        <w:t>5.1 Green Square</w:t>
      </w:r>
    </w:p>
    <w:p>
      <w:pPr>
        <w:keepNext/>
        <w:spacing w:after="60"/>
      </w:pPr>
      <w:r>
        <w:rPr>
          <w:b/>
          <w:color w:val="17324D"/>
          <w:sz w:val="19"/>
        </w:rPr>
        <w:t>Table 6: Green Square: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14,470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4,341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8,682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13,023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1</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7 to 42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42</w:t>
            </w:r>
          </w:p>
        </w:tc>
      </w:tr>
    </w:tbl>
    <w:p>
      <w:pPr>
        <w:spacing w:after="80"/>
      </w:pPr>
    </w:p>
    <w:p>
      <w:r>
        <w:rPr>
          <w:b w:val="0"/>
          <w:i w:val="0"/>
        </w:rPr>
        <w:t>Retail accounts for 33% of built-up area and offices for 67%. The model sells offices on a sellable area of 10,129 m2, larger than the 8,682 m2 of office built-up area; the area schedule that reconciles the two is provided after the investor signs the non-disclosure agreement and should be required in due diligence.</w:t>
      </w:r>
    </w:p>
    <w:p>
      <w:pPr>
        <w:pStyle w:val="Heading2"/>
      </w:pPr>
      <w:r>
        <w:t>5.2 L'avenir</w:t>
      </w:r>
    </w:p>
    <w:p>
      <w:pPr>
        <w:keepNext/>
        <w:spacing w:after="60"/>
      </w:pPr>
      <w:r>
        <w:rPr>
          <w:b/>
          <w:color w:val="17324D"/>
          <w:sz w:val="19"/>
        </w:rPr>
        <w:t>Table 7: L'avenir: project facts (source: Jalour financial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9"/>
              </w:rPr>
              <w:t>Item</w:t>
            </w:r>
          </w:p>
        </w:tc>
        <w:tc>
          <w:tcPr>
            <w:tcW w:type="dxa" w:w="5839"/>
            <w:shd w:val="clear" w:color="auto" w:fill="17324D"/>
          </w:tcPr>
          <w:p>
            <w:pPr>
              <w:spacing w:after="0" w:line="240" w:lineRule="auto"/>
            </w:pPr>
            <w:r/>
            <w:r>
              <w:rPr>
                <w:b/>
                <w:color w:val="FFFFFF"/>
                <w:sz w:val="19"/>
              </w:rPr>
              <w:t>Detail</w:t>
            </w:r>
          </w:p>
        </w:tc>
      </w:tr>
      <w:tr>
        <w:trPr>
          <w:cantSplit/>
        </w:trPr>
        <w:tc>
          <w:tcPr>
            <w:tcW w:type="dxa" w:w="3402"/>
          </w:tcPr>
          <w:p>
            <w:pPr>
              <w:spacing w:after="0" w:line="240" w:lineRule="auto"/>
            </w:pPr>
            <w:r/>
            <w:r>
              <w:rPr>
                <w:b/>
                <w:sz w:val="19"/>
              </w:rPr>
              <w:t>Land area</w:t>
            </w:r>
          </w:p>
        </w:tc>
        <w:tc>
          <w:tcPr>
            <w:tcW w:type="dxa" w:w="5839"/>
          </w:tcPr>
          <w:p>
            <w:pPr>
              <w:spacing w:after="0" w:line="240" w:lineRule="auto"/>
            </w:pPr>
            <w:r/>
            <w:r>
              <w:rPr>
                <w:sz w:val="19"/>
              </w:rPr>
              <w:t>14,910 m2</w:t>
            </w:r>
          </w:p>
        </w:tc>
      </w:tr>
      <w:tr>
        <w:trPr>
          <w:cantSplit/>
        </w:trPr>
        <w:tc>
          <w:tcPr>
            <w:tcW w:type="dxa" w:w="3402"/>
            <w:shd w:val="clear" w:color="auto" w:fill="F2F4F7"/>
          </w:tcPr>
          <w:p>
            <w:pPr>
              <w:spacing w:after="0" w:line="240" w:lineRule="auto"/>
            </w:pPr>
            <w:r/>
            <w:r>
              <w:rPr>
                <w:b/>
                <w:sz w:val="19"/>
              </w:rPr>
              <w:t>Footprint (30% of land)</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Height</w:t>
            </w:r>
          </w:p>
        </w:tc>
        <w:tc>
          <w:tcPr>
            <w:tcW w:type="dxa" w:w="5839"/>
          </w:tcPr>
          <w:p>
            <w:pPr>
              <w:spacing w:after="0" w:line="240" w:lineRule="auto"/>
            </w:pPr>
            <w:r/>
            <w:r>
              <w:rPr>
                <w:sz w:val="19"/>
              </w:rPr>
              <w:t>G+2</w:t>
            </w:r>
          </w:p>
        </w:tc>
      </w:tr>
      <w:tr>
        <w:trPr>
          <w:cantSplit/>
        </w:trPr>
        <w:tc>
          <w:tcPr>
            <w:tcW w:type="dxa" w:w="3402"/>
            <w:shd w:val="clear" w:color="auto" w:fill="F2F4F7"/>
          </w:tcPr>
          <w:p>
            <w:pPr>
              <w:spacing w:after="0" w:line="240" w:lineRule="auto"/>
            </w:pPr>
            <w:r/>
            <w:r>
              <w:rPr>
                <w:b/>
                <w:sz w:val="19"/>
              </w:rPr>
              <w:t>Retail built-up area</w:t>
            </w:r>
          </w:p>
        </w:tc>
        <w:tc>
          <w:tcPr>
            <w:tcW w:type="dxa" w:w="5839"/>
            <w:shd w:val="clear" w:color="auto" w:fill="F2F4F7"/>
          </w:tcPr>
          <w:p>
            <w:pPr>
              <w:spacing w:after="0" w:line="240" w:lineRule="auto"/>
            </w:pPr>
            <w:r/>
            <w:r>
              <w:rPr>
                <w:sz w:val="19"/>
              </w:rPr>
              <w:t>4,473 m2</w:t>
            </w:r>
          </w:p>
        </w:tc>
      </w:tr>
      <w:tr>
        <w:trPr>
          <w:cantSplit/>
        </w:trPr>
        <w:tc>
          <w:tcPr>
            <w:tcW w:type="dxa" w:w="3402"/>
          </w:tcPr>
          <w:p>
            <w:pPr>
              <w:spacing w:after="0" w:line="240" w:lineRule="auto"/>
            </w:pPr>
            <w:r/>
            <w:r>
              <w:rPr>
                <w:b/>
                <w:sz w:val="19"/>
              </w:rPr>
              <w:t>Office built-up area</w:t>
            </w:r>
          </w:p>
        </w:tc>
        <w:tc>
          <w:tcPr>
            <w:tcW w:type="dxa" w:w="5839"/>
          </w:tcPr>
          <w:p>
            <w:pPr>
              <w:spacing w:after="0" w:line="240" w:lineRule="auto"/>
            </w:pPr>
            <w:r/>
            <w:r>
              <w:rPr>
                <w:sz w:val="19"/>
              </w:rPr>
              <w:t>8,946 m2</w:t>
            </w:r>
          </w:p>
        </w:tc>
      </w:tr>
      <w:tr>
        <w:trPr>
          <w:cantSplit/>
        </w:trPr>
        <w:tc>
          <w:tcPr>
            <w:tcW w:type="dxa" w:w="3402"/>
            <w:shd w:val="clear" w:color="auto" w:fill="F2F4F7"/>
          </w:tcPr>
          <w:p>
            <w:pPr>
              <w:spacing w:after="0" w:line="240" w:lineRule="auto"/>
            </w:pPr>
            <w:r/>
            <w:r>
              <w:rPr>
                <w:b/>
                <w:sz w:val="19"/>
              </w:rPr>
              <w:t>Total built-up area</w:t>
            </w:r>
          </w:p>
        </w:tc>
        <w:tc>
          <w:tcPr>
            <w:tcW w:type="dxa" w:w="5839"/>
            <w:shd w:val="clear" w:color="auto" w:fill="F2F4F7"/>
          </w:tcPr>
          <w:p>
            <w:pPr>
              <w:spacing w:after="0" w:line="240" w:lineRule="auto"/>
            </w:pPr>
            <w:r/>
            <w:r>
              <w:rPr>
                <w:sz w:val="19"/>
              </w:rPr>
              <w:t>13,419 m2</w:t>
            </w:r>
          </w:p>
        </w:tc>
      </w:tr>
      <w:tr>
        <w:trPr>
          <w:cantSplit/>
        </w:trPr>
        <w:tc>
          <w:tcPr>
            <w:tcW w:type="dxa" w:w="3402"/>
          </w:tcPr>
          <w:p>
            <w:pPr>
              <w:spacing w:after="0" w:line="240" w:lineRule="auto"/>
            </w:pPr>
            <w:r/>
            <w:r>
              <w:rPr>
                <w:b/>
                <w:sz w:val="19"/>
              </w:rPr>
              <w:t>Finishing standard</w:t>
            </w:r>
          </w:p>
        </w:tc>
        <w:tc>
          <w:tcPr>
            <w:tcW w:type="dxa" w:w="5839"/>
          </w:tcPr>
          <w:p>
            <w:pPr>
              <w:spacing w:after="0" w:line="240" w:lineRule="auto"/>
            </w:pPr>
            <w:r/>
            <w:r>
              <w:rPr>
                <w:sz w:val="19"/>
              </w:rPr>
              <w:t>Core and shell</w:t>
            </w:r>
          </w:p>
        </w:tc>
      </w:tr>
      <w:tr>
        <w:trPr>
          <w:cantSplit/>
        </w:trPr>
        <w:tc>
          <w:tcPr>
            <w:tcW w:type="dxa" w:w="3402"/>
            <w:shd w:val="clear" w:color="auto" w:fill="F2F4F7"/>
          </w:tcPr>
          <w:p>
            <w:pPr>
              <w:spacing w:after="0" w:line="240" w:lineRule="auto"/>
            </w:pPr>
            <w:r/>
            <w:r>
              <w:rPr>
                <w:b/>
                <w:sz w:val="19"/>
              </w:rPr>
              <w:t>Sales start</w:t>
            </w:r>
          </w:p>
        </w:tc>
        <w:tc>
          <w:tcPr>
            <w:tcW w:type="dxa" w:w="5839"/>
            <w:shd w:val="clear" w:color="auto" w:fill="F2F4F7"/>
          </w:tcPr>
          <w:p>
            <w:pPr>
              <w:spacing w:after="0" w:line="240" w:lineRule="auto"/>
            </w:pPr>
            <w:r/>
            <w:r>
              <w:rPr>
                <w:sz w:val="19"/>
              </w:rPr>
              <w:t>Project month 1</w:t>
            </w:r>
          </w:p>
        </w:tc>
      </w:tr>
      <w:tr>
        <w:trPr>
          <w:cantSplit/>
        </w:trPr>
        <w:tc>
          <w:tcPr>
            <w:tcW w:type="dxa" w:w="3402"/>
          </w:tcPr>
          <w:p>
            <w:pPr>
              <w:spacing w:after="0" w:line="240" w:lineRule="auto"/>
            </w:pPr>
            <w:r/>
            <w:r>
              <w:rPr>
                <w:b/>
                <w:sz w:val="19"/>
              </w:rPr>
              <w:t>Construction</w:t>
            </w:r>
          </w:p>
        </w:tc>
        <w:tc>
          <w:tcPr>
            <w:tcW w:type="dxa" w:w="5839"/>
          </w:tcPr>
          <w:p>
            <w:pPr>
              <w:spacing w:after="0" w:line="240" w:lineRule="auto"/>
            </w:pPr>
            <w:r/>
            <w:r>
              <w:rPr>
                <w:sz w:val="19"/>
              </w:rPr>
              <w:t>Months 7 to 42 (36 months)</w:t>
            </w:r>
          </w:p>
        </w:tc>
      </w:tr>
      <w:tr>
        <w:trPr>
          <w:cantSplit/>
        </w:trPr>
        <w:tc>
          <w:tcPr>
            <w:tcW w:type="dxa" w:w="3402"/>
            <w:shd w:val="clear" w:color="auto" w:fill="F2F4F7"/>
          </w:tcPr>
          <w:p>
            <w:pPr>
              <w:spacing w:after="0" w:line="240" w:lineRule="auto"/>
            </w:pPr>
            <w:r/>
            <w:r>
              <w:rPr>
                <w:b/>
                <w:sz w:val="19"/>
              </w:rPr>
              <w:t>Handover</w:t>
            </w:r>
          </w:p>
        </w:tc>
        <w:tc>
          <w:tcPr>
            <w:tcW w:type="dxa" w:w="5839"/>
            <w:shd w:val="clear" w:color="auto" w:fill="F2F4F7"/>
          </w:tcPr>
          <w:p>
            <w:pPr>
              <w:spacing w:after="0" w:line="240" w:lineRule="auto"/>
            </w:pPr>
            <w:r/>
            <w:r>
              <w:rPr>
                <w:sz w:val="19"/>
              </w:rPr>
              <w:t>Project month 42</w:t>
            </w:r>
          </w:p>
        </w:tc>
      </w:tr>
    </w:tbl>
    <w:p>
      <w:pPr>
        <w:spacing w:after="80"/>
      </w:pPr>
    </w:p>
    <w:p>
      <w:r>
        <w:rPr>
          <w:b w:val="0"/>
          <w:i w:val="0"/>
        </w:rPr>
        <w:t>Retail accounts for 33% of built-up area and offices for 67%. The model sells offices on a sellable area of 10,437 m2, larger than the 8,946 m2 of office built-up area; the area schedule that reconciles the two is provided after the investor signs the non-disclosure agreement and should be required in due diligence.</w:t>
      </w:r>
    </w:p>
    <w:p>
      <w:r>
        <w:rPr>
          <w:b w:val="0"/>
          <w:i w:val="0"/>
        </w:rPr>
        <w:t>Jalour is responsible in each project for design, permits and licences, construction to core and shell, project branding, marketing, sales and collection, and for operation, management and maintenance directly or through a facility management company. Permits, licences and title status are listed in the Due Diligence Memorandum [available after the investor signs the non-disclosure agreement].</w:t>
      </w:r>
    </w:p>
    <w:p>
      <w:pPr>
        <w:pStyle w:val="Heading1"/>
        <w:pageBreakBefore/>
      </w:pPr>
      <w:r>
        <w:t>6. The Al Ahly Sabbour agreements and consents</w:t>
      </w:r>
    </w:p>
    <w:p>
      <w:r>
        <w:rPr>
          <w:b w:val="0"/>
          <w:i w:val="0"/>
        </w:rPr>
        <w:t>The following terms are taken from the Jalour financial model and are to be verified against the signed agreements in the data room.</w:t>
      </w:r>
    </w:p>
    <w:p>
      <w:pPr>
        <w:keepNext/>
        <w:spacing w:after="60"/>
      </w:pPr>
      <w:r>
        <w:rPr>
          <w:b/>
          <w:color w:val="17324D"/>
          <w:sz w:val="19"/>
        </w:rPr>
        <w:t>Table 8: Agreement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835"/>
            <w:shd w:val="clear" w:color="auto" w:fill="17324D"/>
          </w:tcPr>
          <w:p>
            <w:pPr>
              <w:spacing w:after="0" w:line="240" w:lineRule="auto"/>
            </w:pPr>
            <w:r/>
            <w:r>
              <w:rPr>
                <w:b/>
                <w:color w:val="FFFFFF"/>
                <w:sz w:val="19"/>
              </w:rPr>
              <w:t>Term</w:t>
            </w:r>
          </w:p>
        </w:tc>
        <w:tc>
          <w:tcPr>
            <w:tcW w:type="dxa" w:w="3402"/>
            <w:shd w:val="clear" w:color="auto" w:fill="17324D"/>
          </w:tcPr>
          <w:p>
            <w:pPr>
              <w:spacing w:after="0" w:line="240" w:lineRule="auto"/>
            </w:pPr>
            <w:r/>
            <w:r>
              <w:rPr>
                <w:b/>
                <w:color w:val="FFFFFF"/>
                <w:sz w:val="19"/>
              </w:rPr>
              <w:t>Green Square</w:t>
            </w:r>
          </w:p>
        </w:tc>
        <w:tc>
          <w:tcPr>
            <w:tcW w:type="dxa" w:w="3005"/>
            <w:shd w:val="clear" w:color="auto" w:fill="17324D"/>
          </w:tcPr>
          <w:p>
            <w:pPr>
              <w:spacing w:after="0" w:line="240" w:lineRule="auto"/>
            </w:pPr>
            <w:r/>
            <w:r>
              <w:rPr>
                <w:b/>
                <w:color w:val="FFFFFF"/>
                <w:sz w:val="19"/>
              </w:rPr>
              <w:t>L'avenir</w:t>
            </w:r>
          </w:p>
        </w:tc>
      </w:tr>
      <w:tr>
        <w:trPr>
          <w:cantSplit/>
        </w:trPr>
        <w:tc>
          <w:tcPr>
            <w:tcW w:type="dxa" w:w="2835"/>
          </w:tcPr>
          <w:p>
            <w:pPr>
              <w:spacing w:after="0" w:line="240" w:lineRule="auto"/>
            </w:pPr>
            <w:r/>
            <w:r>
              <w:rPr>
                <w:b/>
                <w:sz w:val="19"/>
              </w:rPr>
              <w:t>Landlord share of collections</w:t>
            </w:r>
          </w:p>
        </w:tc>
        <w:tc>
          <w:tcPr>
            <w:tcW w:type="dxa" w:w="3402"/>
          </w:tcPr>
          <w:p>
            <w:pPr>
              <w:spacing w:after="0" w:line="240" w:lineRule="auto"/>
            </w:pPr>
            <w:r/>
            <w:r>
              <w:rPr>
                <w:sz w:val="19"/>
              </w:rPr>
              <w:t>35%</w:t>
            </w:r>
          </w:p>
        </w:tc>
        <w:tc>
          <w:tcPr>
            <w:tcW w:type="dxa" w:w="3005"/>
          </w:tcPr>
          <w:p>
            <w:pPr>
              <w:spacing w:after="0" w:line="240" w:lineRule="auto"/>
            </w:pPr>
            <w:r/>
            <w:r>
              <w:rPr>
                <w:sz w:val="19"/>
              </w:rPr>
              <w:t>35%</w:t>
            </w:r>
          </w:p>
        </w:tc>
      </w:tr>
      <w:tr>
        <w:trPr>
          <w:cantSplit/>
        </w:trPr>
        <w:tc>
          <w:tcPr>
            <w:tcW w:type="dxa" w:w="2835"/>
            <w:shd w:val="clear" w:color="auto" w:fill="F2F4F7"/>
          </w:tcPr>
          <w:p>
            <w:pPr>
              <w:spacing w:after="0" w:line="240" w:lineRule="auto"/>
            </w:pPr>
            <w:r/>
            <w:r>
              <w:rPr>
                <w:b/>
                <w:sz w:val="19"/>
              </w:rPr>
              <w:t>Developer (Jalour) share</w:t>
            </w:r>
          </w:p>
        </w:tc>
        <w:tc>
          <w:tcPr>
            <w:tcW w:type="dxa" w:w="3402"/>
            <w:shd w:val="clear" w:color="auto" w:fill="F2F4F7"/>
          </w:tcPr>
          <w:p>
            <w:pPr>
              <w:spacing w:after="0" w:line="240" w:lineRule="auto"/>
            </w:pPr>
            <w:r/>
            <w:r>
              <w:rPr>
                <w:sz w:val="19"/>
              </w:rPr>
              <w:t>65%</w:t>
            </w:r>
          </w:p>
        </w:tc>
        <w:tc>
          <w:tcPr>
            <w:tcW w:type="dxa" w:w="3005"/>
            <w:shd w:val="clear" w:color="auto" w:fill="F2F4F7"/>
          </w:tcPr>
          <w:p>
            <w:pPr>
              <w:spacing w:after="0" w:line="240" w:lineRule="auto"/>
            </w:pPr>
            <w:r/>
            <w:r>
              <w:rPr>
                <w:sz w:val="19"/>
              </w:rPr>
              <w:t>65%</w:t>
            </w:r>
          </w:p>
        </w:tc>
      </w:tr>
      <w:tr>
        <w:trPr>
          <w:cantSplit/>
        </w:trPr>
        <w:tc>
          <w:tcPr>
            <w:tcW w:type="dxa" w:w="2835"/>
          </w:tcPr>
          <w:p>
            <w:pPr>
              <w:spacing w:after="0" w:line="240" w:lineRule="auto"/>
            </w:pPr>
            <w:r/>
            <w:r>
              <w:rPr>
                <w:b/>
                <w:sz w:val="19"/>
              </w:rPr>
              <w:t>Minimum guaranteed amount</w:t>
            </w:r>
          </w:p>
        </w:tc>
        <w:tc>
          <w:tcPr>
            <w:tcW w:type="dxa" w:w="3402"/>
          </w:tcPr>
          <w:p>
            <w:pPr>
              <w:spacing w:after="0" w:line="240" w:lineRule="auto"/>
            </w:pPr>
            <w:r/>
            <w:r>
              <w:rPr>
                <w:sz w:val="19"/>
              </w:rPr>
              <w:t>EGP 800 million over six years</w:t>
            </w:r>
          </w:p>
        </w:tc>
        <w:tc>
          <w:tcPr>
            <w:tcW w:type="dxa" w:w="3005"/>
          </w:tcPr>
          <w:p>
            <w:pPr>
              <w:spacing w:after="0" w:line="240" w:lineRule="auto"/>
            </w:pPr>
            <w:r/>
            <w:r>
              <w:rPr>
                <w:sz w:val="19"/>
              </w:rPr>
              <w:t>EGP 850 million over six years</w:t>
            </w:r>
          </w:p>
        </w:tc>
      </w:tr>
      <w:tr>
        <w:trPr>
          <w:cantSplit/>
        </w:trPr>
        <w:tc>
          <w:tcPr>
            <w:tcW w:type="dxa" w:w="2835"/>
            <w:shd w:val="clear" w:color="auto" w:fill="F2F4F7"/>
          </w:tcPr>
          <w:p>
            <w:pPr>
              <w:spacing w:after="0" w:line="240" w:lineRule="auto"/>
            </w:pPr>
            <w:r/>
            <w:r>
              <w:rPr>
                <w:b/>
                <w:sz w:val="19"/>
              </w:rPr>
              <w:t>Down payment</w:t>
            </w:r>
          </w:p>
        </w:tc>
        <w:tc>
          <w:tcPr>
            <w:tcW w:type="dxa" w:w="3402"/>
            <w:shd w:val="clear" w:color="auto" w:fill="F2F4F7"/>
          </w:tcPr>
          <w:p>
            <w:pPr>
              <w:spacing w:after="0" w:line="240" w:lineRule="auto"/>
            </w:pPr>
            <w:r/>
            <w:r>
              <w:rPr>
                <w:sz w:val="19"/>
              </w:rPr>
              <w:t>EGP 80 million</w:t>
            </w:r>
          </w:p>
        </w:tc>
        <w:tc>
          <w:tcPr>
            <w:tcW w:type="dxa" w:w="3005"/>
            <w:shd w:val="clear" w:color="auto" w:fill="F2F4F7"/>
          </w:tcPr>
          <w:p>
            <w:pPr>
              <w:spacing w:after="0" w:line="240" w:lineRule="auto"/>
            </w:pPr>
            <w:r/>
            <w:r>
              <w:rPr>
                <w:sz w:val="19"/>
              </w:rPr>
              <w:t>EGP 85 million</w:t>
            </w:r>
          </w:p>
        </w:tc>
      </w:tr>
      <w:tr>
        <w:trPr>
          <w:cantSplit/>
        </w:trPr>
        <w:tc>
          <w:tcPr>
            <w:tcW w:type="dxa" w:w="2835"/>
          </w:tcPr>
          <w:p>
            <w:pPr>
              <w:spacing w:after="0" w:line="240" w:lineRule="auto"/>
            </w:pPr>
            <w:r/>
            <w:r>
              <w:rPr>
                <w:b/>
                <w:sz w:val="19"/>
              </w:rPr>
              <w:t>Payment rule</w:t>
            </w:r>
          </w:p>
        </w:tc>
        <w:tc>
          <w:tcPr>
            <w:tcW w:type="dxa" w:w="3402"/>
          </w:tcPr>
          <w:p>
            <w:pPr>
              <w:spacing w:after="0" w:line="240" w:lineRule="auto"/>
            </w:pPr>
            <w:r/>
            <w:r>
              <w:rPr>
                <w:sz w:val="19"/>
              </w:rPr>
              <w:t>35% of collections or the guaranteed instalment, whichever is higher</w:t>
            </w:r>
          </w:p>
        </w:tc>
        <w:tc>
          <w:tcPr>
            <w:tcW w:type="dxa" w:w="3005"/>
          </w:tcPr>
          <w:p>
            <w:pPr>
              <w:spacing w:after="0" w:line="240" w:lineRule="auto"/>
            </w:pPr>
            <w:r/>
            <w:r>
              <w:rPr>
                <w:sz w:val="19"/>
              </w:rPr>
              <w:t>Same</w:t>
            </w:r>
          </w:p>
        </w:tc>
      </w:tr>
      <w:tr>
        <w:trPr>
          <w:cantSplit/>
        </w:trPr>
        <w:tc>
          <w:tcPr>
            <w:tcW w:type="dxa" w:w="2835"/>
            <w:shd w:val="clear" w:color="auto" w:fill="F2F4F7"/>
          </w:tcPr>
          <w:p>
            <w:pPr>
              <w:spacing w:after="0" w:line="240" w:lineRule="auto"/>
            </w:pPr>
            <w:r/>
            <w:r>
              <w:rPr>
                <w:b/>
                <w:sz w:val="19"/>
              </w:rPr>
              <w:t>Excess over the guarantee</w:t>
            </w:r>
          </w:p>
        </w:tc>
        <w:tc>
          <w:tcPr>
            <w:tcW w:type="dxa" w:w="3402"/>
            <w:shd w:val="clear" w:color="auto" w:fill="F2F4F7"/>
          </w:tcPr>
          <w:p>
            <w:pPr>
              <w:spacing w:after="0" w:line="240" w:lineRule="auto"/>
            </w:pPr>
            <w:r/>
            <w:r>
              <w:rPr>
                <w:sz w:val="19"/>
              </w:rPr>
              <w:t>Settled from year 8</w:t>
            </w:r>
          </w:p>
        </w:tc>
        <w:tc>
          <w:tcPr>
            <w:tcW w:type="dxa" w:w="3005"/>
            <w:shd w:val="clear" w:color="auto" w:fill="F2F4F7"/>
          </w:tcPr>
          <w:p>
            <w:pPr>
              <w:spacing w:after="0" w:line="240" w:lineRule="auto"/>
            </w:pPr>
            <w:r/>
            <w:r>
              <w:rPr>
                <w:sz w:val="19"/>
              </w:rPr>
              <w:t>Settled from year 8</w:t>
            </w:r>
          </w:p>
        </w:tc>
      </w:tr>
      <w:tr>
        <w:trPr>
          <w:cantSplit/>
        </w:trPr>
        <w:tc>
          <w:tcPr>
            <w:tcW w:type="dxa" w:w="2835"/>
          </w:tcPr>
          <w:p>
            <w:pPr>
              <w:spacing w:after="0" w:line="240" w:lineRule="auto"/>
            </w:pPr>
            <w:r/>
            <w:r>
              <w:rPr>
                <w:b/>
                <w:sz w:val="19"/>
              </w:rPr>
              <w:t>Delivery</w:t>
            </w:r>
          </w:p>
        </w:tc>
        <w:tc>
          <w:tcPr>
            <w:tcW w:type="dxa" w:w="3402"/>
          </w:tcPr>
          <w:p>
            <w:pPr>
              <w:spacing w:after="0" w:line="240" w:lineRule="auto"/>
            </w:pPr>
            <w:r/>
            <w:r>
              <w:rPr>
                <w:sz w:val="19"/>
              </w:rPr>
              <w:t>Month 42</w:t>
            </w:r>
          </w:p>
        </w:tc>
        <w:tc>
          <w:tcPr>
            <w:tcW w:type="dxa" w:w="3005"/>
          </w:tcPr>
          <w:p>
            <w:pPr>
              <w:spacing w:after="0" w:line="240" w:lineRule="auto"/>
            </w:pPr>
            <w:r/>
            <w:r>
              <w:rPr>
                <w:sz w:val="19"/>
              </w:rPr>
              <w:t>Month 42</w:t>
            </w:r>
          </w:p>
        </w:tc>
      </w:tr>
    </w:tbl>
    <w:p>
      <w:pPr>
        <w:spacing w:after="80"/>
      </w:pPr>
    </w:p>
    <w:p>
      <w:pPr>
        <w:keepNext/>
        <w:spacing w:after="60"/>
      </w:pPr>
      <w:r>
        <w:rPr>
          <w:b/>
          <w:color w:val="17324D"/>
          <w:sz w:val="19"/>
        </w:rPr>
        <w:t>Table 9: Minimum guarantee schedules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033"/>
        <w:gridCol w:w="1033"/>
        <w:gridCol w:w="1033"/>
        <w:gridCol w:w="1033"/>
        <w:gridCol w:w="1033"/>
        <w:gridCol w:w="1033"/>
        <w:gridCol w:w="1033"/>
        <w:gridCol w:w="1033"/>
        <w:gridCol w:w="1033"/>
      </w:tblGrid>
      <w:tr>
        <w:trPr>
          <w:cantSplit/>
          <w:tblHeader/>
        </w:trPr>
        <w:tc>
          <w:tcPr>
            <w:tcW w:type="dxa" w:w="1928"/>
            <w:shd w:val="clear" w:color="auto" w:fill="17324D"/>
          </w:tcPr>
          <w:p>
            <w:pPr>
              <w:spacing w:after="0" w:line="240" w:lineRule="auto"/>
            </w:pPr>
            <w:r/>
            <w:r>
              <w:rPr>
                <w:b/>
                <w:color w:val="FFFFFF"/>
                <w:sz w:val="18"/>
              </w:rPr>
              <w:t>EGP million</w:t>
            </w:r>
          </w:p>
        </w:tc>
        <w:tc>
          <w:tcPr>
            <w:tcW w:type="dxa" w:w="1077"/>
            <w:shd w:val="clear" w:color="auto" w:fill="17324D"/>
          </w:tcPr>
          <w:p>
            <w:pPr>
              <w:spacing w:after="0" w:line="240" w:lineRule="auto"/>
              <w:jc w:val="right"/>
            </w:pPr>
            <w:r/>
            <w:r>
              <w:rPr>
                <w:b/>
                <w:color w:val="FFFFFF"/>
                <w:sz w:val="18"/>
              </w:rPr>
              <w:t>Down payment</w:t>
            </w:r>
          </w:p>
        </w:tc>
        <w:tc>
          <w:tcPr>
            <w:tcW w:type="dxa" w:w="850"/>
            <w:shd w:val="clear" w:color="auto" w:fill="17324D"/>
          </w:tcPr>
          <w:p>
            <w:pPr>
              <w:spacing w:after="0" w:line="240" w:lineRule="auto"/>
              <w:jc w:val="right"/>
            </w:pPr>
            <w:r/>
            <w:r>
              <w:rPr>
                <w:b/>
                <w:color w:val="FFFFFF"/>
                <w:sz w:val="18"/>
              </w:rPr>
              <w:t>Year 1</w:t>
            </w:r>
          </w:p>
        </w:tc>
        <w:tc>
          <w:tcPr>
            <w:tcW w:type="dxa" w:w="850"/>
            <w:shd w:val="clear" w:color="auto" w:fill="17324D"/>
          </w:tcPr>
          <w:p>
            <w:pPr>
              <w:spacing w:after="0" w:line="240" w:lineRule="auto"/>
              <w:jc w:val="right"/>
            </w:pPr>
            <w:r/>
            <w:r>
              <w:rPr>
                <w:b/>
                <w:color w:val="FFFFFF"/>
                <w:sz w:val="18"/>
              </w:rPr>
              <w:t>Year 2</w:t>
            </w:r>
          </w:p>
        </w:tc>
        <w:tc>
          <w:tcPr>
            <w:tcW w:type="dxa" w:w="850"/>
            <w:shd w:val="clear" w:color="auto" w:fill="17324D"/>
          </w:tcPr>
          <w:p>
            <w:pPr>
              <w:spacing w:after="0" w:line="240" w:lineRule="auto"/>
              <w:jc w:val="right"/>
            </w:pPr>
            <w:r/>
            <w:r>
              <w:rPr>
                <w:b/>
                <w:color w:val="FFFFFF"/>
                <w:sz w:val="18"/>
              </w:rPr>
              <w:t>Year 3</w:t>
            </w:r>
          </w:p>
        </w:tc>
        <w:tc>
          <w:tcPr>
            <w:tcW w:type="dxa" w:w="850"/>
            <w:shd w:val="clear" w:color="auto" w:fill="17324D"/>
          </w:tcPr>
          <w:p>
            <w:pPr>
              <w:spacing w:after="0" w:line="240" w:lineRule="auto"/>
              <w:jc w:val="right"/>
            </w:pPr>
            <w:r/>
            <w:r>
              <w:rPr>
                <w:b/>
                <w:color w:val="FFFFFF"/>
                <w:sz w:val="18"/>
              </w:rPr>
              <w:t>Year 4</w:t>
            </w:r>
          </w:p>
        </w:tc>
        <w:tc>
          <w:tcPr>
            <w:tcW w:type="dxa" w:w="850"/>
            <w:shd w:val="clear" w:color="auto" w:fill="17324D"/>
          </w:tcPr>
          <w:p>
            <w:pPr>
              <w:spacing w:after="0" w:line="240" w:lineRule="auto"/>
              <w:jc w:val="right"/>
            </w:pPr>
            <w:r/>
            <w:r>
              <w:rPr>
                <w:b/>
                <w:color w:val="FFFFFF"/>
                <w:sz w:val="18"/>
              </w:rPr>
              <w:t>Year 5</w:t>
            </w:r>
          </w:p>
        </w:tc>
        <w:tc>
          <w:tcPr>
            <w:tcW w:type="dxa" w:w="850"/>
            <w:shd w:val="clear" w:color="auto" w:fill="17324D"/>
          </w:tcPr>
          <w:p>
            <w:pPr>
              <w:spacing w:after="0" w:line="240" w:lineRule="auto"/>
              <w:jc w:val="right"/>
            </w:pPr>
            <w:r/>
            <w:r>
              <w:rPr>
                <w:b/>
                <w:color w:val="FFFFFF"/>
                <w:sz w:val="18"/>
              </w:rPr>
              <w:t>Year 6</w:t>
            </w:r>
          </w:p>
        </w:tc>
        <w:tc>
          <w:tcPr>
            <w:tcW w:type="dxa" w:w="907"/>
            <w:shd w:val="clear" w:color="auto" w:fill="17324D"/>
          </w:tcPr>
          <w:p>
            <w:pPr>
              <w:spacing w:after="0" w:line="240" w:lineRule="auto"/>
              <w:jc w:val="right"/>
            </w:pPr>
            <w:r/>
            <w:r>
              <w:rPr>
                <w:b/>
                <w:color w:val="FFFFFF"/>
                <w:sz w:val="18"/>
              </w:rPr>
              <w:t>Total</w:t>
            </w:r>
          </w:p>
        </w:tc>
      </w:tr>
      <w:tr>
        <w:trPr>
          <w:cantSplit/>
        </w:trPr>
        <w:tc>
          <w:tcPr>
            <w:tcW w:type="dxa" w:w="1928"/>
          </w:tcPr>
          <w:p>
            <w:pPr>
              <w:spacing w:after="0" w:line="240" w:lineRule="auto"/>
            </w:pPr>
            <w:r/>
            <w:r>
              <w:rPr>
                <w:sz w:val="18"/>
              </w:rPr>
              <w:t>Green Square</w:t>
            </w:r>
          </w:p>
        </w:tc>
        <w:tc>
          <w:tcPr>
            <w:tcW w:type="dxa" w:w="1077"/>
          </w:tcPr>
          <w:p>
            <w:pPr>
              <w:spacing w:after="0" w:line="240" w:lineRule="auto"/>
              <w:jc w:val="right"/>
            </w:pPr>
            <w:r/>
            <w:r>
              <w:rPr>
                <w:sz w:val="18"/>
              </w:rPr>
              <w:t>80</w:t>
            </w:r>
          </w:p>
        </w:tc>
        <w:tc>
          <w:tcPr>
            <w:tcW w:type="dxa" w:w="850"/>
          </w:tcPr>
          <w:p>
            <w:pPr>
              <w:spacing w:after="0" w:line="240" w:lineRule="auto"/>
              <w:jc w:val="right"/>
            </w:pPr>
            <w:r/>
            <w:r>
              <w:rPr>
                <w:sz w:val="18"/>
              </w:rPr>
              <w:t>45</w:t>
            </w:r>
          </w:p>
        </w:tc>
        <w:tc>
          <w:tcPr>
            <w:tcW w:type="dxa" w:w="850"/>
          </w:tcPr>
          <w:p>
            <w:pPr>
              <w:spacing w:after="0" w:line="240" w:lineRule="auto"/>
              <w:jc w:val="right"/>
            </w:pPr>
            <w:r/>
            <w:r>
              <w:rPr>
                <w:sz w:val="18"/>
              </w:rPr>
              <w:t>90</w:t>
            </w:r>
          </w:p>
        </w:tc>
        <w:tc>
          <w:tcPr>
            <w:tcW w:type="dxa" w:w="850"/>
          </w:tcPr>
          <w:p>
            <w:pPr>
              <w:spacing w:after="0" w:line="240" w:lineRule="auto"/>
              <w:jc w:val="right"/>
            </w:pPr>
            <w:r/>
            <w:r>
              <w:rPr>
                <w:sz w:val="18"/>
              </w:rPr>
              <w:t>135</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180</w:t>
            </w:r>
          </w:p>
        </w:tc>
        <w:tc>
          <w:tcPr>
            <w:tcW w:type="dxa" w:w="850"/>
          </w:tcPr>
          <w:p>
            <w:pPr>
              <w:spacing w:after="0" w:line="240" w:lineRule="auto"/>
              <w:jc w:val="right"/>
            </w:pPr>
            <w:r/>
            <w:r>
              <w:rPr>
                <w:sz w:val="18"/>
              </w:rPr>
              <w:t>90</w:t>
            </w:r>
          </w:p>
        </w:tc>
        <w:tc>
          <w:tcPr>
            <w:tcW w:type="dxa" w:w="907"/>
          </w:tcPr>
          <w:p>
            <w:pPr>
              <w:spacing w:after="0" w:line="240" w:lineRule="auto"/>
              <w:jc w:val="right"/>
            </w:pPr>
            <w:r/>
            <w:r>
              <w:rPr>
                <w:sz w:val="18"/>
              </w:rPr>
              <w:t>800</w:t>
            </w:r>
          </w:p>
        </w:tc>
      </w:tr>
      <w:tr>
        <w:trPr>
          <w:cantSplit/>
        </w:trPr>
        <w:tc>
          <w:tcPr>
            <w:tcW w:type="dxa" w:w="1928"/>
            <w:shd w:val="clear" w:color="auto" w:fill="F2F4F7"/>
          </w:tcPr>
          <w:p>
            <w:pPr>
              <w:spacing w:after="0" w:line="240" w:lineRule="auto"/>
            </w:pPr>
            <w:r/>
            <w:r>
              <w:rPr>
                <w:sz w:val="18"/>
              </w:rPr>
              <w:t>L'avenir</w:t>
            </w:r>
          </w:p>
        </w:tc>
        <w:tc>
          <w:tcPr>
            <w:tcW w:type="dxa" w:w="1077"/>
            <w:shd w:val="clear" w:color="auto" w:fill="F2F4F7"/>
          </w:tcPr>
          <w:p>
            <w:pPr>
              <w:spacing w:after="0" w:line="240" w:lineRule="auto"/>
              <w:jc w:val="right"/>
            </w:pPr>
            <w:r/>
            <w:r>
              <w:rPr>
                <w:sz w:val="18"/>
              </w:rPr>
              <w:t>85</w:t>
            </w:r>
          </w:p>
        </w:tc>
        <w:tc>
          <w:tcPr>
            <w:tcW w:type="dxa" w:w="850"/>
            <w:shd w:val="clear" w:color="auto" w:fill="F2F4F7"/>
          </w:tcPr>
          <w:p>
            <w:pPr>
              <w:spacing w:after="0" w:line="240" w:lineRule="auto"/>
              <w:jc w:val="right"/>
            </w:pPr>
            <w:r/>
            <w:r>
              <w:rPr>
                <w:sz w:val="18"/>
              </w:rPr>
              <w:t>0</w:t>
            </w:r>
          </w:p>
        </w:tc>
        <w:tc>
          <w:tcPr>
            <w:tcW w:type="dxa" w:w="850"/>
            <w:shd w:val="clear" w:color="auto" w:fill="F2F4F7"/>
          </w:tcPr>
          <w:p>
            <w:pPr>
              <w:spacing w:after="0" w:line="240" w:lineRule="auto"/>
              <w:jc w:val="right"/>
            </w:pPr>
            <w:r/>
            <w:r>
              <w:rPr>
                <w:sz w:val="18"/>
              </w:rPr>
              <w:t>90</w:t>
            </w:r>
          </w:p>
        </w:tc>
        <w:tc>
          <w:tcPr>
            <w:tcW w:type="dxa" w:w="850"/>
            <w:shd w:val="clear" w:color="auto" w:fill="F2F4F7"/>
          </w:tcPr>
          <w:p>
            <w:pPr>
              <w:spacing w:after="0" w:line="240" w:lineRule="auto"/>
              <w:jc w:val="right"/>
            </w:pPr>
            <w:r/>
            <w:r>
              <w:rPr>
                <w:sz w:val="18"/>
              </w:rPr>
              <w:t>180</w:t>
            </w:r>
          </w:p>
        </w:tc>
        <w:tc>
          <w:tcPr>
            <w:tcW w:type="dxa" w:w="850"/>
            <w:shd w:val="clear" w:color="auto" w:fill="F2F4F7"/>
          </w:tcPr>
          <w:p>
            <w:pPr>
              <w:spacing w:after="0" w:line="240" w:lineRule="auto"/>
              <w:jc w:val="right"/>
            </w:pPr>
            <w:r/>
            <w:r>
              <w:rPr>
                <w:sz w:val="18"/>
              </w:rPr>
              <w:t>225</w:t>
            </w:r>
          </w:p>
        </w:tc>
        <w:tc>
          <w:tcPr>
            <w:tcW w:type="dxa" w:w="850"/>
            <w:shd w:val="clear" w:color="auto" w:fill="F2F4F7"/>
          </w:tcPr>
          <w:p>
            <w:pPr>
              <w:spacing w:after="0" w:line="240" w:lineRule="auto"/>
              <w:jc w:val="right"/>
            </w:pPr>
            <w:r/>
            <w:r>
              <w:rPr>
                <w:sz w:val="18"/>
              </w:rPr>
              <w:t>180</w:t>
            </w:r>
          </w:p>
        </w:tc>
        <w:tc>
          <w:tcPr>
            <w:tcW w:type="dxa" w:w="850"/>
            <w:shd w:val="clear" w:color="auto" w:fill="F2F4F7"/>
          </w:tcPr>
          <w:p>
            <w:pPr>
              <w:spacing w:after="0" w:line="240" w:lineRule="auto"/>
              <w:jc w:val="right"/>
            </w:pPr>
            <w:r/>
            <w:r>
              <w:rPr>
                <w:sz w:val="18"/>
              </w:rPr>
              <w:t>90</w:t>
            </w:r>
          </w:p>
        </w:tc>
        <w:tc>
          <w:tcPr>
            <w:tcW w:type="dxa" w:w="907"/>
            <w:shd w:val="clear" w:color="auto" w:fill="F2F4F7"/>
          </w:tcPr>
          <w:p>
            <w:pPr>
              <w:spacing w:after="0" w:line="240" w:lineRule="auto"/>
              <w:jc w:val="right"/>
            </w:pPr>
            <w:r/>
            <w:r>
              <w:rPr>
                <w:sz w:val="18"/>
              </w:rPr>
              <w:t>850</w:t>
            </w:r>
          </w:p>
        </w:tc>
      </w:tr>
    </w:tbl>
    <w:p>
      <w:pPr>
        <w:spacing w:after="80"/>
      </w:pPr>
    </w:p>
    <w:p>
      <w:r>
        <w:rPr>
          <w:b w:val="0"/>
          <w:i w:val="0"/>
        </w:rPr>
        <w:t>In the plans the landlord receives EGP 986 million (Green Square) and EGP 1,170 million (L'avenir), calculated on the full project sales value (EGP 2,816 million and EGP 3,342 million) at modelled prices.</w:t>
      </w:r>
    </w:p>
    <w:p>
      <w:pPr>
        <w:pStyle w:val="Heading2"/>
      </w:pPr>
      <w:r>
        <w:t>6.1 Consents</w:t>
      </w:r>
    </w:p>
    <w:p>
      <w:pPr>
        <w:keepNext/>
      </w:pPr>
      <w:r>
        <w:rPr>
          <w:b w:val="0"/>
          <w:i w:val="0"/>
        </w:rPr>
        <w:t>Al Ahly Sabbour's written consent is required, in each project, for:</w:t>
      </w:r>
    </w:p>
    <w:p>
      <w:pPr>
        <w:pStyle w:val="ListBullet"/>
        <w:spacing w:after="60"/>
      </w:pPr>
      <w:r>
        <w:rPr>
          <w:b w:val="0"/>
          <w:i w:val="0"/>
        </w:rPr>
        <w:t>allocation of units to the investor (Option A) and the investor's right to assign the contract;</w:t>
      </w:r>
    </w:p>
    <w:p>
      <w:pPr>
        <w:pStyle w:val="ListBullet"/>
        <w:spacing w:after="60"/>
      </w:pPr>
      <w:r>
        <w:rPr>
          <w:b w:val="0"/>
          <w:i w:val="0"/>
        </w:rPr>
        <w:t>any assignment of collections or encumbrance on units that affects the landlord's 35% share;</w:t>
      </w:r>
    </w:p>
    <w:p>
      <w:pPr>
        <w:pStyle w:val="ListBullet"/>
        <w:spacing w:after="60"/>
      </w:pPr>
      <w:r>
        <w:rPr>
          <w:b w:val="0"/>
          <w:i w:val="0"/>
        </w:rPr>
        <w:t>earmarking of unsold units as collateral (Option B);</w:t>
      </w:r>
    </w:p>
    <w:p>
      <w:pPr>
        <w:pStyle w:val="ListBullet"/>
        <w:spacing w:after="60"/>
      </w:pPr>
      <w:r>
        <w:rPr>
          <w:b w:val="0"/>
          <w:i w:val="0"/>
        </w:rPr>
        <w:t>any variation of the unit mix, prices or payment plans that changes the landlord's entitlement.</w:t>
      </w:r>
    </w:p>
    <w:p>
      <w:r>
        <w:rPr>
          <w:b w:val="0"/>
          <w:i w:val="0"/>
        </w:rPr>
        <w:t>Under the structure proposed here Jalour bears the landlord's 35% on the units allocated to the investor: landlord payments are unchanged and the landlord does not waive any share. Consent status: [provided after the investor signs the non-disclosure agreement]. Receipt of consent is a condition precedent to signing.</w:t>
      </w:r>
    </w:p>
    <w:p>
      <w:pPr>
        <w:pStyle w:val="Heading1"/>
      </w:pPr>
      <w:r>
        <w:t>7. Sponsor and management</w:t>
      </w:r>
    </w:p>
    <w:p>
      <w:r>
        <w:rPr>
          <w:b w:val="0"/>
          <w:i w:val="0"/>
        </w:rPr>
        <w:t>Jalour Developments is the real estate arm of Al Jalal Holding, Cairo. In both projects it acts as developer and operator and carries all design, permit, construction, marketing, sales, collection and operating costs.</w:t>
      </w:r>
    </w:p>
    <w:p>
      <w:pPr>
        <w:keepNext/>
        <w:spacing w:after="60"/>
      </w:pPr>
      <w:r>
        <w:rPr>
          <w:b/>
          <w:color w:val="17324D"/>
          <w:sz w:val="19"/>
        </w:rPr>
        <w:t>Table 10: Sponsor information pending</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5669"/>
            <w:shd w:val="clear" w:color="auto" w:fill="17324D"/>
          </w:tcPr>
          <w:p>
            <w:pPr>
              <w:spacing w:after="0" w:line="240" w:lineRule="auto"/>
            </w:pPr>
            <w:r/>
            <w:r>
              <w:rPr>
                <w:b/>
                <w:color w:val="FFFFFF"/>
                <w:sz w:val="19"/>
              </w:rPr>
              <w:t>Information</w:t>
            </w:r>
          </w:p>
        </w:tc>
        <w:tc>
          <w:tcPr>
            <w:tcW w:type="dxa" w:w="3572"/>
            <w:shd w:val="clear" w:color="auto" w:fill="17324D"/>
          </w:tcPr>
          <w:p>
            <w:pPr>
              <w:spacing w:after="0" w:line="240" w:lineRule="auto"/>
            </w:pPr>
            <w:r/>
            <w:r>
              <w:rPr>
                <w:b/>
                <w:color w:val="FFFFFF"/>
                <w:sz w:val="19"/>
              </w:rPr>
              <w:t>Status</w:t>
            </w:r>
          </w:p>
        </w:tc>
      </w:tr>
      <w:tr>
        <w:trPr>
          <w:cantSplit/>
        </w:trPr>
        <w:tc>
          <w:tcPr>
            <w:tcW w:type="dxa" w:w="5669"/>
          </w:tcPr>
          <w:p>
            <w:pPr>
              <w:spacing w:after="0" w:line="240" w:lineRule="auto"/>
            </w:pPr>
            <w:r/>
            <w:r>
              <w:rPr>
                <w:sz w:val="19"/>
              </w:rPr>
              <w:t>Completed projects, area delivered, units handed over</w:t>
            </w:r>
          </w:p>
        </w:tc>
        <w:tc>
          <w:tcPr>
            <w:tcW w:type="dxa" w:w="3572"/>
          </w:tcPr>
          <w:p>
            <w:pPr>
              <w:spacing w:after="0" w:line="240" w:lineRule="auto"/>
            </w:pPr>
            <w:r/>
            <w:r>
              <w:rPr>
                <w:sz w:val="19"/>
              </w:rPr>
              <w:t>[Provided after the investor signs the non-disclosure agreement]</w:t>
            </w:r>
          </w:p>
        </w:tc>
      </w:tr>
      <w:tr>
        <w:trPr>
          <w:cantSplit/>
        </w:trPr>
        <w:tc>
          <w:tcPr>
            <w:tcW w:type="dxa" w:w="5669"/>
            <w:shd w:val="clear" w:color="auto" w:fill="F2F4F7"/>
          </w:tcPr>
          <w:p>
            <w:pPr>
              <w:spacing w:after="0" w:line="240" w:lineRule="auto"/>
            </w:pPr>
            <w:r/>
            <w:r>
              <w:rPr>
                <w:sz w:val="19"/>
              </w:rPr>
              <w:t>Management team biographies</w:t>
            </w:r>
          </w:p>
        </w:tc>
        <w:tc>
          <w:tcPr>
            <w:tcW w:type="dxa" w:w="3572"/>
            <w:shd w:val="clear" w:color="auto" w:fill="F2F4F7"/>
          </w:tcPr>
          <w:p>
            <w:pPr>
              <w:spacing w:after="0" w:line="240" w:lineRule="auto"/>
            </w:pPr>
            <w:r/>
            <w:r>
              <w:rPr>
                <w:sz w:val="19"/>
              </w:rPr>
              <w:t>[Provided after the investor signs the non-disclosure agreement]</w:t>
            </w:r>
          </w:p>
        </w:tc>
      </w:tr>
      <w:tr>
        <w:trPr>
          <w:cantSplit/>
        </w:trPr>
        <w:tc>
          <w:tcPr>
            <w:tcW w:type="dxa" w:w="5669"/>
          </w:tcPr>
          <w:p>
            <w:pPr>
              <w:spacing w:after="0" w:line="240" w:lineRule="auto"/>
            </w:pPr>
            <w:r/>
            <w:r>
              <w:rPr>
                <w:sz w:val="19"/>
              </w:rPr>
              <w:t>Audited financial statements, Jalour and Al Jalal Holding</w:t>
            </w:r>
          </w:p>
        </w:tc>
        <w:tc>
          <w:tcPr>
            <w:tcW w:type="dxa" w:w="3572"/>
          </w:tcPr>
          <w:p>
            <w:pPr>
              <w:spacing w:after="0" w:line="240" w:lineRule="auto"/>
            </w:pPr>
            <w:r/>
            <w:r>
              <w:rPr>
                <w:sz w:val="19"/>
              </w:rPr>
              <w:t>[Provided after the investor signs the non-disclosure agreement]</w:t>
            </w:r>
          </w:p>
        </w:tc>
      </w:tr>
      <w:tr>
        <w:trPr>
          <w:cantSplit/>
        </w:trPr>
        <w:tc>
          <w:tcPr>
            <w:tcW w:type="dxa" w:w="5669"/>
            <w:shd w:val="clear" w:color="auto" w:fill="F2F4F7"/>
          </w:tcPr>
          <w:p>
            <w:pPr>
              <w:spacing w:after="0" w:line="240" w:lineRule="auto"/>
            </w:pPr>
            <w:r/>
            <w:r>
              <w:rPr>
                <w:sz w:val="19"/>
              </w:rPr>
              <w:t>References from landlords, contractors and buyers</w:t>
            </w:r>
          </w:p>
        </w:tc>
        <w:tc>
          <w:tcPr>
            <w:tcW w:type="dxa" w:w="3572"/>
            <w:shd w:val="clear" w:color="auto" w:fill="F2F4F7"/>
          </w:tcPr>
          <w:p>
            <w:pPr>
              <w:spacing w:after="0" w:line="240" w:lineRule="auto"/>
            </w:pPr>
            <w:r/>
            <w:r>
              <w:rPr>
                <w:sz w:val="19"/>
              </w:rPr>
              <w:t>[Provided after the investor signs the non-disclosure agreement]</w:t>
            </w:r>
          </w:p>
        </w:tc>
      </w:tr>
      <w:tr>
        <w:trPr>
          <w:cantSplit/>
        </w:trPr>
        <w:tc>
          <w:tcPr>
            <w:tcW w:type="dxa" w:w="5669"/>
          </w:tcPr>
          <w:p>
            <w:pPr>
              <w:spacing w:after="0" w:line="240" w:lineRule="auto"/>
            </w:pPr>
            <w:r/>
            <w:r>
              <w:rPr>
                <w:sz w:val="19"/>
              </w:rPr>
              <w:t>Contractor and consultant appointments for each project</w:t>
            </w:r>
          </w:p>
        </w:tc>
        <w:tc>
          <w:tcPr>
            <w:tcW w:type="dxa" w:w="3572"/>
          </w:tcPr>
          <w:p>
            <w:pPr>
              <w:spacing w:after="0" w:line="240" w:lineRule="auto"/>
            </w:pPr>
            <w:r/>
            <w:r>
              <w:rPr>
                <w:sz w:val="19"/>
              </w:rPr>
              <w:t>[Provided after the investor signs the non-disclosure agreement]</w:t>
            </w:r>
          </w:p>
        </w:tc>
      </w:tr>
    </w:tbl>
    <w:p>
      <w:pPr>
        <w:spacing w:after="80"/>
      </w:pPr>
    </w:p>
    <w:p>
      <w:r>
        <w:rPr>
          <w:b w:val="0"/>
          <w:i w:val="0"/>
        </w:rPr>
        <w:t>Jalour has stated that it will cover project funding gaps, including those caused by timing differences in collections, from its cash reserves and from cash generated by other projects it is constructing. The form, amount and conditions of that undertaking are to be documented. It is a commitment to fund the projects, not a guarantee of the investor's return. Jalour's capacity therefore rests on its own cash reserves and on distributions from those other projects, which are subject to those projects' own agreements and progress and are not held for these projects. Jalour's audited accounts and track record are provided after the investor signs the non-disclosure agreement.</w:t>
      </w:r>
    </w:p>
    <w:p>
      <w:pPr>
        <w:pStyle w:val="Heading1"/>
        <w:pageBreakBefore/>
      </w:pPr>
      <w:r>
        <w:t>8. Business plan and assumptions</w:t>
      </w:r>
    </w:p>
    <w:p>
      <w:pPr>
        <w:keepNext/>
        <w:spacing w:after="60"/>
      </w:pPr>
      <w:r>
        <w:rPr>
          <w:b/>
          <w:color w:val="17324D"/>
          <w:sz w:val="19"/>
        </w:rPr>
        <w:t>Table 11: Key assumptions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041"/>
            <w:shd w:val="clear" w:color="auto" w:fill="17324D"/>
          </w:tcPr>
          <w:p>
            <w:pPr>
              <w:spacing w:after="0" w:line="240" w:lineRule="auto"/>
            </w:pPr>
            <w:r/>
            <w:r>
              <w:rPr>
                <w:b/>
                <w:color w:val="FFFFFF"/>
                <w:sz w:val="17"/>
              </w:rPr>
              <w:t>Assumption</w:t>
            </w:r>
          </w:p>
        </w:tc>
        <w:tc>
          <w:tcPr>
            <w:tcW w:type="dxa" w:w="2665"/>
            <w:shd w:val="clear" w:color="auto" w:fill="17324D"/>
          </w:tcPr>
          <w:p>
            <w:pPr>
              <w:spacing w:after="0" w:line="240" w:lineRule="auto"/>
            </w:pPr>
            <w:r/>
            <w:r>
              <w:rPr>
                <w:b/>
                <w:color w:val="FFFFFF"/>
                <w:sz w:val="17"/>
              </w:rPr>
              <w:t>Green Square</w:t>
            </w:r>
          </w:p>
        </w:tc>
        <w:tc>
          <w:tcPr>
            <w:tcW w:type="dxa" w:w="2381"/>
            <w:shd w:val="clear" w:color="auto" w:fill="17324D"/>
          </w:tcPr>
          <w:p>
            <w:pPr>
              <w:spacing w:after="0" w:line="240" w:lineRule="auto"/>
            </w:pPr>
            <w:r/>
            <w:r>
              <w:rPr>
                <w:b/>
                <w:color w:val="FFFFFF"/>
                <w:sz w:val="17"/>
              </w:rPr>
              <w:t>L'avenir</w:t>
            </w:r>
          </w:p>
        </w:tc>
        <w:tc>
          <w:tcPr>
            <w:tcW w:type="dxa" w:w="2154"/>
            <w:shd w:val="clear" w:color="auto" w:fill="17324D"/>
          </w:tcPr>
          <w:p>
            <w:pPr>
              <w:spacing w:after="0" w:line="240" w:lineRule="auto"/>
            </w:pPr>
            <w:r/>
            <w:r>
              <w:rPr>
                <w:b/>
                <w:color w:val="FFFFFF"/>
                <w:sz w:val="17"/>
              </w:rPr>
              <w:t>Basis</w:t>
            </w:r>
          </w:p>
        </w:tc>
      </w:tr>
      <w:tr>
        <w:trPr>
          <w:cantSplit/>
        </w:trPr>
        <w:tc>
          <w:tcPr>
            <w:tcW w:type="dxa" w:w="2041"/>
          </w:tcPr>
          <w:p>
            <w:pPr>
              <w:spacing w:after="0" w:line="240" w:lineRule="auto"/>
            </w:pPr>
            <w:r/>
            <w:r>
              <w:rPr>
                <w:sz w:val="17"/>
              </w:rPr>
              <w:t>Discount rate</w:t>
            </w:r>
          </w:p>
        </w:tc>
        <w:tc>
          <w:tcPr>
            <w:tcW w:type="dxa" w:w="2665"/>
          </w:tcPr>
          <w:p>
            <w:pPr>
              <w:spacing w:after="0" w:line="240" w:lineRule="auto"/>
            </w:pPr>
            <w:r/>
            <w:r>
              <w:rPr>
                <w:sz w:val="17"/>
              </w:rPr>
              <w:t>14% a year</w:t>
            </w:r>
          </w:p>
        </w:tc>
        <w:tc>
          <w:tcPr>
            <w:tcW w:type="dxa" w:w="2381"/>
          </w:tcPr>
          <w:p>
            <w:pPr>
              <w:spacing w:after="0" w:line="240" w:lineRule="auto"/>
            </w:pPr>
            <w:r/>
            <w:r>
              <w:rPr>
                <w:sz w:val="17"/>
              </w:rPr>
              <w:t>14% a year</w:t>
            </w:r>
          </w:p>
        </w:tc>
        <w:tc>
          <w:tcPr>
            <w:tcW w:type="dxa" w:w="2154"/>
          </w:tcPr>
          <w:p>
            <w:pPr>
              <w:spacing w:after="0" w:line="240" w:lineRule="auto"/>
            </w:pPr>
            <w:r/>
            <w:r>
              <w:rPr>
                <w:sz w:val="17"/>
              </w:rPr>
              <w:t>Jalour model (labelled cost of capital)</w:t>
            </w:r>
          </w:p>
        </w:tc>
      </w:tr>
      <w:tr>
        <w:trPr>
          <w:cantSplit/>
        </w:trPr>
        <w:tc>
          <w:tcPr>
            <w:tcW w:type="dxa" w:w="2041"/>
            <w:shd w:val="clear" w:color="auto" w:fill="F2F4F7"/>
          </w:tcPr>
          <w:p>
            <w:pPr>
              <w:spacing w:after="0" w:line="240" w:lineRule="auto"/>
            </w:pPr>
            <w:r/>
            <w:r>
              <w:rPr>
                <w:sz w:val="17"/>
              </w:rPr>
              <w:t>Sales plan</w:t>
            </w:r>
          </w:p>
        </w:tc>
        <w:tc>
          <w:tcPr>
            <w:tcW w:type="dxa" w:w="2665"/>
            <w:shd w:val="clear" w:color="auto" w:fill="F2F4F7"/>
          </w:tcPr>
          <w:p>
            <w:pPr>
              <w:spacing w:after="0" w:line="240" w:lineRule="auto"/>
            </w:pPr>
            <w:r/>
            <w:r>
              <w:rPr>
                <w:sz w:val="17"/>
              </w:rPr>
              <w:t>EGP 2,253 million over the sales window</w:t>
            </w:r>
          </w:p>
        </w:tc>
        <w:tc>
          <w:tcPr>
            <w:tcW w:type="dxa" w:w="2381"/>
            <w:shd w:val="clear" w:color="auto" w:fill="F2F4F7"/>
          </w:tcPr>
          <w:p>
            <w:pPr>
              <w:spacing w:after="0" w:line="240" w:lineRule="auto"/>
            </w:pPr>
            <w:r/>
            <w:r>
              <w:rPr>
                <w:sz w:val="17"/>
              </w:rPr>
              <w:t>EGP 2,674 million over the sales window</w:t>
            </w:r>
          </w:p>
        </w:tc>
        <w:tc>
          <w:tcPr>
            <w:tcW w:type="dxa" w:w="2154"/>
            <w:shd w:val="clear" w:color="auto" w:fill="F2F4F7"/>
          </w:tcPr>
          <w:p>
            <w:pPr>
              <w:spacing w:after="0" w:line="240" w:lineRule="auto"/>
            </w:pPr>
            <w:r/>
            <w:r>
              <w:rPr>
                <w:sz w:val="17"/>
              </w:rPr>
              <w:t>Jalour model</w:t>
            </w:r>
          </w:p>
        </w:tc>
      </w:tr>
      <w:tr>
        <w:trPr>
          <w:cantSplit/>
        </w:trPr>
        <w:tc>
          <w:tcPr>
            <w:tcW w:type="dxa" w:w="2041"/>
          </w:tcPr>
          <w:p>
            <w:pPr>
              <w:spacing w:after="0" w:line="240" w:lineRule="auto"/>
            </w:pPr>
            <w:r/>
            <w:r>
              <w:rPr>
                <w:sz w:val="17"/>
              </w:rPr>
              <w:t>Sales window</w:t>
            </w:r>
          </w:p>
        </w:tc>
        <w:tc>
          <w:tcPr>
            <w:tcW w:type="dxa" w:w="2665"/>
          </w:tcPr>
          <w:p>
            <w:pPr>
              <w:spacing w:after="0" w:line="240" w:lineRule="auto"/>
            </w:pPr>
            <w:r/>
            <w:r>
              <w:rPr>
                <w:sz w:val="17"/>
              </w:rPr>
              <w:t>Months 1 to 30</w:t>
            </w:r>
          </w:p>
        </w:tc>
        <w:tc>
          <w:tcPr>
            <w:tcW w:type="dxa" w:w="2381"/>
          </w:tcPr>
          <w:p>
            <w:pPr>
              <w:spacing w:after="0" w:line="240" w:lineRule="auto"/>
            </w:pPr>
            <w:r/>
            <w:r>
              <w:rPr>
                <w:sz w:val="17"/>
              </w:rPr>
              <w:t>Months 1 to 36</w:t>
            </w:r>
          </w:p>
        </w:tc>
        <w:tc>
          <w:tcPr>
            <w:tcW w:type="dxa" w:w="2154"/>
          </w:tcPr>
          <w:p>
            <w:pPr>
              <w:spacing w:after="0" w:line="240" w:lineRule="auto"/>
            </w:pPr>
            <w:r/>
            <w:r>
              <w:rPr>
                <w:sz w:val="17"/>
              </w:rPr>
              <w:t>Jalour model</w:t>
            </w:r>
          </w:p>
        </w:tc>
      </w:tr>
      <w:tr>
        <w:trPr>
          <w:cantSplit/>
        </w:trPr>
        <w:tc>
          <w:tcPr>
            <w:tcW w:type="dxa" w:w="2041"/>
            <w:shd w:val="clear" w:color="auto" w:fill="F2F4F7"/>
          </w:tcPr>
          <w:p>
            <w:pPr>
              <w:spacing w:after="0" w:line="240" w:lineRule="auto"/>
            </w:pPr>
            <w:r/>
            <w:r>
              <w:rPr>
                <w:sz w:val="17"/>
              </w:rPr>
              <w:t>Launch list prices (EGP per m2)</w:t>
            </w:r>
          </w:p>
        </w:tc>
        <w:tc>
          <w:tcPr>
            <w:tcW w:type="dxa" w:w="2665"/>
            <w:shd w:val="clear" w:color="auto" w:fill="F2F4F7"/>
          </w:tcPr>
          <w:p>
            <w:pPr>
              <w:spacing w:after="0" w:line="240" w:lineRule="auto"/>
            </w:pPr>
            <w:r/>
            <w:r>
              <w:rPr>
                <w:sz w:val="17"/>
              </w:rPr>
              <w:t>Retail 225,000; offices 135,000</w:t>
            </w:r>
          </w:p>
        </w:tc>
        <w:tc>
          <w:tcPr>
            <w:tcW w:type="dxa" w:w="2381"/>
            <w:shd w:val="clear" w:color="auto" w:fill="F2F4F7"/>
          </w:tcPr>
          <w:p>
            <w:pPr>
              <w:spacing w:after="0" w:line="240" w:lineRule="auto"/>
            </w:pPr>
            <w:r/>
            <w:r>
              <w:rPr>
                <w:sz w:val="17"/>
              </w:rPr>
              <w:t>Retail 250,000; offices 160,000</w:t>
            </w:r>
          </w:p>
        </w:tc>
        <w:tc>
          <w:tcPr>
            <w:tcW w:type="dxa" w:w="2154"/>
            <w:shd w:val="clear" w:color="auto" w:fill="F2F4F7"/>
          </w:tcPr>
          <w:p>
            <w:pPr>
              <w:spacing w:after="0" w:line="240" w:lineRule="auto"/>
            </w:pPr>
            <w:r/>
            <w:r>
              <w:rPr>
                <w:sz w:val="17"/>
              </w:rPr>
              <w:t>Jalour model, first sales column</w:t>
            </w:r>
          </w:p>
        </w:tc>
      </w:tr>
      <w:tr>
        <w:trPr>
          <w:cantSplit/>
        </w:trPr>
        <w:tc>
          <w:tcPr>
            <w:tcW w:type="dxa" w:w="2041"/>
          </w:tcPr>
          <w:p>
            <w:pPr>
              <w:spacing w:after="0" w:line="240" w:lineRule="auto"/>
            </w:pPr>
            <w:r/>
            <w:r>
              <w:rPr>
                <w:sz w:val="17"/>
              </w:rPr>
              <w:t>Delivery list prices (EGP per m2)</w:t>
            </w:r>
          </w:p>
        </w:tc>
        <w:tc>
          <w:tcPr>
            <w:tcW w:type="dxa" w:w="2665"/>
          </w:tcPr>
          <w:p>
            <w:pPr>
              <w:spacing w:after="0" w:line="240" w:lineRule="auto"/>
            </w:pPr>
            <w:r/>
            <w:r>
              <w:rPr>
                <w:sz w:val="17"/>
              </w:rPr>
              <w:t>Retail 300,000; offices 200,000</w:t>
            </w:r>
          </w:p>
        </w:tc>
        <w:tc>
          <w:tcPr>
            <w:tcW w:type="dxa" w:w="2381"/>
          </w:tcPr>
          <w:p>
            <w:pPr>
              <w:spacing w:after="0" w:line="240" w:lineRule="auto"/>
            </w:pPr>
            <w:r/>
            <w:r>
              <w:rPr>
                <w:sz w:val="17"/>
              </w:rPr>
              <w:t>Retail 360,000; offices 240,000</w:t>
            </w:r>
          </w:p>
        </w:tc>
        <w:tc>
          <w:tcPr>
            <w:tcW w:type="dxa" w:w="2154"/>
          </w:tcPr>
          <w:p>
            <w:pPr>
              <w:spacing w:after="0" w:line="240" w:lineRule="auto"/>
            </w:pPr>
            <w:r/>
            <w:r>
              <w:rPr>
                <w:sz w:val="17"/>
              </w:rPr>
              <w:t>Jalour model</w:t>
            </w:r>
          </w:p>
        </w:tc>
      </w:tr>
      <w:tr>
        <w:trPr>
          <w:cantSplit/>
        </w:trPr>
        <w:tc>
          <w:tcPr>
            <w:tcW w:type="dxa" w:w="2041"/>
            <w:shd w:val="clear" w:color="auto" w:fill="F2F4F7"/>
          </w:tcPr>
          <w:p>
            <w:pPr>
              <w:spacing w:after="0" w:line="240" w:lineRule="auto"/>
            </w:pPr>
            <w:r/>
            <w:r>
              <w:rPr>
                <w:sz w:val="17"/>
              </w:rPr>
              <w:t>Payment plans</w:t>
            </w:r>
          </w:p>
        </w:tc>
        <w:tc>
          <w:tcPr>
            <w:tcW w:type="dxa" w:w="2665"/>
            <w:shd w:val="clear" w:color="auto" w:fill="F2F4F7"/>
          </w:tcPr>
          <w:p>
            <w:pPr>
              <w:spacing w:after="0" w:line="240" w:lineRule="auto"/>
            </w:pPr>
            <w:r/>
            <w:r>
              <w:rPr>
                <w:sz w:val="17"/>
              </w:rPr>
              <w:t>Down payment 5% to 20%; second payment after 3 months; instalments 2 to 8 years; delivery payment 20% to 25%</w:t>
            </w:r>
          </w:p>
        </w:tc>
        <w:tc>
          <w:tcPr>
            <w:tcW w:type="dxa" w:w="2381"/>
            <w:shd w:val="clear" w:color="auto" w:fill="F2F4F7"/>
          </w:tcPr>
          <w:p>
            <w:pPr>
              <w:spacing w:after="0" w:line="240" w:lineRule="auto"/>
            </w:pPr>
            <w:r/>
            <w:r>
              <w:rPr>
                <w:sz w:val="17"/>
              </w:rPr>
              <w:t>Same structure</w:t>
            </w:r>
          </w:p>
        </w:tc>
        <w:tc>
          <w:tcPr>
            <w:tcW w:type="dxa" w:w="2154"/>
            <w:shd w:val="clear" w:color="auto" w:fill="F2F4F7"/>
          </w:tcPr>
          <w:p>
            <w:pPr>
              <w:spacing w:after="0" w:line="240" w:lineRule="auto"/>
            </w:pPr>
            <w:r/>
            <w:r>
              <w:rPr>
                <w:sz w:val="17"/>
              </w:rPr>
              <w:t>Jalour model</w:t>
            </w:r>
          </w:p>
        </w:tc>
      </w:tr>
      <w:tr>
        <w:trPr>
          <w:cantSplit/>
        </w:trPr>
        <w:tc>
          <w:tcPr>
            <w:tcW w:type="dxa" w:w="2041"/>
          </w:tcPr>
          <w:p>
            <w:pPr>
              <w:spacing w:after="0" w:line="240" w:lineRule="auto"/>
            </w:pPr>
            <w:r/>
            <w:r>
              <w:rPr>
                <w:sz w:val="17"/>
              </w:rPr>
              <w:t>Construction cost (EGP m)</w:t>
            </w:r>
          </w:p>
        </w:tc>
        <w:tc>
          <w:tcPr>
            <w:tcW w:type="dxa" w:w="2665"/>
          </w:tcPr>
          <w:p>
            <w:pPr>
              <w:spacing w:after="0" w:line="240" w:lineRule="auto"/>
            </w:pPr>
            <w:r/>
            <w:r>
              <w:rPr>
                <w:sz w:val="17"/>
              </w:rPr>
              <w:t>697.2, flat in nominal terms</w:t>
            </w:r>
          </w:p>
        </w:tc>
        <w:tc>
          <w:tcPr>
            <w:tcW w:type="dxa" w:w="2381"/>
          </w:tcPr>
          <w:p>
            <w:pPr>
              <w:spacing w:after="0" w:line="240" w:lineRule="auto"/>
            </w:pPr>
            <w:r/>
            <w:r>
              <w:rPr>
                <w:sz w:val="17"/>
              </w:rPr>
              <w:t>697.2, flat in nominal terms</w:t>
            </w:r>
          </w:p>
        </w:tc>
        <w:tc>
          <w:tcPr>
            <w:tcW w:type="dxa" w:w="2154"/>
          </w:tcPr>
          <w:p>
            <w:pPr>
              <w:spacing w:after="0" w:line="240" w:lineRule="auto"/>
            </w:pPr>
            <w:r/>
            <w:r>
              <w:rPr>
                <w:sz w:val="17"/>
              </w:rPr>
              <w:t>Jalour model</w:t>
            </w:r>
          </w:p>
        </w:tc>
      </w:tr>
      <w:tr>
        <w:trPr>
          <w:cantSplit/>
        </w:trPr>
        <w:tc>
          <w:tcPr>
            <w:tcW w:type="dxa" w:w="2041"/>
            <w:shd w:val="clear" w:color="auto" w:fill="F2F4F7"/>
          </w:tcPr>
          <w:p>
            <w:pPr>
              <w:spacing w:after="0" w:line="240" w:lineRule="auto"/>
            </w:pPr>
            <w:r/>
            <w:r>
              <w:rPr>
                <w:sz w:val="17"/>
              </w:rPr>
              <w:t>Sales commission</w:t>
            </w:r>
          </w:p>
        </w:tc>
        <w:tc>
          <w:tcPr>
            <w:tcW w:type="dxa" w:w="2665"/>
            <w:shd w:val="clear" w:color="auto" w:fill="F2F4F7"/>
          </w:tcPr>
          <w:p>
            <w:pPr>
              <w:spacing w:after="0" w:line="240" w:lineRule="auto"/>
            </w:pPr>
            <w:r/>
            <w:r>
              <w:rPr>
                <w:sz w:val="17"/>
              </w:rPr>
              <w:t>4% of sales value, paid 12 months after the sale quarter</w:t>
            </w:r>
          </w:p>
        </w:tc>
        <w:tc>
          <w:tcPr>
            <w:tcW w:type="dxa" w:w="2381"/>
            <w:shd w:val="clear" w:color="auto" w:fill="F2F4F7"/>
          </w:tcPr>
          <w:p>
            <w:pPr>
              <w:spacing w:after="0" w:line="240" w:lineRule="auto"/>
            </w:pPr>
            <w:r/>
            <w:r>
              <w:rPr>
                <w:sz w:val="17"/>
              </w:rPr>
              <w:t>Same</w:t>
            </w:r>
          </w:p>
        </w:tc>
        <w:tc>
          <w:tcPr>
            <w:tcW w:type="dxa" w:w="2154"/>
            <w:shd w:val="clear" w:color="auto" w:fill="F2F4F7"/>
          </w:tcPr>
          <w:p>
            <w:pPr>
              <w:spacing w:after="0" w:line="240" w:lineRule="auto"/>
            </w:pPr>
            <w:r/>
            <w:r>
              <w:rPr>
                <w:sz w:val="17"/>
              </w:rPr>
              <w:t>Jalour model</w:t>
            </w:r>
          </w:p>
        </w:tc>
      </w:tr>
      <w:tr>
        <w:trPr>
          <w:cantSplit/>
        </w:trPr>
        <w:tc>
          <w:tcPr>
            <w:tcW w:type="dxa" w:w="2041"/>
          </w:tcPr>
          <w:p>
            <w:pPr>
              <w:spacing w:after="0" w:line="240" w:lineRule="auto"/>
            </w:pPr>
            <w:r/>
            <w:r>
              <w:rPr>
                <w:sz w:val="17"/>
              </w:rPr>
              <w:t>SG&amp;A and others</w:t>
            </w:r>
          </w:p>
        </w:tc>
        <w:tc>
          <w:tcPr>
            <w:tcW w:type="dxa" w:w="2665"/>
          </w:tcPr>
          <w:p>
            <w:pPr>
              <w:spacing w:after="0" w:line="240" w:lineRule="auto"/>
            </w:pPr>
            <w:r/>
            <w:r>
              <w:rPr>
                <w:sz w:val="17"/>
              </w:rPr>
              <w:t>15% of construction cost</w:t>
            </w:r>
          </w:p>
        </w:tc>
        <w:tc>
          <w:tcPr>
            <w:tcW w:type="dxa" w:w="2381"/>
          </w:tcPr>
          <w:p>
            <w:pPr>
              <w:spacing w:after="0" w:line="240" w:lineRule="auto"/>
            </w:pPr>
            <w:r/>
            <w:r>
              <w:rPr>
                <w:sz w:val="17"/>
              </w:rPr>
              <w:t>Same</w:t>
            </w:r>
          </w:p>
        </w:tc>
        <w:tc>
          <w:tcPr>
            <w:tcW w:type="dxa" w:w="2154"/>
          </w:tcPr>
          <w:p>
            <w:pPr>
              <w:spacing w:after="0" w:line="240" w:lineRule="auto"/>
            </w:pPr>
            <w:r/>
            <w:r>
              <w:rPr>
                <w:sz w:val="17"/>
              </w:rPr>
              <w:t>Jalour model</w:t>
            </w:r>
          </w:p>
        </w:tc>
      </w:tr>
      <w:tr>
        <w:trPr>
          <w:cantSplit/>
        </w:trPr>
        <w:tc>
          <w:tcPr>
            <w:tcW w:type="dxa" w:w="2041"/>
            <w:shd w:val="clear" w:color="auto" w:fill="F2F4F7"/>
          </w:tcPr>
          <w:p>
            <w:pPr>
              <w:spacing w:after="0" w:line="240" w:lineRule="auto"/>
            </w:pPr>
            <w:r/>
            <w:r>
              <w:rPr>
                <w:sz w:val="17"/>
              </w:rPr>
              <w:t>Investor funding month</w:t>
            </w:r>
          </w:p>
        </w:tc>
        <w:tc>
          <w:tcPr>
            <w:tcW w:type="dxa" w:w="2665"/>
            <w:shd w:val="clear" w:color="auto" w:fill="F2F4F7"/>
          </w:tcPr>
          <w:p>
            <w:pPr>
              <w:spacing w:after="0" w:line="240" w:lineRule="auto"/>
            </w:pPr>
            <w:r/>
            <w:r>
              <w:rPr>
                <w:sz w:val="17"/>
              </w:rPr>
              <w:t>3</w:t>
            </w:r>
          </w:p>
        </w:tc>
        <w:tc>
          <w:tcPr>
            <w:tcW w:type="dxa" w:w="2381"/>
            <w:shd w:val="clear" w:color="auto" w:fill="F2F4F7"/>
          </w:tcPr>
          <w:p>
            <w:pPr>
              <w:spacing w:after="0" w:line="240" w:lineRule="auto"/>
            </w:pPr>
            <w:r/>
            <w:r>
              <w:rPr>
                <w:sz w:val="17"/>
              </w:rPr>
              <w:t>12</w:t>
            </w:r>
          </w:p>
        </w:tc>
        <w:tc>
          <w:tcPr>
            <w:tcW w:type="dxa" w:w="2154"/>
            <w:shd w:val="clear" w:color="auto" w:fill="F2F4F7"/>
          </w:tcPr>
          <w:p>
            <w:pPr>
              <w:spacing w:after="0" w:line="240" w:lineRule="auto"/>
            </w:pPr>
            <w:r/>
            <w:r>
              <w:rPr>
                <w:sz w:val="17"/>
              </w:rPr>
              <w:t>Month the landlord down payment falls due</w:t>
            </w:r>
          </w:p>
        </w:tc>
      </w:tr>
    </w:tbl>
    <w:p>
      <w:pPr>
        <w:spacing w:after="80"/>
      </w:pPr>
    </w:p>
    <w:p>
      <w:r>
        <w:rPr>
          <w:b w:val="0"/>
          <w:i w:val="0"/>
        </w:rPr>
        <w:t>The model is quarterly, in EGP million. Net cash flow equals collections less landlord payments, construction, commission and SG&amp;A. It excludes any financing costs and taxes, and any cost escalation.</w:t>
      </w:r>
    </w:p>
    <w:p>
      <w:pPr>
        <w:pStyle w:val="Heading1"/>
        <w:pageBreakBefore/>
      </w:pPr>
      <w:r>
        <w:t>9. Sales and collections model</w:t>
      </w:r>
    </w:p>
    <w:p>
      <w:pPr>
        <w:pStyle w:val="Heading2"/>
      </w:pPr>
      <w:r>
        <w:t>9.1 Green Square</w:t>
      </w:r>
    </w:p>
    <w:p>
      <w:pPr>
        <w:keepNext/>
        <w:spacing w:after="60"/>
      </w:pPr>
      <w:r>
        <w:rPr>
          <w:b/>
          <w:color w:val="17324D"/>
          <w:sz w:val="19"/>
        </w:rPr>
        <w:t>Table 12: Green Square: sales plan by tranche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7"/>
              </w:rPr>
              <w:t>Quarter of sale</w:t>
            </w:r>
          </w:p>
        </w:tc>
        <w:tc>
          <w:tcPr>
            <w:tcW w:type="dxa" w:w="1701"/>
            <w:shd w:val="clear" w:color="auto" w:fill="17324D"/>
          </w:tcPr>
          <w:p>
            <w:pPr>
              <w:spacing w:after="0" w:line="240" w:lineRule="auto"/>
              <w:jc w:val="right"/>
            </w:pPr>
            <w:r/>
            <w:r>
              <w:rPr>
                <w:b/>
                <w:color w:val="FFFFFF"/>
                <w:sz w:val="17"/>
              </w:rPr>
              <w:t>Retail (EGP m)</w:t>
            </w:r>
          </w:p>
        </w:tc>
        <w:tc>
          <w:tcPr>
            <w:tcW w:type="dxa" w:w="1814"/>
            <w:shd w:val="clear" w:color="auto" w:fill="17324D"/>
          </w:tcPr>
          <w:p>
            <w:pPr>
              <w:spacing w:after="0" w:line="240" w:lineRule="auto"/>
              <w:jc w:val="right"/>
            </w:pPr>
            <w:r/>
            <w:r>
              <w:rPr>
                <w:b/>
                <w:color w:val="FFFFFF"/>
                <w:sz w:val="17"/>
              </w:rPr>
              <w:t>Offices (EGP m)</w:t>
            </w:r>
          </w:p>
        </w:tc>
        <w:tc>
          <w:tcPr>
            <w:tcW w:type="dxa" w:w="1928"/>
            <w:shd w:val="clear" w:color="auto" w:fill="17324D"/>
          </w:tcPr>
          <w:p>
            <w:pPr>
              <w:spacing w:after="0" w:line="240" w:lineRule="auto"/>
              <w:jc w:val="right"/>
            </w:pPr>
            <w:r/>
            <w:r>
              <w:rPr>
                <w:b/>
                <w:color w:val="FFFFFF"/>
                <w:sz w:val="17"/>
              </w:rPr>
              <w:t>Retail price (EGP k/m2)</w:t>
            </w:r>
          </w:p>
        </w:tc>
        <w:tc>
          <w:tcPr>
            <w:tcW w:type="dxa" w:w="1871"/>
            <w:shd w:val="clear" w:color="auto" w:fill="17324D"/>
          </w:tcPr>
          <w:p>
            <w:pPr>
              <w:spacing w:after="0" w:line="240" w:lineRule="auto"/>
              <w:jc w:val="right"/>
            </w:pPr>
            <w:r/>
            <w:r>
              <w:rPr>
                <w:b/>
                <w:color w:val="FFFFFF"/>
                <w:sz w:val="17"/>
              </w:rPr>
              <w:t>Office price (EGP k/m2)</w:t>
            </w:r>
          </w:p>
        </w:tc>
      </w:tr>
      <w:tr>
        <w:trPr>
          <w:cantSplit/>
        </w:trPr>
        <w:tc>
          <w:tcPr>
            <w:tcW w:type="dxa" w:w="1928"/>
          </w:tcPr>
          <w:p>
            <w:pPr>
              <w:spacing w:after="0" w:line="240" w:lineRule="auto"/>
            </w:pPr>
            <w:r/>
            <w:r>
              <w:rPr>
                <w:sz w:val="17"/>
              </w:rPr>
              <w:t>Month 3</w:t>
            </w:r>
          </w:p>
        </w:tc>
        <w:tc>
          <w:tcPr>
            <w:tcW w:type="dxa" w:w="1701"/>
          </w:tcPr>
          <w:p>
            <w:pPr>
              <w:spacing w:after="0" w:line="240" w:lineRule="auto"/>
              <w:jc w:val="right"/>
            </w:pPr>
            <w:r/>
            <w:r>
              <w:rPr>
                <w:sz w:val="17"/>
              </w:rPr>
              <w:t>97.7</w:t>
            </w:r>
          </w:p>
        </w:tc>
        <w:tc>
          <w:tcPr>
            <w:tcW w:type="dxa" w:w="1814"/>
          </w:tcPr>
          <w:p>
            <w:pPr>
              <w:spacing w:after="0" w:line="240" w:lineRule="auto"/>
              <w:jc w:val="right"/>
            </w:pPr>
            <w:r/>
            <w:r>
              <w:rPr>
                <w:sz w:val="17"/>
              </w:rPr>
              <w:t>205.1</w:t>
            </w:r>
          </w:p>
        </w:tc>
        <w:tc>
          <w:tcPr>
            <w:tcW w:type="dxa" w:w="1928"/>
          </w:tcPr>
          <w:p>
            <w:pPr>
              <w:spacing w:after="0" w:line="240" w:lineRule="auto"/>
              <w:jc w:val="right"/>
            </w:pPr>
            <w:r/>
            <w:r>
              <w:rPr>
                <w:sz w:val="17"/>
              </w:rPr>
              <w:t>225</w:t>
            </w:r>
          </w:p>
        </w:tc>
        <w:tc>
          <w:tcPr>
            <w:tcW w:type="dxa" w:w="1871"/>
          </w:tcPr>
          <w:p>
            <w:pPr>
              <w:spacing w:after="0" w:line="240" w:lineRule="auto"/>
              <w:jc w:val="right"/>
            </w:pPr>
            <w:r/>
            <w:r>
              <w:rPr>
                <w:sz w:val="17"/>
              </w:rPr>
              <w:t>135</w:t>
            </w:r>
          </w:p>
        </w:tc>
      </w:tr>
      <w:tr>
        <w:trPr>
          <w:cantSplit/>
        </w:trPr>
        <w:tc>
          <w:tcPr>
            <w:tcW w:type="dxa" w:w="1928"/>
            <w:shd w:val="clear" w:color="auto" w:fill="F2F4F7"/>
          </w:tcPr>
          <w:p>
            <w:pPr>
              <w:spacing w:after="0" w:line="240" w:lineRule="auto"/>
            </w:pPr>
            <w:r/>
            <w:r>
              <w:rPr>
                <w:sz w:val="17"/>
              </w:rPr>
              <w:t>Month 6</w:t>
            </w:r>
          </w:p>
        </w:tc>
        <w:tc>
          <w:tcPr>
            <w:tcW w:type="dxa" w:w="1701"/>
            <w:shd w:val="clear" w:color="auto" w:fill="F2F4F7"/>
          </w:tcPr>
          <w:p>
            <w:pPr>
              <w:spacing w:after="0" w:line="240" w:lineRule="auto"/>
              <w:jc w:val="right"/>
            </w:pPr>
            <w:r/>
            <w:r>
              <w:rPr>
                <w:sz w:val="17"/>
              </w:rPr>
              <w:t>97.7</w:t>
            </w:r>
          </w:p>
        </w:tc>
        <w:tc>
          <w:tcPr>
            <w:tcW w:type="dxa" w:w="1814"/>
            <w:shd w:val="clear" w:color="auto" w:fill="F2F4F7"/>
          </w:tcPr>
          <w:p>
            <w:pPr>
              <w:spacing w:after="0" w:line="240" w:lineRule="auto"/>
              <w:jc w:val="right"/>
            </w:pPr>
            <w:r/>
            <w:r>
              <w:rPr>
                <w:sz w:val="17"/>
              </w:rPr>
              <w:t>205.1</w:t>
            </w:r>
          </w:p>
        </w:tc>
        <w:tc>
          <w:tcPr>
            <w:tcW w:type="dxa" w:w="1928"/>
            <w:shd w:val="clear" w:color="auto" w:fill="F2F4F7"/>
          </w:tcPr>
          <w:p>
            <w:pPr>
              <w:spacing w:after="0" w:line="240" w:lineRule="auto"/>
              <w:jc w:val="right"/>
            </w:pPr>
            <w:r/>
            <w:r>
              <w:rPr>
                <w:sz w:val="17"/>
              </w:rPr>
              <w:t>225</w:t>
            </w:r>
          </w:p>
        </w:tc>
        <w:tc>
          <w:tcPr>
            <w:tcW w:type="dxa" w:w="1871"/>
            <w:shd w:val="clear" w:color="auto" w:fill="F2F4F7"/>
          </w:tcPr>
          <w:p>
            <w:pPr>
              <w:spacing w:after="0" w:line="240" w:lineRule="auto"/>
              <w:jc w:val="right"/>
            </w:pPr>
            <w:r/>
            <w:r>
              <w:rPr>
                <w:sz w:val="17"/>
              </w:rPr>
              <w:t>135</w:t>
            </w:r>
          </w:p>
        </w:tc>
      </w:tr>
      <w:tr>
        <w:trPr>
          <w:cantSplit/>
        </w:trPr>
        <w:tc>
          <w:tcPr>
            <w:tcW w:type="dxa" w:w="1928"/>
          </w:tcPr>
          <w:p>
            <w:pPr>
              <w:spacing w:after="0" w:line="240" w:lineRule="auto"/>
            </w:pPr>
            <w:r/>
            <w:r>
              <w:rPr>
                <w:sz w:val="17"/>
              </w:rPr>
              <w:t>Month 9</w:t>
            </w:r>
          </w:p>
        </w:tc>
        <w:tc>
          <w:tcPr>
            <w:tcW w:type="dxa" w:w="1701"/>
          </w:tcPr>
          <w:p>
            <w:pPr>
              <w:spacing w:after="0" w:line="240" w:lineRule="auto"/>
              <w:jc w:val="right"/>
            </w:pPr>
            <w:r/>
            <w:r>
              <w:rPr>
                <w:sz w:val="17"/>
              </w:rPr>
              <w:t>76.0</w:t>
            </w:r>
          </w:p>
        </w:tc>
        <w:tc>
          <w:tcPr>
            <w:tcW w:type="dxa" w:w="1814"/>
          </w:tcPr>
          <w:p>
            <w:pPr>
              <w:spacing w:after="0" w:line="240" w:lineRule="auto"/>
              <w:jc w:val="right"/>
            </w:pPr>
            <w:r/>
            <w:r>
              <w:rPr>
                <w:sz w:val="17"/>
              </w:rPr>
              <w:t>162.1</w:t>
            </w:r>
          </w:p>
        </w:tc>
        <w:tc>
          <w:tcPr>
            <w:tcW w:type="dxa" w:w="1928"/>
          </w:tcPr>
          <w:p>
            <w:pPr>
              <w:spacing w:after="0" w:line="240" w:lineRule="auto"/>
              <w:jc w:val="right"/>
            </w:pPr>
            <w:r/>
            <w:r>
              <w:rPr>
                <w:sz w:val="17"/>
              </w:rPr>
              <w:t>250</w:t>
            </w:r>
          </w:p>
        </w:tc>
        <w:tc>
          <w:tcPr>
            <w:tcW w:type="dxa" w:w="1871"/>
          </w:tcPr>
          <w:p>
            <w:pPr>
              <w:spacing w:after="0" w:line="240" w:lineRule="auto"/>
              <w:jc w:val="right"/>
            </w:pPr>
            <w:r/>
            <w:r>
              <w:rPr>
                <w:sz w:val="17"/>
              </w:rPr>
              <w:t>160</w:t>
            </w:r>
          </w:p>
        </w:tc>
      </w:tr>
      <w:tr>
        <w:trPr>
          <w:cantSplit/>
        </w:trPr>
        <w:tc>
          <w:tcPr>
            <w:tcW w:type="dxa" w:w="1928"/>
            <w:shd w:val="clear" w:color="auto" w:fill="F2F4F7"/>
          </w:tcPr>
          <w:p>
            <w:pPr>
              <w:spacing w:after="0" w:line="240" w:lineRule="auto"/>
            </w:pPr>
            <w:r/>
            <w:r>
              <w:rPr>
                <w:sz w:val="17"/>
              </w:rPr>
              <w:t>Month 12</w:t>
            </w:r>
          </w:p>
        </w:tc>
        <w:tc>
          <w:tcPr>
            <w:tcW w:type="dxa" w:w="1701"/>
            <w:shd w:val="clear" w:color="auto" w:fill="F2F4F7"/>
          </w:tcPr>
          <w:p>
            <w:pPr>
              <w:spacing w:after="0" w:line="240" w:lineRule="auto"/>
              <w:jc w:val="right"/>
            </w:pPr>
            <w:r/>
            <w:r>
              <w:rPr>
                <w:sz w:val="17"/>
              </w:rPr>
              <w:t>76.0</w:t>
            </w:r>
          </w:p>
        </w:tc>
        <w:tc>
          <w:tcPr>
            <w:tcW w:type="dxa" w:w="1814"/>
            <w:shd w:val="clear" w:color="auto" w:fill="F2F4F7"/>
          </w:tcPr>
          <w:p>
            <w:pPr>
              <w:spacing w:after="0" w:line="240" w:lineRule="auto"/>
              <w:jc w:val="right"/>
            </w:pPr>
            <w:r/>
            <w:r>
              <w:rPr>
                <w:sz w:val="17"/>
              </w:rPr>
              <w:t>162.1</w:t>
            </w:r>
          </w:p>
        </w:tc>
        <w:tc>
          <w:tcPr>
            <w:tcW w:type="dxa" w:w="1928"/>
            <w:shd w:val="clear" w:color="auto" w:fill="F2F4F7"/>
          </w:tcPr>
          <w:p>
            <w:pPr>
              <w:spacing w:after="0" w:line="240" w:lineRule="auto"/>
              <w:jc w:val="right"/>
            </w:pPr>
            <w:r/>
            <w:r>
              <w:rPr>
                <w:sz w:val="17"/>
              </w:rPr>
              <w:t>250</w:t>
            </w:r>
          </w:p>
        </w:tc>
        <w:tc>
          <w:tcPr>
            <w:tcW w:type="dxa" w:w="1871"/>
            <w:shd w:val="clear" w:color="auto" w:fill="F2F4F7"/>
          </w:tcPr>
          <w:p>
            <w:pPr>
              <w:spacing w:after="0" w:line="240" w:lineRule="auto"/>
              <w:jc w:val="right"/>
            </w:pPr>
            <w:r/>
            <w:r>
              <w:rPr>
                <w:sz w:val="17"/>
              </w:rPr>
              <w:t>160</w:t>
            </w:r>
          </w:p>
        </w:tc>
      </w:tr>
      <w:tr>
        <w:trPr>
          <w:cantSplit/>
        </w:trPr>
        <w:tc>
          <w:tcPr>
            <w:tcW w:type="dxa" w:w="1928"/>
          </w:tcPr>
          <w:p>
            <w:pPr>
              <w:spacing w:after="0" w:line="240" w:lineRule="auto"/>
            </w:pPr>
            <w:r/>
            <w:r>
              <w:rPr>
                <w:sz w:val="17"/>
              </w:rPr>
              <w:t>Month 15</w:t>
            </w:r>
          </w:p>
        </w:tc>
        <w:tc>
          <w:tcPr>
            <w:tcW w:type="dxa" w:w="1701"/>
          </w:tcPr>
          <w:p>
            <w:pPr>
              <w:spacing w:after="0" w:line="240" w:lineRule="auto"/>
              <w:jc w:val="right"/>
            </w:pPr>
            <w:r/>
            <w:r>
              <w:rPr>
                <w:sz w:val="17"/>
              </w:rPr>
              <w:t>83.6</w:t>
            </w:r>
          </w:p>
        </w:tc>
        <w:tc>
          <w:tcPr>
            <w:tcW w:type="dxa" w:w="1814"/>
          </w:tcPr>
          <w:p>
            <w:pPr>
              <w:spacing w:after="0" w:line="240" w:lineRule="auto"/>
              <w:jc w:val="right"/>
            </w:pPr>
            <w:r/>
            <w:r>
              <w:rPr>
                <w:sz w:val="17"/>
              </w:rPr>
              <w:t>91.2</w:t>
            </w:r>
          </w:p>
        </w:tc>
        <w:tc>
          <w:tcPr>
            <w:tcW w:type="dxa" w:w="1928"/>
          </w:tcPr>
          <w:p>
            <w:pPr>
              <w:spacing w:after="0" w:line="240" w:lineRule="auto"/>
              <w:jc w:val="right"/>
            </w:pPr>
            <w:r/>
            <w:r>
              <w:rPr>
                <w:sz w:val="17"/>
              </w:rPr>
              <w:t>275</w:t>
            </w:r>
          </w:p>
        </w:tc>
        <w:tc>
          <w:tcPr>
            <w:tcW w:type="dxa" w:w="1871"/>
          </w:tcPr>
          <w:p>
            <w:pPr>
              <w:spacing w:after="0" w:line="240" w:lineRule="auto"/>
              <w:jc w:val="right"/>
            </w:pPr>
            <w:r/>
            <w:r>
              <w:rPr>
                <w:sz w:val="17"/>
              </w:rPr>
              <w:t>180</w:t>
            </w:r>
          </w:p>
        </w:tc>
      </w:tr>
      <w:tr>
        <w:trPr>
          <w:cantSplit/>
        </w:trPr>
        <w:tc>
          <w:tcPr>
            <w:tcW w:type="dxa" w:w="1928"/>
            <w:shd w:val="clear" w:color="auto" w:fill="F2F4F7"/>
          </w:tcPr>
          <w:p>
            <w:pPr>
              <w:spacing w:after="0" w:line="240" w:lineRule="auto"/>
            </w:pPr>
            <w:r/>
            <w:r>
              <w:rPr>
                <w:sz w:val="17"/>
              </w:rPr>
              <w:t>Month 18</w:t>
            </w:r>
          </w:p>
        </w:tc>
        <w:tc>
          <w:tcPr>
            <w:tcW w:type="dxa" w:w="1701"/>
            <w:shd w:val="clear" w:color="auto" w:fill="F2F4F7"/>
          </w:tcPr>
          <w:p>
            <w:pPr>
              <w:spacing w:after="0" w:line="240" w:lineRule="auto"/>
              <w:jc w:val="right"/>
            </w:pPr>
            <w:r/>
            <w:r>
              <w:rPr>
                <w:sz w:val="17"/>
              </w:rPr>
              <w:t>83.6</w:t>
            </w:r>
          </w:p>
        </w:tc>
        <w:tc>
          <w:tcPr>
            <w:tcW w:type="dxa" w:w="1814"/>
            <w:shd w:val="clear" w:color="auto" w:fill="F2F4F7"/>
          </w:tcPr>
          <w:p>
            <w:pPr>
              <w:spacing w:after="0" w:line="240" w:lineRule="auto"/>
              <w:jc w:val="right"/>
            </w:pPr>
            <w:r/>
            <w:r>
              <w:rPr>
                <w:sz w:val="17"/>
              </w:rPr>
              <w:t>91.2</w:t>
            </w:r>
          </w:p>
        </w:tc>
        <w:tc>
          <w:tcPr>
            <w:tcW w:type="dxa" w:w="1928"/>
            <w:shd w:val="clear" w:color="auto" w:fill="F2F4F7"/>
          </w:tcPr>
          <w:p>
            <w:pPr>
              <w:spacing w:after="0" w:line="240" w:lineRule="auto"/>
              <w:jc w:val="right"/>
            </w:pPr>
            <w:r/>
            <w:r>
              <w:rPr>
                <w:sz w:val="17"/>
              </w:rPr>
              <w:t>275</w:t>
            </w:r>
          </w:p>
        </w:tc>
        <w:tc>
          <w:tcPr>
            <w:tcW w:type="dxa" w:w="1871"/>
            <w:shd w:val="clear" w:color="auto" w:fill="F2F4F7"/>
          </w:tcPr>
          <w:p>
            <w:pPr>
              <w:spacing w:after="0" w:line="240" w:lineRule="auto"/>
              <w:jc w:val="right"/>
            </w:pPr>
            <w:r/>
            <w:r>
              <w:rPr>
                <w:sz w:val="17"/>
              </w:rPr>
              <w:t>180</w:t>
            </w:r>
          </w:p>
        </w:tc>
      </w:tr>
      <w:tr>
        <w:trPr>
          <w:cantSplit/>
        </w:trPr>
        <w:tc>
          <w:tcPr>
            <w:tcW w:type="dxa" w:w="1928"/>
          </w:tcPr>
          <w:p>
            <w:pPr>
              <w:spacing w:after="0" w:line="240" w:lineRule="auto"/>
            </w:pPr>
            <w:r/>
            <w:r>
              <w:rPr>
                <w:sz w:val="17"/>
              </w:rPr>
              <w:t>Month 21</w:t>
            </w:r>
          </w:p>
        </w:tc>
        <w:tc>
          <w:tcPr>
            <w:tcW w:type="dxa" w:w="1701"/>
          </w:tcPr>
          <w:p>
            <w:pPr>
              <w:spacing w:after="0" w:line="240" w:lineRule="auto"/>
              <w:jc w:val="right"/>
            </w:pPr>
            <w:r/>
            <w:r>
              <w:rPr>
                <w:sz w:val="17"/>
              </w:rPr>
              <w:t>91.2</w:t>
            </w:r>
          </w:p>
        </w:tc>
        <w:tc>
          <w:tcPr>
            <w:tcW w:type="dxa" w:w="1814"/>
          </w:tcPr>
          <w:p>
            <w:pPr>
              <w:spacing w:after="0" w:line="240" w:lineRule="auto"/>
              <w:jc w:val="right"/>
            </w:pPr>
            <w:r/>
            <w:r>
              <w:rPr>
                <w:sz w:val="17"/>
              </w:rPr>
              <w:t>101.3</w:t>
            </w:r>
          </w:p>
        </w:tc>
        <w:tc>
          <w:tcPr>
            <w:tcW w:type="dxa" w:w="1928"/>
          </w:tcPr>
          <w:p>
            <w:pPr>
              <w:spacing w:after="0" w:line="240" w:lineRule="auto"/>
              <w:jc w:val="right"/>
            </w:pPr>
            <w:r/>
            <w:r>
              <w:rPr>
                <w:sz w:val="17"/>
              </w:rPr>
              <w:t>300</w:t>
            </w:r>
          </w:p>
        </w:tc>
        <w:tc>
          <w:tcPr>
            <w:tcW w:type="dxa" w:w="1871"/>
          </w:tcPr>
          <w:p>
            <w:pPr>
              <w:spacing w:after="0" w:line="240" w:lineRule="auto"/>
              <w:jc w:val="right"/>
            </w:pPr>
            <w:r/>
            <w:r>
              <w:rPr>
                <w:sz w:val="17"/>
              </w:rPr>
              <w:t>200</w:t>
            </w:r>
          </w:p>
        </w:tc>
      </w:tr>
      <w:tr>
        <w:trPr>
          <w:cantSplit/>
        </w:trPr>
        <w:tc>
          <w:tcPr>
            <w:tcW w:type="dxa" w:w="1928"/>
            <w:shd w:val="clear" w:color="auto" w:fill="F2F4F7"/>
          </w:tcPr>
          <w:p>
            <w:pPr>
              <w:spacing w:after="0" w:line="240" w:lineRule="auto"/>
            </w:pPr>
            <w:r/>
            <w:r>
              <w:rPr>
                <w:sz w:val="17"/>
              </w:rPr>
              <w:t>Month 24</w:t>
            </w:r>
          </w:p>
        </w:tc>
        <w:tc>
          <w:tcPr>
            <w:tcW w:type="dxa" w:w="1701"/>
            <w:shd w:val="clear" w:color="auto" w:fill="F2F4F7"/>
          </w:tcPr>
          <w:p>
            <w:pPr>
              <w:spacing w:after="0" w:line="240" w:lineRule="auto"/>
              <w:jc w:val="right"/>
            </w:pPr>
            <w:r/>
            <w:r>
              <w:rPr>
                <w:sz w:val="17"/>
              </w:rPr>
              <w:t>130.2</w:t>
            </w:r>
          </w:p>
        </w:tc>
        <w:tc>
          <w:tcPr>
            <w:tcW w:type="dxa" w:w="1814"/>
            <w:shd w:val="clear" w:color="auto" w:fill="F2F4F7"/>
          </w:tcPr>
          <w:p>
            <w:pPr>
              <w:spacing w:after="0" w:line="240" w:lineRule="auto"/>
              <w:jc w:val="right"/>
            </w:pPr>
            <w:r/>
            <w:r>
              <w:rPr>
                <w:sz w:val="17"/>
              </w:rPr>
              <w:t>101.3</w:t>
            </w:r>
          </w:p>
        </w:tc>
        <w:tc>
          <w:tcPr>
            <w:tcW w:type="dxa" w:w="1928"/>
            <w:shd w:val="clear" w:color="auto" w:fill="F2F4F7"/>
          </w:tcPr>
          <w:p>
            <w:pPr>
              <w:spacing w:after="0" w:line="240" w:lineRule="auto"/>
              <w:jc w:val="right"/>
            </w:pPr>
            <w:r/>
            <w:r>
              <w:rPr>
                <w:sz w:val="17"/>
              </w:rPr>
              <w:t>300</w:t>
            </w:r>
          </w:p>
        </w:tc>
        <w:tc>
          <w:tcPr>
            <w:tcW w:type="dxa" w:w="1871"/>
            <w:shd w:val="clear" w:color="auto" w:fill="F2F4F7"/>
          </w:tcPr>
          <w:p>
            <w:pPr>
              <w:spacing w:after="0" w:line="240" w:lineRule="auto"/>
              <w:jc w:val="right"/>
            </w:pPr>
            <w:r/>
            <w:r>
              <w:rPr>
                <w:sz w:val="17"/>
              </w:rPr>
              <w:t>200</w:t>
            </w:r>
          </w:p>
        </w:tc>
      </w:tr>
      <w:tr>
        <w:trPr>
          <w:cantSplit/>
        </w:trPr>
        <w:tc>
          <w:tcPr>
            <w:tcW w:type="dxa" w:w="1928"/>
          </w:tcPr>
          <w:p>
            <w:pPr>
              <w:spacing w:after="0" w:line="240" w:lineRule="auto"/>
            </w:pPr>
            <w:r/>
            <w:r>
              <w:rPr>
                <w:sz w:val="17"/>
              </w:rPr>
              <w:t>Month 27</w:t>
            </w:r>
          </w:p>
        </w:tc>
        <w:tc>
          <w:tcPr>
            <w:tcW w:type="dxa" w:w="1701"/>
          </w:tcPr>
          <w:p>
            <w:pPr>
              <w:spacing w:after="0" w:line="240" w:lineRule="auto"/>
              <w:jc w:val="right"/>
            </w:pPr>
            <w:r/>
            <w:r>
              <w:rPr>
                <w:sz w:val="17"/>
              </w:rPr>
              <w:t>130.2</w:t>
            </w:r>
          </w:p>
        </w:tc>
        <w:tc>
          <w:tcPr>
            <w:tcW w:type="dxa" w:w="1814"/>
          </w:tcPr>
          <w:p>
            <w:pPr>
              <w:spacing w:after="0" w:line="240" w:lineRule="auto"/>
              <w:jc w:val="right"/>
            </w:pPr>
            <w:r/>
            <w:r>
              <w:rPr>
                <w:sz w:val="17"/>
              </w:rPr>
              <w:t>101.3</w:t>
            </w:r>
          </w:p>
        </w:tc>
        <w:tc>
          <w:tcPr>
            <w:tcW w:type="dxa" w:w="1928"/>
          </w:tcPr>
          <w:p>
            <w:pPr>
              <w:spacing w:after="0" w:line="240" w:lineRule="auto"/>
              <w:jc w:val="right"/>
            </w:pPr>
            <w:r/>
            <w:r>
              <w:rPr>
                <w:sz w:val="17"/>
              </w:rPr>
              <w:t>300</w:t>
            </w:r>
          </w:p>
        </w:tc>
        <w:tc>
          <w:tcPr>
            <w:tcW w:type="dxa" w:w="1871"/>
          </w:tcPr>
          <w:p>
            <w:pPr>
              <w:spacing w:after="0" w:line="240" w:lineRule="auto"/>
              <w:jc w:val="right"/>
            </w:pPr>
            <w:r/>
            <w:r>
              <w:rPr>
                <w:sz w:val="17"/>
              </w:rPr>
              <w:t>200</w:t>
            </w:r>
          </w:p>
        </w:tc>
      </w:tr>
      <w:tr>
        <w:trPr>
          <w:cantSplit/>
        </w:trPr>
        <w:tc>
          <w:tcPr>
            <w:tcW w:type="dxa" w:w="1928"/>
            <w:shd w:val="clear" w:color="auto" w:fill="F2F4F7"/>
          </w:tcPr>
          <w:p>
            <w:pPr>
              <w:spacing w:after="0" w:line="240" w:lineRule="auto"/>
            </w:pPr>
            <w:r/>
            <w:r>
              <w:rPr>
                <w:sz w:val="17"/>
              </w:rPr>
              <w:t>Month 30</w:t>
            </w:r>
          </w:p>
        </w:tc>
        <w:tc>
          <w:tcPr>
            <w:tcW w:type="dxa" w:w="1701"/>
            <w:shd w:val="clear" w:color="auto" w:fill="F2F4F7"/>
          </w:tcPr>
          <w:p>
            <w:pPr>
              <w:spacing w:after="0" w:line="240" w:lineRule="auto"/>
              <w:jc w:val="right"/>
            </w:pPr>
            <w:r/>
            <w:r>
              <w:rPr>
                <w:sz w:val="17"/>
              </w:rPr>
              <w:t>65.1</w:t>
            </w:r>
          </w:p>
        </w:tc>
        <w:tc>
          <w:tcPr>
            <w:tcW w:type="dxa" w:w="1814"/>
            <w:shd w:val="clear" w:color="auto" w:fill="F2F4F7"/>
          </w:tcPr>
          <w:p>
            <w:pPr>
              <w:spacing w:after="0" w:line="240" w:lineRule="auto"/>
              <w:jc w:val="right"/>
            </w:pPr>
            <w:r/>
            <w:r>
              <w:rPr>
                <w:sz w:val="17"/>
              </w:rPr>
              <w:t>101.3</w:t>
            </w:r>
          </w:p>
        </w:tc>
        <w:tc>
          <w:tcPr>
            <w:tcW w:type="dxa" w:w="1928"/>
            <w:shd w:val="clear" w:color="auto" w:fill="F2F4F7"/>
          </w:tcPr>
          <w:p>
            <w:pPr>
              <w:spacing w:after="0" w:line="240" w:lineRule="auto"/>
              <w:jc w:val="right"/>
            </w:pPr>
            <w:r/>
            <w:r>
              <w:rPr>
                <w:sz w:val="17"/>
              </w:rPr>
              <w:t>300</w:t>
            </w:r>
          </w:p>
        </w:tc>
        <w:tc>
          <w:tcPr>
            <w:tcW w:type="dxa" w:w="1871"/>
            <w:shd w:val="clear" w:color="auto" w:fill="F2F4F7"/>
          </w:tcPr>
          <w:p>
            <w:pPr>
              <w:spacing w:after="0" w:line="240" w:lineRule="auto"/>
              <w:jc w:val="right"/>
            </w:pPr>
            <w:r/>
            <w:r>
              <w:rPr>
                <w:sz w:val="17"/>
              </w:rPr>
              <w:t>200</w:t>
            </w:r>
          </w:p>
        </w:tc>
      </w:tr>
      <w:tr>
        <w:trPr>
          <w:cantSplit/>
        </w:trPr>
        <w:tc>
          <w:tcPr>
            <w:tcW w:type="dxa" w:w="1928"/>
          </w:tcPr>
          <w:p>
            <w:pPr>
              <w:spacing w:after="0" w:line="240" w:lineRule="auto"/>
            </w:pPr>
            <w:r/>
            <w:r>
              <w:rPr>
                <w:b/>
                <w:sz w:val="17"/>
              </w:rPr>
              <w:t>Total</w:t>
            </w:r>
          </w:p>
        </w:tc>
        <w:tc>
          <w:tcPr>
            <w:tcW w:type="dxa" w:w="1701"/>
          </w:tcPr>
          <w:p>
            <w:pPr>
              <w:spacing w:after="0" w:line="240" w:lineRule="auto"/>
              <w:jc w:val="right"/>
            </w:pPr>
            <w:r/>
            <w:r>
              <w:rPr>
                <w:b/>
                <w:sz w:val="17"/>
              </w:rPr>
              <w:t>931.1</w:t>
            </w:r>
          </w:p>
        </w:tc>
        <w:tc>
          <w:tcPr>
            <w:tcW w:type="dxa" w:w="1814"/>
          </w:tcPr>
          <w:p>
            <w:pPr>
              <w:spacing w:after="0" w:line="240" w:lineRule="auto"/>
              <w:jc w:val="right"/>
            </w:pPr>
            <w:r/>
            <w:r>
              <w:rPr>
                <w:b/>
                <w:sz w:val="17"/>
              </w:rPr>
              <w:t>1,321.8</w:t>
            </w:r>
          </w:p>
        </w:tc>
        <w:tc>
          <w:tcPr>
            <w:tcW w:type="dxa" w:w="1928"/>
          </w:tcPr>
          <w:p>
            <w:pPr>
              <w:spacing w:after="0" w:line="240" w:lineRule="auto"/>
              <w:jc w:val="right"/>
            </w:pPr>
            <w:r/>
            <w:r>
              <w:rPr>
                <w:b/>
                <w:sz w:val="17"/>
              </w:rPr>
            </w:r>
          </w:p>
        </w:tc>
        <w:tc>
          <w:tcPr>
            <w:tcW w:type="dxa" w:w="1871"/>
          </w:tcPr>
          <w:p>
            <w:pPr>
              <w:spacing w:after="0" w:line="240" w:lineRule="auto"/>
              <w:jc w:val="right"/>
            </w:pPr>
            <w:r/>
            <w:r>
              <w:rPr>
                <w:b/>
                <w:sz w:val="17"/>
              </w:rPr>
            </w:r>
          </w:p>
        </w:tc>
      </w:tr>
    </w:tbl>
    <w:p>
      <w:pPr>
        <w:spacing w:after="80"/>
      </w:pPr>
    </w:p>
    <w:p>
      <w:r>
        <w:rPr>
          <w:b w:val="0"/>
          <w:i w:val="0"/>
        </w:rPr>
        <w:t>The sales plan totals EGP 2,253 million at modelled prices; the landlord share is calculated on the full project sales value of EGP 2,816 million. The first two tranches (months 3 and 6) carry the launch list and total EGP 606 million; Option A units come from these.</w:t>
      </w:r>
    </w:p>
    <w:p>
      <w:pPr>
        <w:keepNext/>
        <w:spacing w:after="60"/>
      </w:pPr>
      <w:r>
        <w:rPr>
          <w:b/>
          <w:color w:val="17324D"/>
          <w:sz w:val="19"/>
        </w:rPr>
        <w:t>Table 13: Green Square: annual cash flow, EGP million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7"/>
              </w:rPr>
              <w:t>Project year</w:t>
            </w:r>
          </w:p>
        </w:tc>
        <w:tc>
          <w:tcPr>
            <w:tcW w:type="dxa" w:w="1417"/>
            <w:shd w:val="clear" w:color="auto" w:fill="17324D"/>
          </w:tcPr>
          <w:p>
            <w:pPr>
              <w:spacing w:after="0" w:line="240" w:lineRule="auto"/>
              <w:jc w:val="right"/>
            </w:pPr>
            <w:r/>
            <w:r>
              <w:rPr>
                <w:b/>
                <w:color w:val="FFFFFF"/>
                <w:sz w:val="17"/>
              </w:rPr>
              <w:t>Collections</w:t>
            </w:r>
          </w:p>
        </w:tc>
        <w:tc>
          <w:tcPr>
            <w:tcW w:type="dxa" w:w="1644"/>
            <w:shd w:val="clear" w:color="auto" w:fill="17324D"/>
          </w:tcPr>
          <w:p>
            <w:pPr>
              <w:spacing w:after="0" w:line="240" w:lineRule="auto"/>
              <w:jc w:val="right"/>
            </w:pPr>
            <w:r/>
            <w:r>
              <w:rPr>
                <w:b/>
                <w:color w:val="FFFFFF"/>
                <w:sz w:val="17"/>
              </w:rPr>
              <w:t>Landlord payments</w:t>
            </w:r>
          </w:p>
        </w:tc>
        <w:tc>
          <w:tcPr>
            <w:tcW w:type="dxa" w:w="2041"/>
            <w:shd w:val="clear" w:color="auto" w:fill="17324D"/>
          </w:tcPr>
          <w:p>
            <w:pPr>
              <w:spacing w:after="0" w:line="240" w:lineRule="auto"/>
              <w:jc w:val="right"/>
            </w:pPr>
            <w:r/>
            <w:r>
              <w:rPr>
                <w:b/>
                <w:color w:val="FFFFFF"/>
                <w:sz w:val="17"/>
              </w:rPr>
              <w:t>Construction, commission, SG&amp;A</w:t>
            </w:r>
          </w:p>
        </w:tc>
        <w:tc>
          <w:tcPr>
            <w:tcW w:type="dxa" w:w="1417"/>
            <w:shd w:val="clear" w:color="auto" w:fill="17324D"/>
          </w:tcPr>
          <w:p>
            <w:pPr>
              <w:spacing w:after="0" w:line="240" w:lineRule="auto"/>
              <w:jc w:val="right"/>
            </w:pPr>
            <w:r/>
            <w:r>
              <w:rPr>
                <w:b/>
                <w:color w:val="FFFFFF"/>
                <w:sz w:val="17"/>
              </w:rPr>
              <w:t>Net cash flow</w:t>
            </w:r>
          </w:p>
        </w:tc>
        <w:tc>
          <w:tcPr>
            <w:tcW w:type="dxa" w:w="1361"/>
            <w:shd w:val="clear" w:color="auto" w:fill="17324D"/>
          </w:tcPr>
          <w:p>
            <w:pPr>
              <w:spacing w:after="0" w:line="240" w:lineRule="auto"/>
              <w:jc w:val="right"/>
            </w:pPr>
            <w:r/>
            <w:r>
              <w:rPr>
                <w:b/>
                <w:color w:val="FFFFFF"/>
                <w:sz w:val="17"/>
              </w:rPr>
              <w:t>Cumulative</w:t>
            </w:r>
          </w:p>
        </w:tc>
      </w:tr>
      <w:tr>
        <w:trPr>
          <w:cantSplit/>
        </w:trPr>
        <w:tc>
          <w:tcPr>
            <w:tcW w:type="dxa" w:w="1361"/>
          </w:tcPr>
          <w:p>
            <w:pPr>
              <w:spacing w:after="0" w:line="240" w:lineRule="auto"/>
            </w:pPr>
            <w:r/>
            <w:r>
              <w:rPr>
                <w:sz w:val="17"/>
              </w:rPr>
              <w:t>Year 0</w:t>
            </w:r>
          </w:p>
        </w:tc>
        <w:tc>
          <w:tcPr>
            <w:tcW w:type="dxa" w:w="1417"/>
          </w:tcPr>
          <w:p>
            <w:pPr>
              <w:spacing w:after="0" w:line="240" w:lineRule="auto"/>
              <w:jc w:val="right"/>
            </w:pPr>
            <w:r/>
            <w:r>
              <w:rPr>
                <w:sz w:val="17"/>
              </w:rPr>
              <w:t>0.0</w:t>
            </w:r>
          </w:p>
        </w:tc>
        <w:tc>
          <w:tcPr>
            <w:tcW w:type="dxa" w:w="1644"/>
          </w:tcPr>
          <w:p>
            <w:pPr>
              <w:spacing w:after="0" w:line="240" w:lineRule="auto"/>
              <w:jc w:val="right"/>
            </w:pPr>
            <w:r/>
            <w:r>
              <w:rPr>
                <w:sz w:val="17"/>
              </w:rPr>
              <w:t>-102.5</w:t>
            </w:r>
          </w:p>
        </w:tc>
        <w:tc>
          <w:tcPr>
            <w:tcW w:type="dxa" w:w="2041"/>
          </w:tcPr>
          <w:p>
            <w:pPr>
              <w:spacing w:after="0" w:line="240" w:lineRule="auto"/>
              <w:jc w:val="right"/>
            </w:pPr>
            <w:r/>
            <w:r>
              <w:rPr>
                <w:sz w:val="17"/>
              </w:rPr>
              <w:t>0.0</w:t>
            </w:r>
          </w:p>
        </w:tc>
        <w:tc>
          <w:tcPr>
            <w:tcW w:type="dxa" w:w="1417"/>
          </w:tcPr>
          <w:p>
            <w:pPr>
              <w:spacing w:after="0" w:line="240" w:lineRule="auto"/>
              <w:jc w:val="right"/>
            </w:pPr>
            <w:r/>
            <w:r>
              <w:rPr>
                <w:sz w:val="17"/>
              </w:rPr>
              <w:t>-102.5</w:t>
            </w:r>
          </w:p>
        </w:tc>
        <w:tc>
          <w:tcPr>
            <w:tcW w:type="dxa" w:w="1361"/>
          </w:tcPr>
          <w:p>
            <w:pPr>
              <w:spacing w:after="0" w:line="240" w:lineRule="auto"/>
              <w:jc w:val="right"/>
            </w:pPr>
            <w:r/>
            <w:r>
              <w:rPr>
                <w:sz w:val="17"/>
              </w:rPr>
              <w:t>-102.5</w:t>
            </w:r>
          </w:p>
        </w:tc>
      </w:tr>
      <w:tr>
        <w:trPr>
          <w:cantSplit/>
        </w:trPr>
        <w:tc>
          <w:tcPr>
            <w:tcW w:type="dxa" w:w="1361"/>
            <w:shd w:val="clear" w:color="auto" w:fill="F2F4F7"/>
          </w:tcPr>
          <w:p>
            <w:pPr>
              <w:spacing w:after="0" w:line="240" w:lineRule="auto"/>
            </w:pPr>
            <w:r/>
            <w:r>
              <w:rPr>
                <w:sz w:val="17"/>
              </w:rPr>
              <w:t>Year 1</w:t>
            </w:r>
          </w:p>
        </w:tc>
        <w:tc>
          <w:tcPr>
            <w:tcW w:type="dxa" w:w="1417"/>
            <w:shd w:val="clear" w:color="auto" w:fill="F2F4F7"/>
          </w:tcPr>
          <w:p>
            <w:pPr>
              <w:spacing w:after="0" w:line="240" w:lineRule="auto"/>
              <w:jc w:val="right"/>
            </w:pPr>
            <w:r/>
            <w:r>
              <w:rPr>
                <w:sz w:val="17"/>
              </w:rPr>
              <w:t>154.7</w:t>
            </w:r>
          </w:p>
        </w:tc>
        <w:tc>
          <w:tcPr>
            <w:tcW w:type="dxa" w:w="1644"/>
            <w:shd w:val="clear" w:color="auto" w:fill="F2F4F7"/>
          </w:tcPr>
          <w:p>
            <w:pPr>
              <w:spacing w:after="0" w:line="240" w:lineRule="auto"/>
              <w:jc w:val="right"/>
            </w:pPr>
            <w:r/>
            <w:r>
              <w:rPr>
                <w:sz w:val="17"/>
              </w:rPr>
              <w:t>-67.5</w:t>
            </w:r>
          </w:p>
        </w:tc>
        <w:tc>
          <w:tcPr>
            <w:tcW w:type="dxa" w:w="2041"/>
            <w:shd w:val="clear" w:color="auto" w:fill="F2F4F7"/>
          </w:tcPr>
          <w:p>
            <w:pPr>
              <w:spacing w:after="0" w:line="240" w:lineRule="auto"/>
              <w:jc w:val="right"/>
            </w:pPr>
            <w:r/>
            <w:r>
              <w:rPr>
                <w:sz w:val="17"/>
              </w:rPr>
              <w:t>-53.4</w:t>
            </w:r>
          </w:p>
        </w:tc>
        <w:tc>
          <w:tcPr>
            <w:tcW w:type="dxa" w:w="1417"/>
            <w:shd w:val="clear" w:color="auto" w:fill="F2F4F7"/>
          </w:tcPr>
          <w:p>
            <w:pPr>
              <w:spacing w:after="0" w:line="240" w:lineRule="auto"/>
              <w:jc w:val="right"/>
            </w:pPr>
            <w:r/>
            <w:r>
              <w:rPr>
                <w:sz w:val="17"/>
              </w:rPr>
              <w:t>33.8</w:t>
            </w:r>
          </w:p>
        </w:tc>
        <w:tc>
          <w:tcPr>
            <w:tcW w:type="dxa" w:w="1361"/>
            <w:shd w:val="clear" w:color="auto" w:fill="F2F4F7"/>
          </w:tcPr>
          <w:p>
            <w:pPr>
              <w:spacing w:after="0" w:line="240" w:lineRule="auto"/>
              <w:jc w:val="right"/>
            </w:pPr>
            <w:r/>
            <w:r>
              <w:rPr>
                <w:sz w:val="17"/>
              </w:rPr>
              <w:t>-68.7</w:t>
            </w:r>
          </w:p>
        </w:tc>
      </w:tr>
      <w:tr>
        <w:trPr>
          <w:cantSplit/>
        </w:trPr>
        <w:tc>
          <w:tcPr>
            <w:tcW w:type="dxa" w:w="1361"/>
          </w:tcPr>
          <w:p>
            <w:pPr>
              <w:spacing w:after="0" w:line="240" w:lineRule="auto"/>
            </w:pPr>
            <w:r/>
            <w:r>
              <w:rPr>
                <w:sz w:val="17"/>
              </w:rPr>
              <w:t>Year 2</w:t>
            </w:r>
          </w:p>
        </w:tc>
        <w:tc>
          <w:tcPr>
            <w:tcW w:type="dxa" w:w="1417"/>
          </w:tcPr>
          <w:p>
            <w:pPr>
              <w:spacing w:after="0" w:line="240" w:lineRule="auto"/>
              <w:jc w:val="right"/>
            </w:pPr>
            <w:r/>
            <w:r>
              <w:rPr>
                <w:sz w:val="17"/>
              </w:rPr>
              <w:t>701.4</w:t>
            </w:r>
          </w:p>
        </w:tc>
        <w:tc>
          <w:tcPr>
            <w:tcW w:type="dxa" w:w="1644"/>
          </w:tcPr>
          <w:p>
            <w:pPr>
              <w:spacing w:after="0" w:line="240" w:lineRule="auto"/>
              <w:jc w:val="right"/>
            </w:pPr>
            <w:r/>
            <w:r>
              <w:rPr>
                <w:sz w:val="17"/>
              </w:rPr>
              <w:t>-112.5</w:t>
            </w:r>
          </w:p>
        </w:tc>
        <w:tc>
          <w:tcPr>
            <w:tcW w:type="dxa" w:w="2041"/>
          </w:tcPr>
          <w:p>
            <w:pPr>
              <w:spacing w:after="0" w:line="240" w:lineRule="auto"/>
              <w:jc w:val="right"/>
            </w:pPr>
            <w:r/>
            <w:r>
              <w:rPr>
                <w:sz w:val="17"/>
              </w:rPr>
              <w:t>-180.3</w:t>
            </w:r>
          </w:p>
        </w:tc>
        <w:tc>
          <w:tcPr>
            <w:tcW w:type="dxa" w:w="1417"/>
          </w:tcPr>
          <w:p>
            <w:pPr>
              <w:spacing w:after="0" w:line="240" w:lineRule="auto"/>
              <w:jc w:val="right"/>
            </w:pPr>
            <w:r/>
            <w:r>
              <w:rPr>
                <w:sz w:val="17"/>
              </w:rPr>
              <w:t>408.6</w:t>
            </w:r>
          </w:p>
        </w:tc>
        <w:tc>
          <w:tcPr>
            <w:tcW w:type="dxa" w:w="1361"/>
          </w:tcPr>
          <w:p>
            <w:pPr>
              <w:spacing w:after="0" w:line="240" w:lineRule="auto"/>
              <w:jc w:val="right"/>
            </w:pPr>
            <w:r/>
            <w:r>
              <w:rPr>
                <w:sz w:val="17"/>
              </w:rPr>
              <w:t>339.9</w:t>
            </w:r>
          </w:p>
        </w:tc>
      </w:tr>
      <w:tr>
        <w:trPr>
          <w:cantSplit/>
        </w:trPr>
        <w:tc>
          <w:tcPr>
            <w:tcW w:type="dxa" w:w="1361"/>
            <w:shd w:val="clear" w:color="auto" w:fill="F2F4F7"/>
          </w:tcPr>
          <w:p>
            <w:pPr>
              <w:spacing w:after="0" w:line="240" w:lineRule="auto"/>
            </w:pPr>
            <w:r/>
            <w:r>
              <w:rPr>
                <w:sz w:val="17"/>
              </w:rPr>
              <w:t>Year 3</w:t>
            </w:r>
          </w:p>
        </w:tc>
        <w:tc>
          <w:tcPr>
            <w:tcW w:type="dxa" w:w="1417"/>
            <w:shd w:val="clear" w:color="auto" w:fill="F2F4F7"/>
          </w:tcPr>
          <w:p>
            <w:pPr>
              <w:spacing w:after="0" w:line="240" w:lineRule="auto"/>
              <w:jc w:val="right"/>
            </w:pPr>
            <w:r/>
            <w:r>
              <w:rPr>
                <w:sz w:val="17"/>
              </w:rPr>
              <w:t>530.7</w:t>
            </w:r>
          </w:p>
        </w:tc>
        <w:tc>
          <w:tcPr>
            <w:tcW w:type="dxa" w:w="1644"/>
            <w:shd w:val="clear" w:color="auto" w:fill="F2F4F7"/>
          </w:tcPr>
          <w:p>
            <w:pPr>
              <w:spacing w:after="0" w:line="240" w:lineRule="auto"/>
              <w:jc w:val="right"/>
            </w:pPr>
            <w:r/>
            <w:r>
              <w:rPr>
                <w:sz w:val="17"/>
              </w:rPr>
              <w:t>-157.5</w:t>
            </w:r>
          </w:p>
        </w:tc>
        <w:tc>
          <w:tcPr>
            <w:tcW w:type="dxa" w:w="2041"/>
            <w:shd w:val="clear" w:color="auto" w:fill="F2F4F7"/>
          </w:tcPr>
          <w:p>
            <w:pPr>
              <w:spacing w:after="0" w:line="240" w:lineRule="auto"/>
              <w:jc w:val="right"/>
            </w:pPr>
            <w:r/>
            <w:r>
              <w:rPr>
                <w:sz w:val="17"/>
              </w:rPr>
              <w:t>-319.1</w:t>
            </w:r>
          </w:p>
        </w:tc>
        <w:tc>
          <w:tcPr>
            <w:tcW w:type="dxa" w:w="1417"/>
            <w:shd w:val="clear" w:color="auto" w:fill="F2F4F7"/>
          </w:tcPr>
          <w:p>
            <w:pPr>
              <w:spacing w:after="0" w:line="240" w:lineRule="auto"/>
              <w:jc w:val="right"/>
            </w:pPr>
            <w:r/>
            <w:r>
              <w:rPr>
                <w:sz w:val="17"/>
              </w:rPr>
              <w:t>54.2</w:t>
            </w:r>
          </w:p>
        </w:tc>
        <w:tc>
          <w:tcPr>
            <w:tcW w:type="dxa" w:w="1361"/>
            <w:shd w:val="clear" w:color="auto" w:fill="F2F4F7"/>
          </w:tcPr>
          <w:p>
            <w:pPr>
              <w:spacing w:after="0" w:line="240" w:lineRule="auto"/>
              <w:jc w:val="right"/>
            </w:pPr>
            <w:r/>
            <w:r>
              <w:rPr>
                <w:sz w:val="17"/>
              </w:rPr>
              <w:t>394.0</w:t>
            </w:r>
          </w:p>
        </w:tc>
      </w:tr>
      <w:tr>
        <w:trPr>
          <w:cantSplit/>
        </w:trPr>
        <w:tc>
          <w:tcPr>
            <w:tcW w:type="dxa" w:w="1361"/>
          </w:tcPr>
          <w:p>
            <w:pPr>
              <w:spacing w:after="0" w:line="240" w:lineRule="auto"/>
            </w:pPr>
            <w:r/>
            <w:r>
              <w:rPr>
                <w:sz w:val="17"/>
              </w:rPr>
              <w:t>Year 4</w:t>
            </w:r>
          </w:p>
        </w:tc>
        <w:tc>
          <w:tcPr>
            <w:tcW w:type="dxa" w:w="1417"/>
          </w:tcPr>
          <w:p>
            <w:pPr>
              <w:spacing w:after="0" w:line="240" w:lineRule="auto"/>
              <w:jc w:val="right"/>
            </w:pPr>
            <w:r/>
            <w:r>
              <w:rPr>
                <w:sz w:val="17"/>
              </w:rPr>
              <w:t>260.3</w:t>
            </w:r>
          </w:p>
        </w:tc>
        <w:tc>
          <w:tcPr>
            <w:tcW w:type="dxa" w:w="1644"/>
          </w:tcPr>
          <w:p>
            <w:pPr>
              <w:spacing w:after="0" w:line="240" w:lineRule="auto"/>
              <w:jc w:val="right"/>
            </w:pPr>
            <w:r/>
            <w:r>
              <w:rPr>
                <w:sz w:val="17"/>
              </w:rPr>
              <w:t>-180.0</w:t>
            </w:r>
          </w:p>
        </w:tc>
        <w:tc>
          <w:tcPr>
            <w:tcW w:type="dxa" w:w="2041"/>
          </w:tcPr>
          <w:p>
            <w:pPr>
              <w:spacing w:after="0" w:line="240" w:lineRule="auto"/>
              <w:jc w:val="right"/>
            </w:pPr>
            <w:r/>
            <w:r>
              <w:rPr>
                <w:sz w:val="17"/>
              </w:rPr>
              <w:t>-339.1</w:t>
            </w:r>
          </w:p>
        </w:tc>
        <w:tc>
          <w:tcPr>
            <w:tcW w:type="dxa" w:w="1417"/>
          </w:tcPr>
          <w:p>
            <w:pPr>
              <w:spacing w:after="0" w:line="240" w:lineRule="auto"/>
              <w:jc w:val="right"/>
            </w:pPr>
            <w:r/>
            <w:r>
              <w:rPr>
                <w:sz w:val="17"/>
              </w:rPr>
              <w:t>-258.8</w:t>
            </w:r>
          </w:p>
        </w:tc>
        <w:tc>
          <w:tcPr>
            <w:tcW w:type="dxa" w:w="1361"/>
          </w:tcPr>
          <w:p>
            <w:pPr>
              <w:spacing w:after="0" w:line="240" w:lineRule="auto"/>
              <w:jc w:val="right"/>
            </w:pPr>
            <w:r/>
            <w:r>
              <w:rPr>
                <w:sz w:val="17"/>
              </w:rPr>
              <w:t>135.3</w:t>
            </w:r>
          </w:p>
        </w:tc>
      </w:tr>
      <w:tr>
        <w:trPr>
          <w:cantSplit/>
        </w:trPr>
        <w:tc>
          <w:tcPr>
            <w:tcW w:type="dxa" w:w="1361"/>
            <w:shd w:val="clear" w:color="auto" w:fill="F2F4F7"/>
          </w:tcPr>
          <w:p>
            <w:pPr>
              <w:spacing w:after="0" w:line="240" w:lineRule="auto"/>
            </w:pPr>
            <w:r/>
            <w:r>
              <w:rPr>
                <w:sz w:val="17"/>
              </w:rPr>
              <w:t>Year 5</w:t>
            </w:r>
          </w:p>
        </w:tc>
        <w:tc>
          <w:tcPr>
            <w:tcW w:type="dxa" w:w="1417"/>
            <w:shd w:val="clear" w:color="auto" w:fill="F2F4F7"/>
          </w:tcPr>
          <w:p>
            <w:pPr>
              <w:spacing w:after="0" w:line="240" w:lineRule="auto"/>
              <w:jc w:val="right"/>
            </w:pPr>
            <w:r/>
            <w:r>
              <w:rPr>
                <w:sz w:val="17"/>
              </w:rPr>
              <w:t>194.6</w:t>
            </w:r>
          </w:p>
        </w:tc>
        <w:tc>
          <w:tcPr>
            <w:tcW w:type="dxa" w:w="1644"/>
            <w:shd w:val="clear" w:color="auto" w:fill="F2F4F7"/>
          </w:tcPr>
          <w:p>
            <w:pPr>
              <w:spacing w:after="0" w:line="240" w:lineRule="auto"/>
              <w:jc w:val="right"/>
            </w:pPr>
            <w:r/>
            <w:r>
              <w:rPr>
                <w:sz w:val="17"/>
              </w:rPr>
              <w:t>-135.0</w:t>
            </w:r>
          </w:p>
        </w:tc>
        <w:tc>
          <w:tcPr>
            <w:tcW w:type="dxa" w:w="2041"/>
            <w:shd w:val="clear" w:color="auto" w:fill="F2F4F7"/>
          </w:tcPr>
          <w:p>
            <w:pPr>
              <w:spacing w:after="0" w:line="240" w:lineRule="auto"/>
              <w:jc w:val="right"/>
            </w:pPr>
            <w:r/>
            <w:r>
              <w:rPr>
                <w:sz w:val="17"/>
              </w:rPr>
              <w:t>0.0</w:t>
            </w:r>
          </w:p>
        </w:tc>
        <w:tc>
          <w:tcPr>
            <w:tcW w:type="dxa" w:w="1417"/>
            <w:shd w:val="clear" w:color="auto" w:fill="F2F4F7"/>
          </w:tcPr>
          <w:p>
            <w:pPr>
              <w:spacing w:after="0" w:line="240" w:lineRule="auto"/>
              <w:jc w:val="right"/>
            </w:pPr>
            <w:r/>
            <w:r>
              <w:rPr>
                <w:sz w:val="17"/>
              </w:rPr>
              <w:t>59.6</w:t>
            </w:r>
          </w:p>
        </w:tc>
        <w:tc>
          <w:tcPr>
            <w:tcW w:type="dxa" w:w="1361"/>
            <w:shd w:val="clear" w:color="auto" w:fill="F2F4F7"/>
          </w:tcPr>
          <w:p>
            <w:pPr>
              <w:spacing w:after="0" w:line="240" w:lineRule="auto"/>
              <w:jc w:val="right"/>
            </w:pPr>
            <w:r/>
            <w:r>
              <w:rPr>
                <w:sz w:val="17"/>
              </w:rPr>
              <w:t>194.9</w:t>
            </w:r>
          </w:p>
        </w:tc>
      </w:tr>
      <w:tr>
        <w:trPr>
          <w:cantSplit/>
        </w:trPr>
        <w:tc>
          <w:tcPr>
            <w:tcW w:type="dxa" w:w="1361"/>
          </w:tcPr>
          <w:p>
            <w:pPr>
              <w:spacing w:after="0" w:line="240" w:lineRule="auto"/>
            </w:pPr>
            <w:r/>
            <w:r>
              <w:rPr>
                <w:sz w:val="17"/>
              </w:rPr>
              <w:t>Year 6</w:t>
            </w:r>
          </w:p>
        </w:tc>
        <w:tc>
          <w:tcPr>
            <w:tcW w:type="dxa" w:w="1417"/>
          </w:tcPr>
          <w:p>
            <w:pPr>
              <w:spacing w:after="0" w:line="240" w:lineRule="auto"/>
              <w:jc w:val="right"/>
            </w:pPr>
            <w:r/>
            <w:r>
              <w:rPr>
                <w:sz w:val="17"/>
              </w:rPr>
              <w:t>153.6</w:t>
            </w:r>
          </w:p>
        </w:tc>
        <w:tc>
          <w:tcPr>
            <w:tcW w:type="dxa" w:w="1644"/>
          </w:tcPr>
          <w:p>
            <w:pPr>
              <w:spacing w:after="0" w:line="240" w:lineRule="auto"/>
              <w:jc w:val="right"/>
            </w:pPr>
            <w:r/>
            <w:r>
              <w:rPr>
                <w:sz w:val="17"/>
              </w:rPr>
              <w:t>-45.0</w:t>
            </w:r>
          </w:p>
        </w:tc>
        <w:tc>
          <w:tcPr>
            <w:tcW w:type="dxa" w:w="2041"/>
          </w:tcPr>
          <w:p>
            <w:pPr>
              <w:spacing w:after="0" w:line="240" w:lineRule="auto"/>
              <w:jc w:val="right"/>
            </w:pPr>
            <w:r/>
            <w:r>
              <w:rPr>
                <w:sz w:val="17"/>
              </w:rPr>
              <w:t>0.0</w:t>
            </w:r>
          </w:p>
        </w:tc>
        <w:tc>
          <w:tcPr>
            <w:tcW w:type="dxa" w:w="1417"/>
          </w:tcPr>
          <w:p>
            <w:pPr>
              <w:spacing w:after="0" w:line="240" w:lineRule="auto"/>
              <w:jc w:val="right"/>
            </w:pPr>
            <w:r/>
            <w:r>
              <w:rPr>
                <w:sz w:val="17"/>
              </w:rPr>
              <w:t>108.6</w:t>
            </w:r>
          </w:p>
        </w:tc>
        <w:tc>
          <w:tcPr>
            <w:tcW w:type="dxa" w:w="1361"/>
          </w:tcPr>
          <w:p>
            <w:pPr>
              <w:spacing w:after="0" w:line="240" w:lineRule="auto"/>
              <w:jc w:val="right"/>
            </w:pPr>
            <w:r/>
            <w:r>
              <w:rPr>
                <w:sz w:val="17"/>
              </w:rPr>
              <w:t>303.4</w:t>
            </w:r>
          </w:p>
        </w:tc>
      </w:tr>
      <w:tr>
        <w:trPr>
          <w:cantSplit/>
        </w:trPr>
        <w:tc>
          <w:tcPr>
            <w:tcW w:type="dxa" w:w="1361"/>
            <w:shd w:val="clear" w:color="auto" w:fill="F2F4F7"/>
          </w:tcPr>
          <w:p>
            <w:pPr>
              <w:spacing w:after="0" w:line="240" w:lineRule="auto"/>
            </w:pPr>
            <w:r/>
            <w:r>
              <w:rPr>
                <w:sz w:val="17"/>
              </w:rPr>
              <w:t>Year 7</w:t>
            </w:r>
          </w:p>
        </w:tc>
        <w:tc>
          <w:tcPr>
            <w:tcW w:type="dxa" w:w="1417"/>
            <w:shd w:val="clear" w:color="auto" w:fill="F2F4F7"/>
          </w:tcPr>
          <w:p>
            <w:pPr>
              <w:spacing w:after="0" w:line="240" w:lineRule="auto"/>
              <w:jc w:val="right"/>
            </w:pPr>
            <w:r/>
            <w:r>
              <w:rPr>
                <w:sz w:val="17"/>
              </w:rPr>
              <w:t>104.7</w:t>
            </w:r>
          </w:p>
        </w:tc>
        <w:tc>
          <w:tcPr>
            <w:tcW w:type="dxa" w:w="1644"/>
            <w:shd w:val="clear" w:color="auto" w:fill="F2F4F7"/>
          </w:tcPr>
          <w:p>
            <w:pPr>
              <w:spacing w:after="0" w:line="240" w:lineRule="auto"/>
              <w:jc w:val="right"/>
            </w:pPr>
            <w:r/>
            <w:r>
              <w:rPr>
                <w:sz w:val="17"/>
              </w:rPr>
              <w:t>-118.7</w:t>
            </w:r>
          </w:p>
        </w:tc>
        <w:tc>
          <w:tcPr>
            <w:tcW w:type="dxa" w:w="2041"/>
            <w:shd w:val="clear" w:color="auto" w:fill="F2F4F7"/>
          </w:tcPr>
          <w:p>
            <w:pPr>
              <w:spacing w:after="0" w:line="240" w:lineRule="auto"/>
              <w:jc w:val="right"/>
            </w:pPr>
            <w:r/>
            <w:r>
              <w:rPr>
                <w:sz w:val="17"/>
              </w:rPr>
              <w:t>0.0</w:t>
            </w:r>
          </w:p>
        </w:tc>
        <w:tc>
          <w:tcPr>
            <w:tcW w:type="dxa" w:w="1417"/>
            <w:shd w:val="clear" w:color="auto" w:fill="F2F4F7"/>
          </w:tcPr>
          <w:p>
            <w:pPr>
              <w:spacing w:after="0" w:line="240" w:lineRule="auto"/>
              <w:jc w:val="right"/>
            </w:pPr>
            <w:r/>
            <w:r>
              <w:rPr>
                <w:sz w:val="17"/>
              </w:rPr>
              <w:t>-14.0</w:t>
            </w:r>
          </w:p>
        </w:tc>
        <w:tc>
          <w:tcPr>
            <w:tcW w:type="dxa" w:w="1361"/>
            <w:shd w:val="clear" w:color="auto" w:fill="F2F4F7"/>
          </w:tcPr>
          <w:p>
            <w:pPr>
              <w:spacing w:after="0" w:line="240" w:lineRule="auto"/>
              <w:jc w:val="right"/>
            </w:pPr>
            <w:r/>
            <w:r>
              <w:rPr>
                <w:sz w:val="17"/>
              </w:rPr>
              <w:t>289.4</w:t>
            </w:r>
          </w:p>
        </w:tc>
      </w:tr>
      <w:tr>
        <w:trPr>
          <w:cantSplit/>
        </w:trPr>
        <w:tc>
          <w:tcPr>
            <w:tcW w:type="dxa" w:w="1361"/>
          </w:tcPr>
          <w:p>
            <w:pPr>
              <w:spacing w:after="0" w:line="240" w:lineRule="auto"/>
            </w:pPr>
            <w:r/>
            <w:r>
              <w:rPr>
                <w:sz w:val="17"/>
              </w:rPr>
              <w:t>Year 8</w:t>
            </w:r>
          </w:p>
        </w:tc>
        <w:tc>
          <w:tcPr>
            <w:tcW w:type="dxa" w:w="1417"/>
          </w:tcPr>
          <w:p>
            <w:pPr>
              <w:spacing w:after="0" w:line="240" w:lineRule="auto"/>
              <w:jc w:val="right"/>
            </w:pPr>
            <w:r/>
            <w:r>
              <w:rPr>
                <w:sz w:val="17"/>
              </w:rPr>
              <w:t>98.2</w:t>
            </w:r>
          </w:p>
        </w:tc>
        <w:tc>
          <w:tcPr>
            <w:tcW w:type="dxa" w:w="1644"/>
          </w:tcPr>
          <w:p>
            <w:pPr>
              <w:spacing w:after="0" w:line="240" w:lineRule="auto"/>
              <w:jc w:val="right"/>
            </w:pPr>
            <w:r/>
            <w:r>
              <w:rPr>
                <w:sz w:val="17"/>
              </w:rPr>
              <w:t>-43.0</w:t>
            </w:r>
          </w:p>
        </w:tc>
        <w:tc>
          <w:tcPr>
            <w:tcW w:type="dxa" w:w="2041"/>
          </w:tcPr>
          <w:p>
            <w:pPr>
              <w:spacing w:after="0" w:line="240" w:lineRule="auto"/>
              <w:jc w:val="right"/>
            </w:pPr>
            <w:r/>
            <w:r>
              <w:rPr>
                <w:sz w:val="17"/>
              </w:rPr>
              <w:t>0.0</w:t>
            </w:r>
          </w:p>
        </w:tc>
        <w:tc>
          <w:tcPr>
            <w:tcW w:type="dxa" w:w="1417"/>
          </w:tcPr>
          <w:p>
            <w:pPr>
              <w:spacing w:after="0" w:line="240" w:lineRule="auto"/>
              <w:jc w:val="right"/>
            </w:pPr>
            <w:r/>
            <w:r>
              <w:rPr>
                <w:sz w:val="17"/>
              </w:rPr>
              <w:t>55.2</w:t>
            </w:r>
          </w:p>
        </w:tc>
        <w:tc>
          <w:tcPr>
            <w:tcW w:type="dxa" w:w="1361"/>
          </w:tcPr>
          <w:p>
            <w:pPr>
              <w:spacing w:after="0" w:line="240" w:lineRule="auto"/>
              <w:jc w:val="right"/>
            </w:pPr>
            <w:r/>
            <w:r>
              <w:rPr>
                <w:sz w:val="17"/>
              </w:rPr>
              <w:t>344.6</w:t>
            </w:r>
          </w:p>
        </w:tc>
      </w:tr>
      <w:tr>
        <w:trPr>
          <w:cantSplit/>
        </w:trPr>
        <w:tc>
          <w:tcPr>
            <w:tcW w:type="dxa" w:w="1361"/>
            <w:shd w:val="clear" w:color="auto" w:fill="F2F4F7"/>
          </w:tcPr>
          <w:p>
            <w:pPr>
              <w:spacing w:after="0" w:line="240" w:lineRule="auto"/>
            </w:pPr>
            <w:r/>
            <w:r>
              <w:rPr>
                <w:sz w:val="17"/>
              </w:rPr>
              <w:t>Year 9</w:t>
            </w:r>
          </w:p>
        </w:tc>
        <w:tc>
          <w:tcPr>
            <w:tcW w:type="dxa" w:w="1417"/>
            <w:shd w:val="clear" w:color="auto" w:fill="F2F4F7"/>
          </w:tcPr>
          <w:p>
            <w:pPr>
              <w:spacing w:after="0" w:line="240" w:lineRule="auto"/>
              <w:jc w:val="right"/>
            </w:pPr>
            <w:r/>
            <w:r>
              <w:rPr>
                <w:sz w:val="17"/>
              </w:rPr>
              <w:t>54.8</w:t>
            </w:r>
          </w:p>
        </w:tc>
        <w:tc>
          <w:tcPr>
            <w:tcW w:type="dxa" w:w="1644"/>
            <w:shd w:val="clear" w:color="auto" w:fill="F2F4F7"/>
          </w:tcPr>
          <w:p>
            <w:pPr>
              <w:spacing w:after="0" w:line="240" w:lineRule="auto"/>
              <w:jc w:val="right"/>
            </w:pPr>
            <w:r/>
            <w:r>
              <w:rPr>
                <w:sz w:val="17"/>
              </w:rPr>
              <w:t>-24.0</w:t>
            </w:r>
          </w:p>
        </w:tc>
        <w:tc>
          <w:tcPr>
            <w:tcW w:type="dxa" w:w="2041"/>
            <w:shd w:val="clear" w:color="auto" w:fill="F2F4F7"/>
          </w:tcPr>
          <w:p>
            <w:pPr>
              <w:spacing w:after="0" w:line="240" w:lineRule="auto"/>
              <w:jc w:val="right"/>
            </w:pPr>
            <w:r/>
            <w:r>
              <w:rPr>
                <w:sz w:val="17"/>
              </w:rPr>
              <w:t>0.0</w:t>
            </w:r>
          </w:p>
        </w:tc>
        <w:tc>
          <w:tcPr>
            <w:tcW w:type="dxa" w:w="1417"/>
            <w:shd w:val="clear" w:color="auto" w:fill="F2F4F7"/>
          </w:tcPr>
          <w:p>
            <w:pPr>
              <w:spacing w:after="0" w:line="240" w:lineRule="auto"/>
              <w:jc w:val="right"/>
            </w:pPr>
            <w:r/>
            <w:r>
              <w:rPr>
                <w:sz w:val="17"/>
              </w:rPr>
              <w:t>30.8</w:t>
            </w:r>
          </w:p>
        </w:tc>
        <w:tc>
          <w:tcPr>
            <w:tcW w:type="dxa" w:w="1361"/>
            <w:shd w:val="clear" w:color="auto" w:fill="F2F4F7"/>
          </w:tcPr>
          <w:p>
            <w:pPr>
              <w:spacing w:after="0" w:line="240" w:lineRule="auto"/>
              <w:jc w:val="right"/>
            </w:pPr>
            <w:r/>
            <w:r>
              <w:rPr>
                <w:sz w:val="17"/>
              </w:rPr>
              <w:t>375.4</w:t>
            </w:r>
          </w:p>
        </w:tc>
      </w:tr>
      <w:tr>
        <w:trPr>
          <w:cantSplit/>
        </w:trPr>
        <w:tc>
          <w:tcPr>
            <w:tcW w:type="dxa" w:w="1361"/>
          </w:tcPr>
          <w:p>
            <w:pPr>
              <w:spacing w:after="0" w:line="240" w:lineRule="auto"/>
            </w:pPr>
            <w:r/>
            <w:r>
              <w:rPr>
                <w:sz w:val="17"/>
              </w:rPr>
              <w:t>Year 10</w:t>
            </w:r>
          </w:p>
        </w:tc>
        <w:tc>
          <w:tcPr>
            <w:tcW w:type="dxa" w:w="1417"/>
          </w:tcPr>
          <w:p>
            <w:pPr>
              <w:spacing w:after="0" w:line="240" w:lineRule="auto"/>
              <w:jc w:val="right"/>
            </w:pPr>
            <w:r/>
            <w:r>
              <w:rPr>
                <w:sz w:val="17"/>
              </w:rPr>
              <w:t>0.0</w:t>
            </w:r>
          </w:p>
        </w:tc>
        <w:tc>
          <w:tcPr>
            <w:tcW w:type="dxa" w:w="1644"/>
          </w:tcPr>
          <w:p>
            <w:pPr>
              <w:spacing w:after="0" w:line="240" w:lineRule="auto"/>
              <w:jc w:val="right"/>
            </w:pPr>
            <w:r/>
            <w:r>
              <w:rPr>
                <w:sz w:val="17"/>
              </w:rPr>
              <w:t>0.0</w:t>
            </w:r>
          </w:p>
        </w:tc>
        <w:tc>
          <w:tcPr>
            <w:tcW w:type="dxa" w:w="2041"/>
          </w:tcPr>
          <w:p>
            <w:pPr>
              <w:spacing w:after="0" w:line="240" w:lineRule="auto"/>
              <w:jc w:val="right"/>
            </w:pPr>
            <w:r/>
            <w:r>
              <w:rPr>
                <w:sz w:val="17"/>
              </w:rPr>
              <w:t>0.0</w:t>
            </w:r>
          </w:p>
        </w:tc>
        <w:tc>
          <w:tcPr>
            <w:tcW w:type="dxa" w:w="1417"/>
          </w:tcPr>
          <w:p>
            <w:pPr>
              <w:spacing w:after="0" w:line="240" w:lineRule="auto"/>
              <w:jc w:val="right"/>
            </w:pPr>
            <w:r/>
            <w:r>
              <w:rPr>
                <w:sz w:val="17"/>
              </w:rPr>
              <w:t>0.0</w:t>
            </w:r>
          </w:p>
        </w:tc>
        <w:tc>
          <w:tcPr>
            <w:tcW w:type="dxa" w:w="1361"/>
          </w:tcPr>
          <w:p>
            <w:pPr>
              <w:spacing w:after="0" w:line="240" w:lineRule="auto"/>
              <w:jc w:val="right"/>
            </w:pPr>
            <w:r/>
            <w:r>
              <w:rPr>
                <w:sz w:val="17"/>
              </w:rPr>
              <w:t>375.4</w:t>
            </w:r>
          </w:p>
        </w:tc>
      </w:tr>
      <w:tr>
        <w:trPr>
          <w:cantSplit/>
        </w:trPr>
        <w:tc>
          <w:tcPr>
            <w:tcW w:type="dxa" w:w="1361"/>
            <w:shd w:val="clear" w:color="auto" w:fill="F2F4F7"/>
          </w:tcPr>
          <w:p>
            <w:pPr>
              <w:spacing w:after="0" w:line="240" w:lineRule="auto"/>
            </w:pPr>
            <w:r/>
            <w:r>
              <w:rPr>
                <w:b/>
                <w:sz w:val="17"/>
              </w:rPr>
              <w:t>Total</w:t>
            </w:r>
          </w:p>
        </w:tc>
        <w:tc>
          <w:tcPr>
            <w:tcW w:type="dxa" w:w="1417"/>
            <w:shd w:val="clear" w:color="auto" w:fill="F2F4F7"/>
          </w:tcPr>
          <w:p>
            <w:pPr>
              <w:spacing w:after="0" w:line="240" w:lineRule="auto"/>
              <w:jc w:val="right"/>
            </w:pPr>
            <w:r/>
            <w:r>
              <w:rPr>
                <w:b/>
                <w:sz w:val="17"/>
              </w:rPr>
              <w:t>2,253.0</w:t>
            </w:r>
          </w:p>
        </w:tc>
        <w:tc>
          <w:tcPr>
            <w:tcW w:type="dxa" w:w="1644"/>
            <w:shd w:val="clear" w:color="auto" w:fill="F2F4F7"/>
          </w:tcPr>
          <w:p>
            <w:pPr>
              <w:spacing w:after="0" w:line="240" w:lineRule="auto"/>
              <w:jc w:val="right"/>
            </w:pPr>
            <w:r/>
            <w:r>
              <w:rPr>
                <w:b/>
                <w:sz w:val="17"/>
              </w:rPr>
              <w:t>-985.7</w:t>
            </w:r>
          </w:p>
        </w:tc>
        <w:tc>
          <w:tcPr>
            <w:tcW w:type="dxa" w:w="2041"/>
            <w:shd w:val="clear" w:color="auto" w:fill="F2F4F7"/>
          </w:tcPr>
          <w:p>
            <w:pPr>
              <w:spacing w:after="0" w:line="240" w:lineRule="auto"/>
              <w:jc w:val="right"/>
            </w:pPr>
            <w:r/>
            <w:r>
              <w:rPr>
                <w:b/>
                <w:sz w:val="17"/>
              </w:rPr>
              <w:t>-891.9</w:t>
            </w:r>
          </w:p>
        </w:tc>
        <w:tc>
          <w:tcPr>
            <w:tcW w:type="dxa" w:w="1417"/>
            <w:shd w:val="clear" w:color="auto" w:fill="F2F4F7"/>
          </w:tcPr>
          <w:p>
            <w:pPr>
              <w:spacing w:after="0" w:line="240" w:lineRule="auto"/>
              <w:jc w:val="right"/>
            </w:pPr>
            <w:r/>
            <w:r>
              <w:rPr>
                <w:b/>
                <w:sz w:val="17"/>
              </w:rPr>
              <w:t>375.4</w:t>
            </w:r>
          </w:p>
        </w:tc>
        <w:tc>
          <w:tcPr>
            <w:tcW w:type="dxa" w:w="1361"/>
            <w:shd w:val="clear" w:color="auto" w:fill="F2F4F7"/>
          </w:tcPr>
          <w:p>
            <w:pPr>
              <w:spacing w:after="0" w:line="240" w:lineRule="auto"/>
              <w:jc w:val="right"/>
            </w:pPr>
            <w:r/>
            <w:r>
              <w:rPr>
                <w:b/>
                <w:sz w:val="17"/>
              </w:rPr>
            </w:r>
          </w:p>
        </w:tc>
      </w:tr>
    </w:tbl>
    <w:p>
      <w:pPr>
        <w:spacing w:after="80"/>
      </w:pPr>
    </w:p>
    <w:p>
      <w:pPr>
        <w:keepNext/>
        <w:jc w:val="center"/>
      </w:pP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fig_cash.png"/>
                    <pic:cNvPicPr/>
                  </pic:nvPicPr>
                  <pic:blipFill>
                    <a:blip r:embed="rId11"/>
                    <a:stretch>
                      <a:fillRect/>
                    </a:stretch>
                  </pic:blipFill>
                  <pic:spPr>
                    <a:xfrm>
                      <a:off x="0" y="0"/>
                      <a:ext cx="5580000" cy="2790000"/>
                    </a:xfrm>
                    <a:prstGeom prst="rect"/>
                  </pic:spPr>
                </pic:pic>
              </a:graphicData>
            </a:graphic>
          </wp:inline>
        </w:drawing>
      </w:r>
    </w:p>
    <w:p>
      <w:pPr>
        <w:jc w:val="center"/>
      </w:pPr>
      <w:r>
        <w:rPr>
          <w:b/>
          <w:color w:val="17324D"/>
          <w:sz w:val="18"/>
        </w:rPr>
        <w:t xml:space="preserve">Figure 1: Green Square: project cash flow by year. </w:t>
      </w:r>
      <w:r>
        <w:rPr>
          <w:i/>
          <w:color w:val="6B7280"/>
          <w:sz w:val="18"/>
        </w:rPr>
        <w:t>Source: Jalour financial model; Financial Annex, project cash flow sheets</w:t>
      </w:r>
    </w:p>
    <w:p>
      <w:pPr>
        <w:pStyle w:val="Heading2"/>
      </w:pPr>
      <w:r>
        <w:t>9.2 L'avenir</w:t>
      </w:r>
    </w:p>
    <w:p>
      <w:pPr>
        <w:keepNext/>
        <w:spacing w:after="60"/>
      </w:pPr>
      <w:r>
        <w:rPr>
          <w:b/>
          <w:color w:val="17324D"/>
          <w:sz w:val="19"/>
        </w:rPr>
        <w:t>Table 14: L'avenir: sales plan by tranche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928"/>
            <w:shd w:val="clear" w:color="auto" w:fill="17324D"/>
          </w:tcPr>
          <w:p>
            <w:pPr>
              <w:spacing w:after="0" w:line="240" w:lineRule="auto"/>
            </w:pPr>
            <w:r/>
            <w:r>
              <w:rPr>
                <w:b/>
                <w:color w:val="FFFFFF"/>
                <w:sz w:val="17"/>
              </w:rPr>
              <w:t>Quarter of sale</w:t>
            </w:r>
          </w:p>
        </w:tc>
        <w:tc>
          <w:tcPr>
            <w:tcW w:type="dxa" w:w="1701"/>
            <w:shd w:val="clear" w:color="auto" w:fill="17324D"/>
          </w:tcPr>
          <w:p>
            <w:pPr>
              <w:spacing w:after="0" w:line="240" w:lineRule="auto"/>
              <w:jc w:val="right"/>
            </w:pPr>
            <w:r/>
            <w:r>
              <w:rPr>
                <w:b/>
                <w:color w:val="FFFFFF"/>
                <w:sz w:val="17"/>
              </w:rPr>
              <w:t>Retail (EGP m)</w:t>
            </w:r>
          </w:p>
        </w:tc>
        <w:tc>
          <w:tcPr>
            <w:tcW w:type="dxa" w:w="1814"/>
            <w:shd w:val="clear" w:color="auto" w:fill="17324D"/>
          </w:tcPr>
          <w:p>
            <w:pPr>
              <w:spacing w:after="0" w:line="240" w:lineRule="auto"/>
              <w:jc w:val="right"/>
            </w:pPr>
            <w:r/>
            <w:r>
              <w:rPr>
                <w:b/>
                <w:color w:val="FFFFFF"/>
                <w:sz w:val="17"/>
              </w:rPr>
              <w:t>Offices (EGP m)</w:t>
            </w:r>
          </w:p>
        </w:tc>
        <w:tc>
          <w:tcPr>
            <w:tcW w:type="dxa" w:w="1928"/>
            <w:shd w:val="clear" w:color="auto" w:fill="17324D"/>
          </w:tcPr>
          <w:p>
            <w:pPr>
              <w:spacing w:after="0" w:line="240" w:lineRule="auto"/>
              <w:jc w:val="right"/>
            </w:pPr>
            <w:r/>
            <w:r>
              <w:rPr>
                <w:b/>
                <w:color w:val="FFFFFF"/>
                <w:sz w:val="17"/>
              </w:rPr>
              <w:t>Retail price (EGP k/m2)</w:t>
            </w:r>
          </w:p>
        </w:tc>
        <w:tc>
          <w:tcPr>
            <w:tcW w:type="dxa" w:w="1871"/>
            <w:shd w:val="clear" w:color="auto" w:fill="17324D"/>
          </w:tcPr>
          <w:p>
            <w:pPr>
              <w:spacing w:after="0" w:line="240" w:lineRule="auto"/>
              <w:jc w:val="right"/>
            </w:pPr>
            <w:r/>
            <w:r>
              <w:rPr>
                <w:b/>
                <w:color w:val="FFFFFF"/>
                <w:sz w:val="17"/>
              </w:rPr>
              <w:t>Office price (EGP k/m2)</w:t>
            </w:r>
          </w:p>
        </w:tc>
      </w:tr>
      <w:tr>
        <w:trPr>
          <w:cantSplit/>
        </w:trPr>
        <w:tc>
          <w:tcPr>
            <w:tcW w:type="dxa" w:w="1928"/>
          </w:tcPr>
          <w:p>
            <w:pPr>
              <w:spacing w:after="0" w:line="240" w:lineRule="auto"/>
            </w:pPr>
            <w:r/>
            <w:r>
              <w:rPr>
                <w:sz w:val="17"/>
              </w:rPr>
              <w:t>Month 3</w:t>
            </w:r>
          </w:p>
        </w:tc>
        <w:tc>
          <w:tcPr>
            <w:tcW w:type="dxa" w:w="1701"/>
          </w:tcPr>
          <w:p>
            <w:pPr>
              <w:spacing w:after="0" w:line="240" w:lineRule="auto"/>
              <w:jc w:val="right"/>
            </w:pPr>
            <w:r/>
            <w:r>
              <w:rPr>
                <w:sz w:val="17"/>
              </w:rPr>
              <w:t>111.8</w:t>
            </w:r>
          </w:p>
        </w:tc>
        <w:tc>
          <w:tcPr>
            <w:tcW w:type="dxa" w:w="1814"/>
          </w:tcPr>
          <w:p>
            <w:pPr>
              <w:spacing w:after="0" w:line="240" w:lineRule="auto"/>
              <w:jc w:val="right"/>
            </w:pPr>
            <w:r/>
            <w:r>
              <w:rPr>
                <w:sz w:val="17"/>
              </w:rPr>
              <w:t>250.5</w:t>
            </w:r>
          </w:p>
        </w:tc>
        <w:tc>
          <w:tcPr>
            <w:tcW w:type="dxa" w:w="1928"/>
          </w:tcPr>
          <w:p>
            <w:pPr>
              <w:spacing w:after="0" w:line="240" w:lineRule="auto"/>
              <w:jc w:val="right"/>
            </w:pPr>
            <w:r/>
            <w:r>
              <w:rPr>
                <w:sz w:val="17"/>
              </w:rPr>
              <w:t>250</w:t>
            </w:r>
          </w:p>
        </w:tc>
        <w:tc>
          <w:tcPr>
            <w:tcW w:type="dxa" w:w="1871"/>
          </w:tcPr>
          <w:p>
            <w:pPr>
              <w:spacing w:after="0" w:line="240" w:lineRule="auto"/>
              <w:jc w:val="right"/>
            </w:pPr>
            <w:r/>
            <w:r>
              <w:rPr>
                <w:sz w:val="17"/>
              </w:rPr>
              <w:t>160</w:t>
            </w:r>
          </w:p>
        </w:tc>
      </w:tr>
      <w:tr>
        <w:trPr>
          <w:cantSplit/>
        </w:trPr>
        <w:tc>
          <w:tcPr>
            <w:tcW w:type="dxa" w:w="1928"/>
            <w:shd w:val="clear" w:color="auto" w:fill="F2F4F7"/>
          </w:tcPr>
          <w:p>
            <w:pPr>
              <w:spacing w:after="0" w:line="240" w:lineRule="auto"/>
            </w:pPr>
            <w:r/>
            <w:r>
              <w:rPr>
                <w:sz w:val="17"/>
              </w:rPr>
              <w:t>Month 6</w:t>
            </w:r>
          </w:p>
        </w:tc>
        <w:tc>
          <w:tcPr>
            <w:tcW w:type="dxa" w:w="1701"/>
            <w:shd w:val="clear" w:color="auto" w:fill="F2F4F7"/>
          </w:tcPr>
          <w:p>
            <w:pPr>
              <w:spacing w:after="0" w:line="240" w:lineRule="auto"/>
              <w:jc w:val="right"/>
            </w:pPr>
            <w:r/>
            <w:r>
              <w:rPr>
                <w:sz w:val="17"/>
              </w:rPr>
              <w:t>111.8</w:t>
            </w:r>
          </w:p>
        </w:tc>
        <w:tc>
          <w:tcPr>
            <w:tcW w:type="dxa" w:w="1814"/>
            <w:shd w:val="clear" w:color="auto" w:fill="F2F4F7"/>
          </w:tcPr>
          <w:p>
            <w:pPr>
              <w:spacing w:after="0" w:line="240" w:lineRule="auto"/>
              <w:jc w:val="right"/>
            </w:pPr>
            <w:r/>
            <w:r>
              <w:rPr>
                <w:sz w:val="17"/>
              </w:rPr>
              <w:t>250.5</w:t>
            </w:r>
          </w:p>
        </w:tc>
        <w:tc>
          <w:tcPr>
            <w:tcW w:type="dxa" w:w="1928"/>
            <w:shd w:val="clear" w:color="auto" w:fill="F2F4F7"/>
          </w:tcPr>
          <w:p>
            <w:pPr>
              <w:spacing w:after="0" w:line="240" w:lineRule="auto"/>
              <w:jc w:val="right"/>
            </w:pPr>
            <w:r/>
            <w:r>
              <w:rPr>
                <w:sz w:val="17"/>
              </w:rPr>
              <w:t>250</w:t>
            </w:r>
          </w:p>
        </w:tc>
        <w:tc>
          <w:tcPr>
            <w:tcW w:type="dxa" w:w="1871"/>
            <w:shd w:val="clear" w:color="auto" w:fill="F2F4F7"/>
          </w:tcPr>
          <w:p>
            <w:pPr>
              <w:spacing w:after="0" w:line="240" w:lineRule="auto"/>
              <w:jc w:val="right"/>
            </w:pPr>
            <w:r/>
            <w:r>
              <w:rPr>
                <w:sz w:val="17"/>
              </w:rPr>
              <w:t>160</w:t>
            </w:r>
          </w:p>
        </w:tc>
      </w:tr>
      <w:tr>
        <w:trPr>
          <w:cantSplit/>
        </w:trPr>
        <w:tc>
          <w:tcPr>
            <w:tcW w:type="dxa" w:w="1928"/>
          </w:tcPr>
          <w:p>
            <w:pPr>
              <w:spacing w:after="0" w:line="240" w:lineRule="auto"/>
            </w:pPr>
            <w:r/>
            <w:r>
              <w:rPr>
                <w:sz w:val="17"/>
              </w:rPr>
              <w:t>Month 9</w:t>
            </w:r>
          </w:p>
        </w:tc>
        <w:tc>
          <w:tcPr>
            <w:tcW w:type="dxa" w:w="1701"/>
          </w:tcPr>
          <w:p>
            <w:pPr>
              <w:spacing w:after="0" w:line="240" w:lineRule="auto"/>
              <w:jc w:val="right"/>
            </w:pPr>
            <w:r/>
            <w:r>
              <w:rPr>
                <w:sz w:val="17"/>
              </w:rPr>
              <w:t>123.0</w:t>
            </w:r>
          </w:p>
        </w:tc>
        <w:tc>
          <w:tcPr>
            <w:tcW w:type="dxa" w:w="1814"/>
          </w:tcPr>
          <w:p>
            <w:pPr>
              <w:spacing w:after="0" w:line="240" w:lineRule="auto"/>
              <w:jc w:val="right"/>
            </w:pPr>
            <w:r/>
            <w:r>
              <w:rPr>
                <w:sz w:val="17"/>
              </w:rPr>
              <w:t>187.9</w:t>
            </w:r>
          </w:p>
        </w:tc>
        <w:tc>
          <w:tcPr>
            <w:tcW w:type="dxa" w:w="1928"/>
          </w:tcPr>
          <w:p>
            <w:pPr>
              <w:spacing w:after="0" w:line="240" w:lineRule="auto"/>
              <w:jc w:val="right"/>
            </w:pPr>
            <w:r/>
            <w:r>
              <w:rPr>
                <w:sz w:val="17"/>
              </w:rPr>
              <w:t>275</w:t>
            </w:r>
          </w:p>
        </w:tc>
        <w:tc>
          <w:tcPr>
            <w:tcW w:type="dxa" w:w="1871"/>
          </w:tcPr>
          <w:p>
            <w:pPr>
              <w:spacing w:after="0" w:line="240" w:lineRule="auto"/>
              <w:jc w:val="right"/>
            </w:pPr>
            <w:r/>
            <w:r>
              <w:rPr>
                <w:sz w:val="17"/>
              </w:rPr>
              <w:t>180</w:t>
            </w:r>
          </w:p>
        </w:tc>
      </w:tr>
      <w:tr>
        <w:trPr>
          <w:cantSplit/>
        </w:trPr>
        <w:tc>
          <w:tcPr>
            <w:tcW w:type="dxa" w:w="1928"/>
            <w:shd w:val="clear" w:color="auto" w:fill="F2F4F7"/>
          </w:tcPr>
          <w:p>
            <w:pPr>
              <w:spacing w:after="0" w:line="240" w:lineRule="auto"/>
            </w:pPr>
            <w:r/>
            <w:r>
              <w:rPr>
                <w:sz w:val="17"/>
              </w:rPr>
              <w:t>Month 12</w:t>
            </w:r>
          </w:p>
        </w:tc>
        <w:tc>
          <w:tcPr>
            <w:tcW w:type="dxa" w:w="1701"/>
            <w:shd w:val="clear" w:color="auto" w:fill="F2F4F7"/>
          </w:tcPr>
          <w:p>
            <w:pPr>
              <w:spacing w:after="0" w:line="240" w:lineRule="auto"/>
              <w:jc w:val="right"/>
            </w:pPr>
            <w:r/>
            <w:r>
              <w:rPr>
                <w:sz w:val="17"/>
              </w:rPr>
              <w:t>86.1</w:t>
            </w:r>
          </w:p>
        </w:tc>
        <w:tc>
          <w:tcPr>
            <w:tcW w:type="dxa" w:w="1814"/>
            <w:shd w:val="clear" w:color="auto" w:fill="F2F4F7"/>
          </w:tcPr>
          <w:p>
            <w:pPr>
              <w:spacing w:after="0" w:line="240" w:lineRule="auto"/>
              <w:jc w:val="right"/>
            </w:pPr>
            <w:r/>
            <w:r>
              <w:rPr>
                <w:sz w:val="17"/>
              </w:rPr>
              <w:t>93.9</w:t>
            </w:r>
          </w:p>
        </w:tc>
        <w:tc>
          <w:tcPr>
            <w:tcW w:type="dxa" w:w="1928"/>
            <w:shd w:val="clear" w:color="auto" w:fill="F2F4F7"/>
          </w:tcPr>
          <w:p>
            <w:pPr>
              <w:spacing w:after="0" w:line="240" w:lineRule="auto"/>
              <w:jc w:val="right"/>
            </w:pPr>
            <w:r/>
            <w:r>
              <w:rPr>
                <w:sz w:val="17"/>
              </w:rPr>
              <w:t>275</w:t>
            </w:r>
          </w:p>
        </w:tc>
        <w:tc>
          <w:tcPr>
            <w:tcW w:type="dxa" w:w="1871"/>
            <w:shd w:val="clear" w:color="auto" w:fill="F2F4F7"/>
          </w:tcPr>
          <w:p>
            <w:pPr>
              <w:spacing w:after="0" w:line="240" w:lineRule="auto"/>
              <w:jc w:val="right"/>
            </w:pPr>
            <w:r/>
            <w:r>
              <w:rPr>
                <w:sz w:val="17"/>
              </w:rPr>
              <w:t>180</w:t>
            </w:r>
          </w:p>
        </w:tc>
      </w:tr>
      <w:tr>
        <w:trPr>
          <w:cantSplit/>
        </w:trPr>
        <w:tc>
          <w:tcPr>
            <w:tcW w:type="dxa" w:w="1928"/>
          </w:tcPr>
          <w:p>
            <w:pPr>
              <w:spacing w:after="0" w:line="240" w:lineRule="auto"/>
            </w:pPr>
            <w:r/>
            <w:r>
              <w:rPr>
                <w:sz w:val="17"/>
              </w:rPr>
              <w:t>Month 15</w:t>
            </w:r>
          </w:p>
        </w:tc>
        <w:tc>
          <w:tcPr>
            <w:tcW w:type="dxa" w:w="1701"/>
          </w:tcPr>
          <w:p>
            <w:pPr>
              <w:spacing w:after="0" w:line="240" w:lineRule="auto"/>
              <w:jc w:val="right"/>
            </w:pPr>
            <w:r/>
            <w:r>
              <w:rPr>
                <w:sz w:val="17"/>
              </w:rPr>
              <w:t>93.9</w:t>
            </w:r>
          </w:p>
        </w:tc>
        <w:tc>
          <w:tcPr>
            <w:tcW w:type="dxa" w:w="1814"/>
          </w:tcPr>
          <w:p>
            <w:pPr>
              <w:spacing w:after="0" w:line="240" w:lineRule="auto"/>
              <w:jc w:val="right"/>
            </w:pPr>
            <w:r/>
            <w:r>
              <w:rPr>
                <w:sz w:val="17"/>
              </w:rPr>
              <w:t>104.4</w:t>
            </w:r>
          </w:p>
        </w:tc>
        <w:tc>
          <w:tcPr>
            <w:tcW w:type="dxa" w:w="1928"/>
          </w:tcPr>
          <w:p>
            <w:pPr>
              <w:spacing w:after="0" w:line="240" w:lineRule="auto"/>
              <w:jc w:val="right"/>
            </w:pPr>
            <w:r/>
            <w:r>
              <w:rPr>
                <w:sz w:val="17"/>
              </w:rPr>
              <w:t>300</w:t>
            </w:r>
          </w:p>
        </w:tc>
        <w:tc>
          <w:tcPr>
            <w:tcW w:type="dxa" w:w="1871"/>
          </w:tcPr>
          <w:p>
            <w:pPr>
              <w:spacing w:after="0" w:line="240" w:lineRule="auto"/>
              <w:jc w:val="right"/>
            </w:pPr>
            <w:r/>
            <w:r>
              <w:rPr>
                <w:sz w:val="17"/>
              </w:rPr>
              <w:t>200</w:t>
            </w:r>
          </w:p>
        </w:tc>
      </w:tr>
      <w:tr>
        <w:trPr>
          <w:cantSplit/>
        </w:trPr>
        <w:tc>
          <w:tcPr>
            <w:tcW w:type="dxa" w:w="1928"/>
            <w:shd w:val="clear" w:color="auto" w:fill="F2F4F7"/>
          </w:tcPr>
          <w:p>
            <w:pPr>
              <w:spacing w:after="0" w:line="240" w:lineRule="auto"/>
            </w:pPr>
            <w:r/>
            <w:r>
              <w:rPr>
                <w:sz w:val="17"/>
              </w:rPr>
              <w:t>Month 18</w:t>
            </w:r>
          </w:p>
        </w:tc>
        <w:tc>
          <w:tcPr>
            <w:tcW w:type="dxa" w:w="1701"/>
            <w:shd w:val="clear" w:color="auto" w:fill="F2F4F7"/>
          </w:tcPr>
          <w:p>
            <w:pPr>
              <w:spacing w:after="0" w:line="240" w:lineRule="auto"/>
              <w:jc w:val="right"/>
            </w:pPr>
            <w:r/>
            <w:r>
              <w:rPr>
                <w:sz w:val="17"/>
              </w:rPr>
              <w:t>80.5</w:t>
            </w:r>
          </w:p>
        </w:tc>
        <w:tc>
          <w:tcPr>
            <w:tcW w:type="dxa" w:w="1814"/>
            <w:shd w:val="clear" w:color="auto" w:fill="F2F4F7"/>
          </w:tcPr>
          <w:p>
            <w:pPr>
              <w:spacing w:after="0" w:line="240" w:lineRule="auto"/>
              <w:jc w:val="right"/>
            </w:pPr>
            <w:r/>
            <w:r>
              <w:rPr>
                <w:sz w:val="17"/>
              </w:rPr>
              <w:t>104.4</w:t>
            </w:r>
          </w:p>
        </w:tc>
        <w:tc>
          <w:tcPr>
            <w:tcW w:type="dxa" w:w="1928"/>
            <w:shd w:val="clear" w:color="auto" w:fill="F2F4F7"/>
          </w:tcPr>
          <w:p>
            <w:pPr>
              <w:spacing w:after="0" w:line="240" w:lineRule="auto"/>
              <w:jc w:val="right"/>
            </w:pPr>
            <w:r/>
            <w:r>
              <w:rPr>
                <w:sz w:val="17"/>
              </w:rPr>
              <w:t>300</w:t>
            </w:r>
          </w:p>
        </w:tc>
        <w:tc>
          <w:tcPr>
            <w:tcW w:type="dxa" w:w="1871"/>
            <w:shd w:val="clear" w:color="auto" w:fill="F2F4F7"/>
          </w:tcPr>
          <w:p>
            <w:pPr>
              <w:spacing w:after="0" w:line="240" w:lineRule="auto"/>
              <w:jc w:val="right"/>
            </w:pPr>
            <w:r/>
            <w:r>
              <w:rPr>
                <w:sz w:val="17"/>
              </w:rPr>
              <w:t>200</w:t>
            </w:r>
          </w:p>
        </w:tc>
      </w:tr>
      <w:tr>
        <w:trPr>
          <w:cantSplit/>
        </w:trPr>
        <w:tc>
          <w:tcPr>
            <w:tcW w:type="dxa" w:w="1928"/>
          </w:tcPr>
          <w:p>
            <w:pPr>
              <w:spacing w:after="0" w:line="240" w:lineRule="auto"/>
            </w:pPr>
            <w:r/>
            <w:r>
              <w:rPr>
                <w:sz w:val="17"/>
              </w:rPr>
              <w:t>Month 21</w:t>
            </w:r>
          </w:p>
        </w:tc>
        <w:tc>
          <w:tcPr>
            <w:tcW w:type="dxa" w:w="1701"/>
          </w:tcPr>
          <w:p>
            <w:pPr>
              <w:spacing w:after="0" w:line="240" w:lineRule="auto"/>
              <w:jc w:val="right"/>
            </w:pPr>
            <w:r/>
            <w:r>
              <w:rPr>
                <w:sz w:val="17"/>
              </w:rPr>
              <w:t>73.8</w:t>
            </w:r>
          </w:p>
        </w:tc>
        <w:tc>
          <w:tcPr>
            <w:tcW w:type="dxa" w:w="1814"/>
          </w:tcPr>
          <w:p>
            <w:pPr>
              <w:spacing w:after="0" w:line="240" w:lineRule="auto"/>
              <w:jc w:val="right"/>
            </w:pPr>
            <w:r/>
            <w:r>
              <w:rPr>
                <w:sz w:val="17"/>
              </w:rPr>
              <w:t>114.8</w:t>
            </w:r>
          </w:p>
        </w:tc>
        <w:tc>
          <w:tcPr>
            <w:tcW w:type="dxa" w:w="1928"/>
          </w:tcPr>
          <w:p>
            <w:pPr>
              <w:spacing w:after="0" w:line="240" w:lineRule="auto"/>
              <w:jc w:val="right"/>
            </w:pPr>
            <w:r/>
            <w:r>
              <w:rPr>
                <w:sz w:val="17"/>
              </w:rPr>
              <w:t>330</w:t>
            </w:r>
          </w:p>
        </w:tc>
        <w:tc>
          <w:tcPr>
            <w:tcW w:type="dxa" w:w="1871"/>
          </w:tcPr>
          <w:p>
            <w:pPr>
              <w:spacing w:after="0" w:line="240" w:lineRule="auto"/>
              <w:jc w:val="right"/>
            </w:pPr>
            <w:r/>
            <w:r>
              <w:rPr>
                <w:sz w:val="17"/>
              </w:rPr>
              <w:t>220</w:t>
            </w:r>
          </w:p>
        </w:tc>
      </w:tr>
      <w:tr>
        <w:trPr>
          <w:cantSplit/>
        </w:trPr>
        <w:tc>
          <w:tcPr>
            <w:tcW w:type="dxa" w:w="1928"/>
            <w:shd w:val="clear" w:color="auto" w:fill="F2F4F7"/>
          </w:tcPr>
          <w:p>
            <w:pPr>
              <w:spacing w:after="0" w:line="240" w:lineRule="auto"/>
            </w:pPr>
            <w:r/>
            <w:r>
              <w:rPr>
                <w:sz w:val="17"/>
              </w:rPr>
              <w:t>Month 24</w:t>
            </w:r>
          </w:p>
        </w:tc>
        <w:tc>
          <w:tcPr>
            <w:tcW w:type="dxa" w:w="1701"/>
            <w:shd w:val="clear" w:color="auto" w:fill="F2F4F7"/>
          </w:tcPr>
          <w:p>
            <w:pPr>
              <w:spacing w:after="0" w:line="240" w:lineRule="auto"/>
              <w:jc w:val="right"/>
            </w:pPr>
            <w:r/>
            <w:r>
              <w:rPr>
                <w:sz w:val="17"/>
              </w:rPr>
              <w:t>73.8</w:t>
            </w:r>
          </w:p>
        </w:tc>
        <w:tc>
          <w:tcPr>
            <w:tcW w:type="dxa" w:w="1814"/>
            <w:shd w:val="clear" w:color="auto" w:fill="F2F4F7"/>
          </w:tcPr>
          <w:p>
            <w:pPr>
              <w:spacing w:after="0" w:line="240" w:lineRule="auto"/>
              <w:jc w:val="right"/>
            </w:pPr>
            <w:r/>
            <w:r>
              <w:rPr>
                <w:sz w:val="17"/>
              </w:rPr>
              <w:t>114.8</w:t>
            </w:r>
          </w:p>
        </w:tc>
        <w:tc>
          <w:tcPr>
            <w:tcW w:type="dxa" w:w="1928"/>
            <w:shd w:val="clear" w:color="auto" w:fill="F2F4F7"/>
          </w:tcPr>
          <w:p>
            <w:pPr>
              <w:spacing w:after="0" w:line="240" w:lineRule="auto"/>
              <w:jc w:val="right"/>
            </w:pPr>
            <w:r/>
            <w:r>
              <w:rPr>
                <w:sz w:val="17"/>
              </w:rPr>
              <w:t>330</w:t>
            </w:r>
          </w:p>
        </w:tc>
        <w:tc>
          <w:tcPr>
            <w:tcW w:type="dxa" w:w="1871"/>
            <w:shd w:val="clear" w:color="auto" w:fill="F2F4F7"/>
          </w:tcPr>
          <w:p>
            <w:pPr>
              <w:spacing w:after="0" w:line="240" w:lineRule="auto"/>
              <w:jc w:val="right"/>
            </w:pPr>
            <w:r/>
            <w:r>
              <w:rPr>
                <w:sz w:val="17"/>
              </w:rPr>
              <w:t>220</w:t>
            </w:r>
          </w:p>
        </w:tc>
      </w:tr>
      <w:tr>
        <w:trPr>
          <w:cantSplit/>
        </w:trPr>
        <w:tc>
          <w:tcPr>
            <w:tcW w:type="dxa" w:w="1928"/>
          </w:tcPr>
          <w:p>
            <w:pPr>
              <w:spacing w:after="0" w:line="240" w:lineRule="auto"/>
            </w:pPr>
            <w:r/>
            <w:r>
              <w:rPr>
                <w:sz w:val="17"/>
              </w:rPr>
              <w:t>Month 27</w:t>
            </w:r>
          </w:p>
        </w:tc>
        <w:tc>
          <w:tcPr>
            <w:tcW w:type="dxa" w:w="1701"/>
          </w:tcPr>
          <w:p>
            <w:pPr>
              <w:spacing w:after="0" w:line="240" w:lineRule="auto"/>
              <w:jc w:val="right"/>
            </w:pPr>
            <w:r/>
            <w:r>
              <w:rPr>
                <w:sz w:val="17"/>
              </w:rPr>
              <w:t>80.5</w:t>
            </w:r>
          </w:p>
        </w:tc>
        <w:tc>
          <w:tcPr>
            <w:tcW w:type="dxa" w:w="1814"/>
          </w:tcPr>
          <w:p>
            <w:pPr>
              <w:spacing w:after="0" w:line="240" w:lineRule="auto"/>
              <w:jc w:val="right"/>
            </w:pPr>
            <w:r/>
            <w:r>
              <w:rPr>
                <w:sz w:val="17"/>
              </w:rPr>
              <w:t>125.2</w:t>
            </w:r>
          </w:p>
        </w:tc>
        <w:tc>
          <w:tcPr>
            <w:tcW w:type="dxa" w:w="1928"/>
          </w:tcPr>
          <w:p>
            <w:pPr>
              <w:spacing w:after="0" w:line="240" w:lineRule="auto"/>
              <w:jc w:val="right"/>
            </w:pPr>
            <w:r/>
            <w:r>
              <w:rPr>
                <w:sz w:val="17"/>
              </w:rPr>
              <w:t>360</w:t>
            </w:r>
          </w:p>
        </w:tc>
        <w:tc>
          <w:tcPr>
            <w:tcW w:type="dxa" w:w="1871"/>
          </w:tcPr>
          <w:p>
            <w:pPr>
              <w:spacing w:after="0" w:line="240" w:lineRule="auto"/>
              <w:jc w:val="right"/>
            </w:pPr>
            <w:r/>
            <w:r>
              <w:rPr>
                <w:sz w:val="17"/>
              </w:rPr>
              <w:t>240</w:t>
            </w:r>
          </w:p>
        </w:tc>
      </w:tr>
      <w:tr>
        <w:trPr>
          <w:cantSplit/>
        </w:trPr>
        <w:tc>
          <w:tcPr>
            <w:tcW w:type="dxa" w:w="1928"/>
            <w:shd w:val="clear" w:color="auto" w:fill="F2F4F7"/>
          </w:tcPr>
          <w:p>
            <w:pPr>
              <w:spacing w:after="0" w:line="240" w:lineRule="auto"/>
            </w:pPr>
            <w:r/>
            <w:r>
              <w:rPr>
                <w:sz w:val="17"/>
              </w:rPr>
              <w:t>Month 30</w:t>
            </w:r>
          </w:p>
        </w:tc>
        <w:tc>
          <w:tcPr>
            <w:tcW w:type="dxa" w:w="1701"/>
            <w:shd w:val="clear" w:color="auto" w:fill="F2F4F7"/>
          </w:tcPr>
          <w:p>
            <w:pPr>
              <w:spacing w:after="0" w:line="240" w:lineRule="auto"/>
              <w:jc w:val="right"/>
            </w:pPr>
            <w:r/>
            <w:r>
              <w:rPr>
                <w:sz w:val="17"/>
              </w:rPr>
              <w:t>80.5</w:t>
            </w:r>
          </w:p>
        </w:tc>
        <w:tc>
          <w:tcPr>
            <w:tcW w:type="dxa" w:w="1814"/>
            <w:shd w:val="clear" w:color="auto" w:fill="F2F4F7"/>
          </w:tcPr>
          <w:p>
            <w:pPr>
              <w:spacing w:after="0" w:line="240" w:lineRule="auto"/>
              <w:jc w:val="right"/>
            </w:pPr>
            <w:r/>
            <w:r>
              <w:rPr>
                <w:sz w:val="17"/>
              </w:rPr>
              <w:t>125.2</w:t>
            </w:r>
          </w:p>
        </w:tc>
        <w:tc>
          <w:tcPr>
            <w:tcW w:type="dxa" w:w="1928"/>
            <w:shd w:val="clear" w:color="auto" w:fill="F2F4F7"/>
          </w:tcPr>
          <w:p>
            <w:pPr>
              <w:spacing w:after="0" w:line="240" w:lineRule="auto"/>
              <w:jc w:val="right"/>
            </w:pPr>
            <w:r/>
            <w:r>
              <w:rPr>
                <w:sz w:val="17"/>
              </w:rPr>
              <w:t>360</w:t>
            </w:r>
          </w:p>
        </w:tc>
        <w:tc>
          <w:tcPr>
            <w:tcW w:type="dxa" w:w="1871"/>
            <w:shd w:val="clear" w:color="auto" w:fill="F2F4F7"/>
          </w:tcPr>
          <w:p>
            <w:pPr>
              <w:spacing w:after="0" w:line="240" w:lineRule="auto"/>
              <w:jc w:val="right"/>
            </w:pPr>
            <w:r/>
            <w:r>
              <w:rPr>
                <w:sz w:val="17"/>
              </w:rPr>
              <w:t>240</w:t>
            </w:r>
          </w:p>
        </w:tc>
      </w:tr>
      <w:tr>
        <w:trPr>
          <w:cantSplit/>
        </w:trPr>
        <w:tc>
          <w:tcPr>
            <w:tcW w:type="dxa" w:w="1928"/>
          </w:tcPr>
          <w:p>
            <w:pPr>
              <w:spacing w:after="0" w:line="240" w:lineRule="auto"/>
            </w:pPr>
            <w:r/>
            <w:r>
              <w:rPr>
                <w:sz w:val="17"/>
              </w:rPr>
              <w:t>Month 33</w:t>
            </w:r>
          </w:p>
        </w:tc>
        <w:tc>
          <w:tcPr>
            <w:tcW w:type="dxa" w:w="1701"/>
          </w:tcPr>
          <w:p>
            <w:pPr>
              <w:spacing w:after="0" w:line="240" w:lineRule="auto"/>
              <w:jc w:val="right"/>
            </w:pPr>
            <w:r/>
            <w:r>
              <w:rPr>
                <w:sz w:val="17"/>
              </w:rPr>
              <w:t>80.5</w:t>
            </w:r>
          </w:p>
        </w:tc>
        <w:tc>
          <w:tcPr>
            <w:tcW w:type="dxa" w:w="1814"/>
          </w:tcPr>
          <w:p>
            <w:pPr>
              <w:spacing w:after="0" w:line="240" w:lineRule="auto"/>
              <w:jc w:val="right"/>
            </w:pPr>
            <w:r/>
            <w:r>
              <w:rPr>
                <w:sz w:val="17"/>
              </w:rPr>
              <w:t>62.6</w:t>
            </w:r>
          </w:p>
        </w:tc>
        <w:tc>
          <w:tcPr>
            <w:tcW w:type="dxa" w:w="1928"/>
          </w:tcPr>
          <w:p>
            <w:pPr>
              <w:spacing w:after="0" w:line="240" w:lineRule="auto"/>
              <w:jc w:val="right"/>
            </w:pPr>
            <w:r/>
            <w:r>
              <w:rPr>
                <w:sz w:val="17"/>
              </w:rPr>
              <w:t>360</w:t>
            </w:r>
          </w:p>
        </w:tc>
        <w:tc>
          <w:tcPr>
            <w:tcW w:type="dxa" w:w="1871"/>
          </w:tcPr>
          <w:p>
            <w:pPr>
              <w:spacing w:after="0" w:line="240" w:lineRule="auto"/>
              <w:jc w:val="right"/>
            </w:pPr>
            <w:r/>
            <w:r>
              <w:rPr>
                <w:sz w:val="17"/>
              </w:rPr>
              <w:t>240</w:t>
            </w:r>
          </w:p>
        </w:tc>
      </w:tr>
      <w:tr>
        <w:trPr>
          <w:cantSplit/>
        </w:trPr>
        <w:tc>
          <w:tcPr>
            <w:tcW w:type="dxa" w:w="1928"/>
            <w:shd w:val="clear" w:color="auto" w:fill="F2F4F7"/>
          </w:tcPr>
          <w:p>
            <w:pPr>
              <w:spacing w:after="0" w:line="240" w:lineRule="auto"/>
            </w:pPr>
            <w:r/>
            <w:r>
              <w:rPr>
                <w:sz w:val="17"/>
              </w:rPr>
              <w:t>Month 36</w:t>
            </w:r>
          </w:p>
        </w:tc>
        <w:tc>
          <w:tcPr>
            <w:tcW w:type="dxa" w:w="1701"/>
            <w:shd w:val="clear" w:color="auto" w:fill="F2F4F7"/>
          </w:tcPr>
          <w:p>
            <w:pPr>
              <w:spacing w:after="0" w:line="240" w:lineRule="auto"/>
              <w:jc w:val="right"/>
            </w:pPr>
            <w:r/>
            <w:r>
              <w:rPr>
                <w:sz w:val="17"/>
              </w:rPr>
              <w:t>80.5</w:t>
            </w:r>
          </w:p>
        </w:tc>
        <w:tc>
          <w:tcPr>
            <w:tcW w:type="dxa" w:w="1814"/>
            <w:shd w:val="clear" w:color="auto" w:fill="F2F4F7"/>
          </w:tcPr>
          <w:p>
            <w:pPr>
              <w:spacing w:after="0" w:line="240" w:lineRule="auto"/>
              <w:jc w:val="right"/>
            </w:pPr>
            <w:r/>
            <w:r>
              <w:rPr>
                <w:sz w:val="17"/>
              </w:rPr>
              <w:t>62.6</w:t>
            </w:r>
          </w:p>
        </w:tc>
        <w:tc>
          <w:tcPr>
            <w:tcW w:type="dxa" w:w="1928"/>
            <w:shd w:val="clear" w:color="auto" w:fill="F2F4F7"/>
          </w:tcPr>
          <w:p>
            <w:pPr>
              <w:spacing w:after="0" w:line="240" w:lineRule="auto"/>
              <w:jc w:val="right"/>
            </w:pPr>
            <w:r/>
            <w:r>
              <w:rPr>
                <w:sz w:val="17"/>
              </w:rPr>
              <w:t>360</w:t>
            </w:r>
          </w:p>
        </w:tc>
        <w:tc>
          <w:tcPr>
            <w:tcW w:type="dxa" w:w="1871"/>
            <w:shd w:val="clear" w:color="auto" w:fill="F2F4F7"/>
          </w:tcPr>
          <w:p>
            <w:pPr>
              <w:spacing w:after="0" w:line="240" w:lineRule="auto"/>
              <w:jc w:val="right"/>
            </w:pPr>
            <w:r/>
            <w:r>
              <w:rPr>
                <w:sz w:val="17"/>
              </w:rPr>
              <w:t>240</w:t>
            </w:r>
          </w:p>
        </w:tc>
      </w:tr>
      <w:tr>
        <w:trPr>
          <w:cantSplit/>
        </w:trPr>
        <w:tc>
          <w:tcPr>
            <w:tcW w:type="dxa" w:w="1928"/>
          </w:tcPr>
          <w:p>
            <w:pPr>
              <w:spacing w:after="0" w:line="240" w:lineRule="auto"/>
            </w:pPr>
            <w:r/>
            <w:r>
              <w:rPr>
                <w:b/>
                <w:sz w:val="17"/>
              </w:rPr>
              <w:t>Total</w:t>
            </w:r>
          </w:p>
        </w:tc>
        <w:tc>
          <w:tcPr>
            <w:tcW w:type="dxa" w:w="1701"/>
          </w:tcPr>
          <w:p>
            <w:pPr>
              <w:spacing w:after="0" w:line="240" w:lineRule="auto"/>
              <w:jc w:val="right"/>
            </w:pPr>
            <w:r/>
            <w:r>
              <w:rPr>
                <w:b/>
                <w:sz w:val="17"/>
              </w:rPr>
              <w:t>1,076.9</w:t>
            </w:r>
          </w:p>
        </w:tc>
        <w:tc>
          <w:tcPr>
            <w:tcW w:type="dxa" w:w="1814"/>
          </w:tcPr>
          <w:p>
            <w:pPr>
              <w:spacing w:after="0" w:line="240" w:lineRule="auto"/>
              <w:jc w:val="right"/>
            </w:pPr>
            <w:r/>
            <w:r>
              <w:rPr>
                <w:b/>
                <w:sz w:val="17"/>
              </w:rPr>
              <w:t>1,596.9</w:t>
            </w:r>
          </w:p>
        </w:tc>
        <w:tc>
          <w:tcPr>
            <w:tcW w:type="dxa" w:w="1928"/>
          </w:tcPr>
          <w:p>
            <w:pPr>
              <w:spacing w:after="0" w:line="240" w:lineRule="auto"/>
              <w:jc w:val="right"/>
            </w:pPr>
            <w:r/>
            <w:r>
              <w:rPr>
                <w:b/>
                <w:sz w:val="17"/>
              </w:rPr>
            </w:r>
          </w:p>
        </w:tc>
        <w:tc>
          <w:tcPr>
            <w:tcW w:type="dxa" w:w="1871"/>
          </w:tcPr>
          <w:p>
            <w:pPr>
              <w:spacing w:after="0" w:line="240" w:lineRule="auto"/>
              <w:jc w:val="right"/>
            </w:pPr>
            <w:r/>
            <w:r>
              <w:rPr>
                <w:b/>
                <w:sz w:val="17"/>
              </w:rPr>
            </w:r>
          </w:p>
        </w:tc>
      </w:tr>
    </w:tbl>
    <w:p>
      <w:pPr>
        <w:spacing w:after="80"/>
      </w:pPr>
    </w:p>
    <w:p>
      <w:r>
        <w:rPr>
          <w:b w:val="0"/>
          <w:i w:val="0"/>
        </w:rPr>
        <w:t>The sales plan totals EGP 2,674 million at modelled prices; the landlord share is calculated on the full project sales value of EGP 3,342 million. The first two tranches (months 3 and 6) carry the launch list and total EGP 725 million; Option A units come from these.</w:t>
      </w:r>
    </w:p>
    <w:p>
      <w:pPr>
        <w:keepNext/>
        <w:spacing w:after="60"/>
      </w:pPr>
      <w:r>
        <w:rPr>
          <w:b/>
          <w:color w:val="17324D"/>
          <w:sz w:val="19"/>
        </w:rPr>
        <w:t>Table 15: L'avenir: annual cash flow, EGP million (year 1 = months 1 to 12)</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361"/>
            <w:shd w:val="clear" w:color="auto" w:fill="17324D"/>
          </w:tcPr>
          <w:p>
            <w:pPr>
              <w:spacing w:after="0" w:line="240" w:lineRule="auto"/>
            </w:pPr>
            <w:r/>
            <w:r>
              <w:rPr>
                <w:b/>
                <w:color w:val="FFFFFF"/>
                <w:sz w:val="17"/>
              </w:rPr>
              <w:t>Project year</w:t>
            </w:r>
          </w:p>
        </w:tc>
        <w:tc>
          <w:tcPr>
            <w:tcW w:type="dxa" w:w="1417"/>
            <w:shd w:val="clear" w:color="auto" w:fill="17324D"/>
          </w:tcPr>
          <w:p>
            <w:pPr>
              <w:spacing w:after="0" w:line="240" w:lineRule="auto"/>
              <w:jc w:val="right"/>
            </w:pPr>
            <w:r/>
            <w:r>
              <w:rPr>
                <w:b/>
                <w:color w:val="FFFFFF"/>
                <w:sz w:val="17"/>
              </w:rPr>
              <w:t>Collections</w:t>
            </w:r>
          </w:p>
        </w:tc>
        <w:tc>
          <w:tcPr>
            <w:tcW w:type="dxa" w:w="1644"/>
            <w:shd w:val="clear" w:color="auto" w:fill="17324D"/>
          </w:tcPr>
          <w:p>
            <w:pPr>
              <w:spacing w:after="0" w:line="240" w:lineRule="auto"/>
              <w:jc w:val="right"/>
            </w:pPr>
            <w:r/>
            <w:r>
              <w:rPr>
                <w:b/>
                <w:color w:val="FFFFFF"/>
                <w:sz w:val="17"/>
              </w:rPr>
              <w:t>Landlord payments</w:t>
            </w:r>
          </w:p>
        </w:tc>
        <w:tc>
          <w:tcPr>
            <w:tcW w:type="dxa" w:w="2041"/>
            <w:shd w:val="clear" w:color="auto" w:fill="17324D"/>
          </w:tcPr>
          <w:p>
            <w:pPr>
              <w:spacing w:after="0" w:line="240" w:lineRule="auto"/>
              <w:jc w:val="right"/>
            </w:pPr>
            <w:r/>
            <w:r>
              <w:rPr>
                <w:b/>
                <w:color w:val="FFFFFF"/>
                <w:sz w:val="17"/>
              </w:rPr>
              <w:t>Construction, commission, SG&amp;A</w:t>
            </w:r>
          </w:p>
        </w:tc>
        <w:tc>
          <w:tcPr>
            <w:tcW w:type="dxa" w:w="1417"/>
            <w:shd w:val="clear" w:color="auto" w:fill="17324D"/>
          </w:tcPr>
          <w:p>
            <w:pPr>
              <w:spacing w:after="0" w:line="240" w:lineRule="auto"/>
              <w:jc w:val="right"/>
            </w:pPr>
            <w:r/>
            <w:r>
              <w:rPr>
                <w:b/>
                <w:color w:val="FFFFFF"/>
                <w:sz w:val="17"/>
              </w:rPr>
              <w:t>Net cash flow</w:t>
            </w:r>
          </w:p>
        </w:tc>
        <w:tc>
          <w:tcPr>
            <w:tcW w:type="dxa" w:w="1361"/>
            <w:shd w:val="clear" w:color="auto" w:fill="17324D"/>
          </w:tcPr>
          <w:p>
            <w:pPr>
              <w:spacing w:after="0" w:line="240" w:lineRule="auto"/>
              <w:jc w:val="right"/>
            </w:pPr>
            <w:r/>
            <w:r>
              <w:rPr>
                <w:b/>
                <w:color w:val="FFFFFF"/>
                <w:sz w:val="17"/>
              </w:rPr>
              <w:t>Cumulative</w:t>
            </w:r>
          </w:p>
        </w:tc>
      </w:tr>
      <w:tr>
        <w:trPr>
          <w:cantSplit/>
        </w:trPr>
        <w:tc>
          <w:tcPr>
            <w:tcW w:type="dxa" w:w="1361"/>
          </w:tcPr>
          <w:p>
            <w:pPr>
              <w:spacing w:after="0" w:line="240" w:lineRule="auto"/>
            </w:pPr>
            <w:r/>
            <w:r>
              <w:rPr>
                <w:sz w:val="17"/>
              </w:rPr>
              <w:t>Year 0</w:t>
            </w:r>
          </w:p>
        </w:tc>
        <w:tc>
          <w:tcPr>
            <w:tcW w:type="dxa" w:w="1417"/>
          </w:tcPr>
          <w:p>
            <w:pPr>
              <w:spacing w:after="0" w:line="240" w:lineRule="auto"/>
              <w:jc w:val="right"/>
            </w:pPr>
            <w:r/>
            <w:r>
              <w:rPr>
                <w:sz w:val="17"/>
              </w:rPr>
              <w:t>0.0</w:t>
            </w:r>
          </w:p>
        </w:tc>
        <w:tc>
          <w:tcPr>
            <w:tcW w:type="dxa" w:w="1644"/>
          </w:tcPr>
          <w:p>
            <w:pPr>
              <w:spacing w:after="0" w:line="240" w:lineRule="auto"/>
              <w:jc w:val="right"/>
            </w:pPr>
            <w:r/>
            <w:r>
              <w:rPr>
                <w:sz w:val="17"/>
              </w:rPr>
              <w:t>-85.0</w:t>
            </w:r>
          </w:p>
        </w:tc>
        <w:tc>
          <w:tcPr>
            <w:tcW w:type="dxa" w:w="2041"/>
          </w:tcPr>
          <w:p>
            <w:pPr>
              <w:spacing w:after="0" w:line="240" w:lineRule="auto"/>
              <w:jc w:val="right"/>
            </w:pPr>
            <w:r/>
            <w:r>
              <w:rPr>
                <w:sz w:val="17"/>
              </w:rPr>
              <w:t>0.0</w:t>
            </w:r>
          </w:p>
        </w:tc>
        <w:tc>
          <w:tcPr>
            <w:tcW w:type="dxa" w:w="1417"/>
          </w:tcPr>
          <w:p>
            <w:pPr>
              <w:spacing w:after="0" w:line="240" w:lineRule="auto"/>
              <w:jc w:val="right"/>
            </w:pPr>
            <w:r/>
            <w:r>
              <w:rPr>
                <w:sz w:val="17"/>
              </w:rPr>
              <w:t>-85.0</w:t>
            </w:r>
          </w:p>
        </w:tc>
        <w:tc>
          <w:tcPr>
            <w:tcW w:type="dxa" w:w="1361"/>
          </w:tcPr>
          <w:p>
            <w:pPr>
              <w:spacing w:after="0" w:line="240" w:lineRule="auto"/>
              <w:jc w:val="right"/>
            </w:pPr>
            <w:r/>
            <w:r>
              <w:rPr>
                <w:sz w:val="17"/>
              </w:rPr>
              <w:t>-85.0</w:t>
            </w:r>
          </w:p>
        </w:tc>
      </w:tr>
      <w:tr>
        <w:trPr>
          <w:cantSplit/>
        </w:trPr>
        <w:tc>
          <w:tcPr>
            <w:tcW w:type="dxa" w:w="1361"/>
            <w:shd w:val="clear" w:color="auto" w:fill="F2F4F7"/>
          </w:tcPr>
          <w:p>
            <w:pPr>
              <w:spacing w:after="0" w:line="240" w:lineRule="auto"/>
            </w:pPr>
            <w:r/>
            <w:r>
              <w:rPr>
                <w:sz w:val="17"/>
              </w:rPr>
              <w:t>Year 1</w:t>
            </w:r>
          </w:p>
        </w:tc>
        <w:tc>
          <w:tcPr>
            <w:tcW w:type="dxa" w:w="1417"/>
            <w:shd w:val="clear" w:color="auto" w:fill="F2F4F7"/>
          </w:tcPr>
          <w:p>
            <w:pPr>
              <w:spacing w:after="0" w:line="240" w:lineRule="auto"/>
              <w:jc w:val="right"/>
            </w:pPr>
            <w:r/>
            <w:r>
              <w:rPr>
                <w:sz w:val="17"/>
              </w:rPr>
              <w:t>181.6</w:t>
            </w:r>
          </w:p>
        </w:tc>
        <w:tc>
          <w:tcPr>
            <w:tcW w:type="dxa" w:w="1644"/>
            <w:shd w:val="clear" w:color="auto" w:fill="F2F4F7"/>
          </w:tcPr>
          <w:p>
            <w:pPr>
              <w:spacing w:after="0" w:line="240" w:lineRule="auto"/>
              <w:jc w:val="right"/>
            </w:pPr>
            <w:r/>
            <w:r>
              <w:rPr>
                <w:sz w:val="17"/>
              </w:rPr>
              <w:t>-90.0</w:t>
            </w:r>
          </w:p>
        </w:tc>
        <w:tc>
          <w:tcPr>
            <w:tcW w:type="dxa" w:w="2041"/>
            <w:shd w:val="clear" w:color="auto" w:fill="F2F4F7"/>
          </w:tcPr>
          <w:p>
            <w:pPr>
              <w:spacing w:after="0" w:line="240" w:lineRule="auto"/>
              <w:jc w:val="right"/>
            </w:pPr>
            <w:r/>
            <w:r>
              <w:rPr>
                <w:sz w:val="17"/>
              </w:rPr>
              <w:t>-53.4</w:t>
            </w:r>
          </w:p>
        </w:tc>
        <w:tc>
          <w:tcPr>
            <w:tcW w:type="dxa" w:w="1417"/>
            <w:shd w:val="clear" w:color="auto" w:fill="F2F4F7"/>
          </w:tcPr>
          <w:p>
            <w:pPr>
              <w:spacing w:after="0" w:line="240" w:lineRule="auto"/>
              <w:jc w:val="right"/>
            </w:pPr>
            <w:r/>
            <w:r>
              <w:rPr>
                <w:sz w:val="17"/>
              </w:rPr>
              <w:t>38.3</w:t>
            </w:r>
          </w:p>
        </w:tc>
        <w:tc>
          <w:tcPr>
            <w:tcW w:type="dxa" w:w="1361"/>
            <w:shd w:val="clear" w:color="auto" w:fill="F2F4F7"/>
          </w:tcPr>
          <w:p>
            <w:pPr>
              <w:spacing w:after="0" w:line="240" w:lineRule="auto"/>
              <w:jc w:val="right"/>
            </w:pPr>
            <w:r/>
            <w:r>
              <w:rPr>
                <w:sz w:val="17"/>
              </w:rPr>
              <w:t>-46.7</w:t>
            </w:r>
          </w:p>
        </w:tc>
      </w:tr>
      <w:tr>
        <w:trPr>
          <w:cantSplit/>
        </w:trPr>
        <w:tc>
          <w:tcPr>
            <w:tcW w:type="dxa" w:w="1361"/>
          </w:tcPr>
          <w:p>
            <w:pPr>
              <w:spacing w:after="0" w:line="240" w:lineRule="auto"/>
            </w:pPr>
            <w:r/>
            <w:r>
              <w:rPr>
                <w:sz w:val="17"/>
              </w:rPr>
              <w:t>Year 2</w:t>
            </w:r>
          </w:p>
        </w:tc>
        <w:tc>
          <w:tcPr>
            <w:tcW w:type="dxa" w:w="1417"/>
          </w:tcPr>
          <w:p>
            <w:pPr>
              <w:spacing w:after="0" w:line="240" w:lineRule="auto"/>
              <w:jc w:val="right"/>
            </w:pPr>
            <w:r/>
            <w:r>
              <w:rPr>
                <w:sz w:val="17"/>
              </w:rPr>
              <w:t>334.5</w:t>
            </w:r>
          </w:p>
        </w:tc>
        <w:tc>
          <w:tcPr>
            <w:tcW w:type="dxa" w:w="1644"/>
          </w:tcPr>
          <w:p>
            <w:pPr>
              <w:spacing w:after="0" w:line="240" w:lineRule="auto"/>
              <w:jc w:val="right"/>
            </w:pPr>
            <w:r/>
            <w:r>
              <w:rPr>
                <w:sz w:val="17"/>
              </w:rPr>
              <w:t>-180.0</w:t>
            </w:r>
          </w:p>
        </w:tc>
        <w:tc>
          <w:tcPr>
            <w:tcW w:type="dxa" w:w="2041"/>
          </w:tcPr>
          <w:p>
            <w:pPr>
              <w:spacing w:after="0" w:line="240" w:lineRule="auto"/>
              <w:jc w:val="right"/>
            </w:pPr>
            <w:r/>
            <w:r>
              <w:rPr>
                <w:sz w:val="17"/>
              </w:rPr>
              <w:t>-185.7</w:t>
            </w:r>
          </w:p>
        </w:tc>
        <w:tc>
          <w:tcPr>
            <w:tcW w:type="dxa" w:w="1417"/>
          </w:tcPr>
          <w:p>
            <w:pPr>
              <w:spacing w:after="0" w:line="240" w:lineRule="auto"/>
              <w:jc w:val="right"/>
            </w:pPr>
            <w:r/>
            <w:r>
              <w:rPr>
                <w:sz w:val="17"/>
              </w:rPr>
              <w:t>-31.2</w:t>
            </w:r>
          </w:p>
        </w:tc>
        <w:tc>
          <w:tcPr>
            <w:tcW w:type="dxa" w:w="1361"/>
          </w:tcPr>
          <w:p>
            <w:pPr>
              <w:spacing w:after="0" w:line="240" w:lineRule="auto"/>
              <w:jc w:val="right"/>
            </w:pPr>
            <w:r/>
            <w:r>
              <w:rPr>
                <w:sz w:val="17"/>
              </w:rPr>
              <w:t>-77.9</w:t>
            </w:r>
          </w:p>
        </w:tc>
      </w:tr>
      <w:tr>
        <w:trPr>
          <w:cantSplit/>
        </w:trPr>
        <w:tc>
          <w:tcPr>
            <w:tcW w:type="dxa" w:w="1361"/>
            <w:shd w:val="clear" w:color="auto" w:fill="F2F4F7"/>
          </w:tcPr>
          <w:p>
            <w:pPr>
              <w:spacing w:after="0" w:line="240" w:lineRule="auto"/>
            </w:pPr>
            <w:r/>
            <w:r>
              <w:rPr>
                <w:sz w:val="17"/>
              </w:rPr>
              <w:t>Year 3</w:t>
            </w:r>
          </w:p>
        </w:tc>
        <w:tc>
          <w:tcPr>
            <w:tcW w:type="dxa" w:w="1417"/>
            <w:shd w:val="clear" w:color="auto" w:fill="F2F4F7"/>
          </w:tcPr>
          <w:p>
            <w:pPr>
              <w:spacing w:after="0" w:line="240" w:lineRule="auto"/>
              <w:jc w:val="right"/>
            </w:pPr>
            <w:r/>
            <w:r>
              <w:rPr>
                <w:sz w:val="17"/>
              </w:rPr>
              <w:t>1,094.9</w:t>
            </w:r>
          </w:p>
        </w:tc>
        <w:tc>
          <w:tcPr>
            <w:tcW w:type="dxa" w:w="1644"/>
            <w:shd w:val="clear" w:color="auto" w:fill="F2F4F7"/>
          </w:tcPr>
          <w:p>
            <w:pPr>
              <w:spacing w:after="0" w:line="240" w:lineRule="auto"/>
              <w:jc w:val="right"/>
            </w:pPr>
            <w:r/>
            <w:r>
              <w:rPr>
                <w:sz w:val="17"/>
              </w:rPr>
              <w:t>-225.0</w:t>
            </w:r>
          </w:p>
        </w:tc>
        <w:tc>
          <w:tcPr>
            <w:tcW w:type="dxa" w:w="2041"/>
            <w:shd w:val="clear" w:color="auto" w:fill="F2F4F7"/>
          </w:tcPr>
          <w:p>
            <w:pPr>
              <w:spacing w:after="0" w:line="240" w:lineRule="auto"/>
              <w:jc w:val="right"/>
            </w:pPr>
            <w:r/>
            <w:r>
              <w:rPr>
                <w:sz w:val="17"/>
              </w:rPr>
              <w:t>-318.6</w:t>
            </w:r>
          </w:p>
        </w:tc>
        <w:tc>
          <w:tcPr>
            <w:tcW w:type="dxa" w:w="1417"/>
            <w:shd w:val="clear" w:color="auto" w:fill="F2F4F7"/>
          </w:tcPr>
          <w:p>
            <w:pPr>
              <w:spacing w:after="0" w:line="240" w:lineRule="auto"/>
              <w:jc w:val="right"/>
            </w:pPr>
            <w:r/>
            <w:r>
              <w:rPr>
                <w:sz w:val="17"/>
              </w:rPr>
              <w:t>551.3</w:t>
            </w:r>
          </w:p>
        </w:tc>
        <w:tc>
          <w:tcPr>
            <w:tcW w:type="dxa" w:w="1361"/>
            <w:shd w:val="clear" w:color="auto" w:fill="F2F4F7"/>
          </w:tcPr>
          <w:p>
            <w:pPr>
              <w:spacing w:after="0" w:line="240" w:lineRule="auto"/>
              <w:jc w:val="right"/>
            </w:pPr>
            <w:r/>
            <w:r>
              <w:rPr>
                <w:sz w:val="17"/>
              </w:rPr>
              <w:t>473.4</w:t>
            </w:r>
          </w:p>
        </w:tc>
      </w:tr>
      <w:tr>
        <w:trPr>
          <w:cantSplit/>
        </w:trPr>
        <w:tc>
          <w:tcPr>
            <w:tcW w:type="dxa" w:w="1361"/>
          </w:tcPr>
          <w:p>
            <w:pPr>
              <w:spacing w:after="0" w:line="240" w:lineRule="auto"/>
            </w:pPr>
            <w:r/>
            <w:r>
              <w:rPr>
                <w:sz w:val="17"/>
              </w:rPr>
              <w:t>Year 4</w:t>
            </w:r>
          </w:p>
        </w:tc>
        <w:tc>
          <w:tcPr>
            <w:tcW w:type="dxa" w:w="1417"/>
          </w:tcPr>
          <w:p>
            <w:pPr>
              <w:spacing w:after="0" w:line="240" w:lineRule="auto"/>
              <w:jc w:val="right"/>
            </w:pPr>
            <w:r/>
            <w:r>
              <w:rPr>
                <w:sz w:val="17"/>
              </w:rPr>
              <w:t>375.2</w:t>
            </w:r>
          </w:p>
        </w:tc>
        <w:tc>
          <w:tcPr>
            <w:tcW w:type="dxa" w:w="1644"/>
          </w:tcPr>
          <w:p>
            <w:pPr>
              <w:spacing w:after="0" w:line="240" w:lineRule="auto"/>
              <w:jc w:val="right"/>
            </w:pPr>
            <w:r/>
            <w:r>
              <w:rPr>
                <w:sz w:val="17"/>
              </w:rPr>
              <w:t>-180.0</w:t>
            </w:r>
          </w:p>
        </w:tc>
        <w:tc>
          <w:tcPr>
            <w:tcW w:type="dxa" w:w="2041"/>
          </w:tcPr>
          <w:p>
            <w:pPr>
              <w:spacing w:after="0" w:line="240" w:lineRule="auto"/>
              <w:jc w:val="right"/>
            </w:pPr>
            <w:r/>
            <w:r>
              <w:rPr>
                <w:sz w:val="17"/>
              </w:rPr>
              <w:t>-351.1</w:t>
            </w:r>
          </w:p>
        </w:tc>
        <w:tc>
          <w:tcPr>
            <w:tcW w:type="dxa" w:w="1417"/>
          </w:tcPr>
          <w:p>
            <w:pPr>
              <w:spacing w:after="0" w:line="240" w:lineRule="auto"/>
              <w:jc w:val="right"/>
            </w:pPr>
            <w:r/>
            <w:r>
              <w:rPr>
                <w:sz w:val="17"/>
              </w:rPr>
              <w:t>-155.9</w:t>
            </w:r>
          </w:p>
        </w:tc>
        <w:tc>
          <w:tcPr>
            <w:tcW w:type="dxa" w:w="1361"/>
          </w:tcPr>
          <w:p>
            <w:pPr>
              <w:spacing w:after="0" w:line="240" w:lineRule="auto"/>
              <w:jc w:val="right"/>
            </w:pPr>
            <w:r/>
            <w:r>
              <w:rPr>
                <w:sz w:val="17"/>
              </w:rPr>
              <w:t>317.5</w:t>
            </w:r>
          </w:p>
        </w:tc>
      </w:tr>
      <w:tr>
        <w:trPr>
          <w:cantSplit/>
        </w:trPr>
        <w:tc>
          <w:tcPr>
            <w:tcW w:type="dxa" w:w="1361"/>
            <w:shd w:val="clear" w:color="auto" w:fill="F2F4F7"/>
          </w:tcPr>
          <w:p>
            <w:pPr>
              <w:spacing w:after="0" w:line="240" w:lineRule="auto"/>
            </w:pPr>
            <w:r/>
            <w:r>
              <w:rPr>
                <w:sz w:val="17"/>
              </w:rPr>
              <w:t>Year 5</w:t>
            </w:r>
          </w:p>
        </w:tc>
        <w:tc>
          <w:tcPr>
            <w:tcW w:type="dxa" w:w="1417"/>
            <w:shd w:val="clear" w:color="auto" w:fill="F2F4F7"/>
          </w:tcPr>
          <w:p>
            <w:pPr>
              <w:spacing w:after="0" w:line="240" w:lineRule="auto"/>
              <w:jc w:val="right"/>
            </w:pPr>
            <w:r/>
            <w:r>
              <w:rPr>
                <w:sz w:val="17"/>
              </w:rPr>
              <w:t>259.8</w:t>
            </w:r>
          </w:p>
        </w:tc>
        <w:tc>
          <w:tcPr>
            <w:tcW w:type="dxa" w:w="1644"/>
            <w:shd w:val="clear" w:color="auto" w:fill="F2F4F7"/>
          </w:tcPr>
          <w:p>
            <w:pPr>
              <w:spacing w:after="0" w:line="240" w:lineRule="auto"/>
              <w:jc w:val="right"/>
            </w:pPr>
            <w:r/>
            <w:r>
              <w:rPr>
                <w:sz w:val="17"/>
              </w:rPr>
              <w:t>-90.0</w:t>
            </w:r>
          </w:p>
        </w:tc>
        <w:tc>
          <w:tcPr>
            <w:tcW w:type="dxa" w:w="2041"/>
            <w:shd w:val="clear" w:color="auto" w:fill="F2F4F7"/>
          </w:tcPr>
          <w:p>
            <w:pPr>
              <w:spacing w:after="0" w:line="240" w:lineRule="auto"/>
              <w:jc w:val="right"/>
            </w:pPr>
            <w:r/>
            <w:r>
              <w:rPr>
                <w:sz w:val="17"/>
              </w:rPr>
              <w:t>0.0</w:t>
            </w:r>
          </w:p>
        </w:tc>
        <w:tc>
          <w:tcPr>
            <w:tcW w:type="dxa" w:w="1417"/>
            <w:shd w:val="clear" w:color="auto" w:fill="F2F4F7"/>
          </w:tcPr>
          <w:p>
            <w:pPr>
              <w:spacing w:after="0" w:line="240" w:lineRule="auto"/>
              <w:jc w:val="right"/>
            </w:pPr>
            <w:r/>
            <w:r>
              <w:rPr>
                <w:sz w:val="17"/>
              </w:rPr>
              <w:t>169.8</w:t>
            </w:r>
          </w:p>
        </w:tc>
        <w:tc>
          <w:tcPr>
            <w:tcW w:type="dxa" w:w="1361"/>
            <w:shd w:val="clear" w:color="auto" w:fill="F2F4F7"/>
          </w:tcPr>
          <w:p>
            <w:pPr>
              <w:spacing w:after="0" w:line="240" w:lineRule="auto"/>
              <w:jc w:val="right"/>
            </w:pPr>
            <w:r/>
            <w:r>
              <w:rPr>
                <w:sz w:val="17"/>
              </w:rPr>
              <w:t>487.4</w:t>
            </w:r>
          </w:p>
        </w:tc>
      </w:tr>
      <w:tr>
        <w:trPr>
          <w:cantSplit/>
        </w:trPr>
        <w:tc>
          <w:tcPr>
            <w:tcW w:type="dxa" w:w="1361"/>
          </w:tcPr>
          <w:p>
            <w:pPr>
              <w:spacing w:after="0" w:line="240" w:lineRule="auto"/>
            </w:pPr>
            <w:r/>
            <w:r>
              <w:rPr>
                <w:sz w:val="17"/>
              </w:rPr>
              <w:t>Year 6</w:t>
            </w:r>
          </w:p>
        </w:tc>
        <w:tc>
          <w:tcPr>
            <w:tcW w:type="dxa" w:w="1417"/>
          </w:tcPr>
          <w:p>
            <w:pPr>
              <w:spacing w:after="0" w:line="240" w:lineRule="auto"/>
              <w:jc w:val="right"/>
            </w:pPr>
            <w:r/>
            <w:r>
              <w:rPr>
                <w:sz w:val="17"/>
              </w:rPr>
              <w:t>204.2</w:t>
            </w:r>
          </w:p>
        </w:tc>
        <w:tc>
          <w:tcPr>
            <w:tcW w:type="dxa" w:w="1644"/>
          </w:tcPr>
          <w:p>
            <w:pPr>
              <w:spacing w:after="0" w:line="240" w:lineRule="auto"/>
              <w:jc w:val="right"/>
            </w:pPr>
            <w:r/>
            <w:r>
              <w:rPr>
                <w:sz w:val="17"/>
              </w:rPr>
              <w:t>0.0</w:t>
            </w:r>
          </w:p>
        </w:tc>
        <w:tc>
          <w:tcPr>
            <w:tcW w:type="dxa" w:w="2041"/>
          </w:tcPr>
          <w:p>
            <w:pPr>
              <w:spacing w:after="0" w:line="240" w:lineRule="auto"/>
              <w:jc w:val="right"/>
            </w:pPr>
            <w:r/>
            <w:r>
              <w:rPr>
                <w:sz w:val="17"/>
              </w:rPr>
              <w:t>0.0</w:t>
            </w:r>
          </w:p>
        </w:tc>
        <w:tc>
          <w:tcPr>
            <w:tcW w:type="dxa" w:w="1417"/>
          </w:tcPr>
          <w:p>
            <w:pPr>
              <w:spacing w:after="0" w:line="240" w:lineRule="auto"/>
              <w:jc w:val="right"/>
            </w:pPr>
            <w:r/>
            <w:r>
              <w:rPr>
                <w:sz w:val="17"/>
              </w:rPr>
              <w:t>204.2</w:t>
            </w:r>
          </w:p>
        </w:tc>
        <w:tc>
          <w:tcPr>
            <w:tcW w:type="dxa" w:w="1361"/>
          </w:tcPr>
          <w:p>
            <w:pPr>
              <w:spacing w:after="0" w:line="240" w:lineRule="auto"/>
              <w:jc w:val="right"/>
            </w:pPr>
            <w:r/>
            <w:r>
              <w:rPr>
                <w:sz w:val="17"/>
              </w:rPr>
              <w:t>691.5</w:t>
            </w:r>
          </w:p>
        </w:tc>
      </w:tr>
      <w:tr>
        <w:trPr>
          <w:cantSplit/>
        </w:trPr>
        <w:tc>
          <w:tcPr>
            <w:tcW w:type="dxa" w:w="1361"/>
            <w:shd w:val="clear" w:color="auto" w:fill="F2F4F7"/>
          </w:tcPr>
          <w:p>
            <w:pPr>
              <w:spacing w:after="0" w:line="240" w:lineRule="auto"/>
            </w:pPr>
            <w:r/>
            <w:r>
              <w:rPr>
                <w:sz w:val="17"/>
              </w:rPr>
              <w:t>Year 7</w:t>
            </w:r>
          </w:p>
        </w:tc>
        <w:tc>
          <w:tcPr>
            <w:tcW w:type="dxa" w:w="1417"/>
            <w:shd w:val="clear" w:color="auto" w:fill="F2F4F7"/>
          </w:tcPr>
          <w:p>
            <w:pPr>
              <w:spacing w:after="0" w:line="240" w:lineRule="auto"/>
              <w:jc w:val="right"/>
            </w:pPr>
            <w:r/>
            <w:r>
              <w:rPr>
                <w:sz w:val="17"/>
              </w:rPr>
              <w:t>142.8</w:t>
            </w:r>
          </w:p>
        </w:tc>
        <w:tc>
          <w:tcPr>
            <w:tcW w:type="dxa" w:w="1644"/>
            <w:shd w:val="clear" w:color="auto" w:fill="F2F4F7"/>
          </w:tcPr>
          <w:p>
            <w:pPr>
              <w:spacing w:after="0" w:line="240" w:lineRule="auto"/>
              <w:jc w:val="right"/>
            </w:pPr>
            <w:r/>
            <w:r>
              <w:rPr>
                <w:sz w:val="17"/>
              </w:rPr>
              <w:t>-284.4</w:t>
            </w:r>
          </w:p>
        </w:tc>
        <w:tc>
          <w:tcPr>
            <w:tcW w:type="dxa" w:w="2041"/>
            <w:shd w:val="clear" w:color="auto" w:fill="F2F4F7"/>
          </w:tcPr>
          <w:p>
            <w:pPr>
              <w:spacing w:after="0" w:line="240" w:lineRule="auto"/>
              <w:jc w:val="right"/>
            </w:pPr>
            <w:r/>
            <w:r>
              <w:rPr>
                <w:sz w:val="17"/>
              </w:rPr>
              <w:t>0.0</w:t>
            </w:r>
          </w:p>
        </w:tc>
        <w:tc>
          <w:tcPr>
            <w:tcW w:type="dxa" w:w="1417"/>
            <w:shd w:val="clear" w:color="auto" w:fill="F2F4F7"/>
          </w:tcPr>
          <w:p>
            <w:pPr>
              <w:spacing w:after="0" w:line="240" w:lineRule="auto"/>
              <w:jc w:val="right"/>
            </w:pPr>
            <w:r/>
            <w:r>
              <w:rPr>
                <w:sz w:val="17"/>
              </w:rPr>
              <w:t>-141.6</w:t>
            </w:r>
          </w:p>
        </w:tc>
        <w:tc>
          <w:tcPr>
            <w:tcW w:type="dxa" w:w="1361"/>
            <w:shd w:val="clear" w:color="auto" w:fill="F2F4F7"/>
          </w:tcPr>
          <w:p>
            <w:pPr>
              <w:spacing w:after="0" w:line="240" w:lineRule="auto"/>
              <w:jc w:val="right"/>
            </w:pPr>
            <w:r/>
            <w:r>
              <w:rPr>
                <w:sz w:val="17"/>
              </w:rPr>
              <w:t>549.9</w:t>
            </w:r>
          </w:p>
        </w:tc>
      </w:tr>
      <w:tr>
        <w:trPr>
          <w:cantSplit/>
        </w:trPr>
        <w:tc>
          <w:tcPr>
            <w:tcW w:type="dxa" w:w="1361"/>
          </w:tcPr>
          <w:p>
            <w:pPr>
              <w:spacing w:after="0" w:line="240" w:lineRule="auto"/>
            </w:pPr>
            <w:r/>
            <w:r>
              <w:rPr>
                <w:sz w:val="17"/>
              </w:rPr>
              <w:t>Year 8</w:t>
            </w:r>
          </w:p>
        </w:tc>
        <w:tc>
          <w:tcPr>
            <w:tcW w:type="dxa" w:w="1417"/>
          </w:tcPr>
          <w:p>
            <w:pPr>
              <w:spacing w:after="0" w:line="240" w:lineRule="auto"/>
              <w:jc w:val="right"/>
            </w:pPr>
            <w:r/>
            <w:r>
              <w:rPr>
                <w:sz w:val="17"/>
              </w:rPr>
              <w:t>66.2</w:t>
            </w:r>
          </w:p>
        </w:tc>
        <w:tc>
          <w:tcPr>
            <w:tcW w:type="dxa" w:w="1644"/>
          </w:tcPr>
          <w:p>
            <w:pPr>
              <w:spacing w:after="0" w:line="240" w:lineRule="auto"/>
              <w:jc w:val="right"/>
            </w:pPr>
            <w:r/>
            <w:r>
              <w:rPr>
                <w:sz w:val="17"/>
              </w:rPr>
              <w:t>-29.0</w:t>
            </w:r>
          </w:p>
        </w:tc>
        <w:tc>
          <w:tcPr>
            <w:tcW w:type="dxa" w:w="2041"/>
          </w:tcPr>
          <w:p>
            <w:pPr>
              <w:spacing w:after="0" w:line="240" w:lineRule="auto"/>
              <w:jc w:val="right"/>
            </w:pPr>
            <w:r/>
            <w:r>
              <w:rPr>
                <w:sz w:val="17"/>
              </w:rPr>
              <w:t>0.0</w:t>
            </w:r>
          </w:p>
        </w:tc>
        <w:tc>
          <w:tcPr>
            <w:tcW w:type="dxa" w:w="1417"/>
          </w:tcPr>
          <w:p>
            <w:pPr>
              <w:spacing w:after="0" w:line="240" w:lineRule="auto"/>
              <w:jc w:val="right"/>
            </w:pPr>
            <w:r/>
            <w:r>
              <w:rPr>
                <w:sz w:val="17"/>
              </w:rPr>
              <w:t>37.2</w:t>
            </w:r>
          </w:p>
        </w:tc>
        <w:tc>
          <w:tcPr>
            <w:tcW w:type="dxa" w:w="1361"/>
          </w:tcPr>
          <w:p>
            <w:pPr>
              <w:spacing w:after="0" w:line="240" w:lineRule="auto"/>
              <w:jc w:val="right"/>
            </w:pPr>
            <w:r/>
            <w:r>
              <w:rPr>
                <w:sz w:val="17"/>
              </w:rPr>
              <w:t>587.1</w:t>
            </w:r>
          </w:p>
        </w:tc>
      </w:tr>
      <w:tr>
        <w:trPr>
          <w:cantSplit/>
        </w:trPr>
        <w:tc>
          <w:tcPr>
            <w:tcW w:type="dxa" w:w="1361"/>
            <w:shd w:val="clear" w:color="auto" w:fill="F2F4F7"/>
          </w:tcPr>
          <w:p>
            <w:pPr>
              <w:spacing w:after="0" w:line="240" w:lineRule="auto"/>
            </w:pPr>
            <w:r/>
            <w:r>
              <w:rPr>
                <w:sz w:val="17"/>
              </w:rPr>
              <w:t>Year 9</w:t>
            </w:r>
          </w:p>
        </w:tc>
        <w:tc>
          <w:tcPr>
            <w:tcW w:type="dxa" w:w="1417"/>
            <w:shd w:val="clear" w:color="auto" w:fill="F2F4F7"/>
          </w:tcPr>
          <w:p>
            <w:pPr>
              <w:spacing w:after="0" w:line="240" w:lineRule="auto"/>
              <w:jc w:val="right"/>
            </w:pPr>
            <w:r/>
            <w:r>
              <w:rPr>
                <w:sz w:val="17"/>
              </w:rPr>
              <w:t>14.5</w:t>
            </w:r>
          </w:p>
        </w:tc>
        <w:tc>
          <w:tcPr>
            <w:tcW w:type="dxa" w:w="1644"/>
            <w:shd w:val="clear" w:color="auto" w:fill="F2F4F7"/>
          </w:tcPr>
          <w:p>
            <w:pPr>
              <w:spacing w:after="0" w:line="240" w:lineRule="auto"/>
              <w:jc w:val="right"/>
            </w:pPr>
            <w:r/>
            <w:r>
              <w:rPr>
                <w:sz w:val="17"/>
              </w:rPr>
              <w:t>-6.3</w:t>
            </w:r>
          </w:p>
        </w:tc>
        <w:tc>
          <w:tcPr>
            <w:tcW w:type="dxa" w:w="2041"/>
            <w:shd w:val="clear" w:color="auto" w:fill="F2F4F7"/>
          </w:tcPr>
          <w:p>
            <w:pPr>
              <w:spacing w:after="0" w:line="240" w:lineRule="auto"/>
              <w:jc w:val="right"/>
            </w:pPr>
            <w:r/>
            <w:r>
              <w:rPr>
                <w:sz w:val="17"/>
              </w:rPr>
              <w:t>0.0</w:t>
            </w:r>
          </w:p>
        </w:tc>
        <w:tc>
          <w:tcPr>
            <w:tcW w:type="dxa" w:w="1417"/>
            <w:shd w:val="clear" w:color="auto" w:fill="F2F4F7"/>
          </w:tcPr>
          <w:p>
            <w:pPr>
              <w:spacing w:after="0" w:line="240" w:lineRule="auto"/>
              <w:jc w:val="right"/>
            </w:pPr>
            <w:r/>
            <w:r>
              <w:rPr>
                <w:sz w:val="17"/>
              </w:rPr>
              <w:t>8.2</w:t>
            </w:r>
          </w:p>
        </w:tc>
        <w:tc>
          <w:tcPr>
            <w:tcW w:type="dxa" w:w="1361"/>
            <w:shd w:val="clear" w:color="auto" w:fill="F2F4F7"/>
          </w:tcPr>
          <w:p>
            <w:pPr>
              <w:spacing w:after="0" w:line="240" w:lineRule="auto"/>
              <w:jc w:val="right"/>
            </w:pPr>
            <w:r/>
            <w:r>
              <w:rPr>
                <w:sz w:val="17"/>
              </w:rPr>
              <w:t>595.3</w:t>
            </w:r>
          </w:p>
        </w:tc>
      </w:tr>
      <w:tr>
        <w:trPr>
          <w:cantSplit/>
        </w:trPr>
        <w:tc>
          <w:tcPr>
            <w:tcW w:type="dxa" w:w="1361"/>
          </w:tcPr>
          <w:p>
            <w:pPr>
              <w:spacing w:after="0" w:line="240" w:lineRule="auto"/>
            </w:pPr>
            <w:r/>
            <w:r>
              <w:rPr>
                <w:sz w:val="17"/>
              </w:rPr>
              <w:t>Year 10</w:t>
            </w:r>
          </w:p>
        </w:tc>
        <w:tc>
          <w:tcPr>
            <w:tcW w:type="dxa" w:w="1417"/>
          </w:tcPr>
          <w:p>
            <w:pPr>
              <w:spacing w:after="0" w:line="240" w:lineRule="auto"/>
              <w:jc w:val="right"/>
            </w:pPr>
            <w:r/>
            <w:r>
              <w:rPr>
                <w:sz w:val="17"/>
              </w:rPr>
              <w:t>0.0</w:t>
            </w:r>
          </w:p>
        </w:tc>
        <w:tc>
          <w:tcPr>
            <w:tcW w:type="dxa" w:w="1644"/>
          </w:tcPr>
          <w:p>
            <w:pPr>
              <w:spacing w:after="0" w:line="240" w:lineRule="auto"/>
              <w:jc w:val="right"/>
            </w:pPr>
            <w:r/>
            <w:r>
              <w:rPr>
                <w:sz w:val="17"/>
              </w:rPr>
              <w:t>0.0</w:t>
            </w:r>
          </w:p>
        </w:tc>
        <w:tc>
          <w:tcPr>
            <w:tcW w:type="dxa" w:w="2041"/>
          </w:tcPr>
          <w:p>
            <w:pPr>
              <w:spacing w:after="0" w:line="240" w:lineRule="auto"/>
              <w:jc w:val="right"/>
            </w:pPr>
            <w:r/>
            <w:r>
              <w:rPr>
                <w:sz w:val="17"/>
              </w:rPr>
              <w:t>0.0</w:t>
            </w:r>
          </w:p>
        </w:tc>
        <w:tc>
          <w:tcPr>
            <w:tcW w:type="dxa" w:w="1417"/>
          </w:tcPr>
          <w:p>
            <w:pPr>
              <w:spacing w:after="0" w:line="240" w:lineRule="auto"/>
              <w:jc w:val="right"/>
            </w:pPr>
            <w:r/>
            <w:r>
              <w:rPr>
                <w:sz w:val="17"/>
              </w:rPr>
              <w:t>0.0</w:t>
            </w:r>
          </w:p>
        </w:tc>
        <w:tc>
          <w:tcPr>
            <w:tcW w:type="dxa" w:w="1361"/>
          </w:tcPr>
          <w:p>
            <w:pPr>
              <w:spacing w:after="0" w:line="240" w:lineRule="auto"/>
              <w:jc w:val="right"/>
            </w:pPr>
            <w:r/>
            <w:r>
              <w:rPr>
                <w:sz w:val="17"/>
              </w:rPr>
              <w:t>595.3</w:t>
            </w:r>
          </w:p>
        </w:tc>
      </w:tr>
      <w:tr>
        <w:trPr>
          <w:cantSplit/>
        </w:trPr>
        <w:tc>
          <w:tcPr>
            <w:tcW w:type="dxa" w:w="1361"/>
            <w:shd w:val="clear" w:color="auto" w:fill="F2F4F7"/>
          </w:tcPr>
          <w:p>
            <w:pPr>
              <w:spacing w:after="0" w:line="240" w:lineRule="auto"/>
            </w:pPr>
            <w:r/>
            <w:r>
              <w:rPr>
                <w:b/>
                <w:sz w:val="17"/>
              </w:rPr>
              <w:t>Total</w:t>
            </w:r>
          </w:p>
        </w:tc>
        <w:tc>
          <w:tcPr>
            <w:tcW w:type="dxa" w:w="1417"/>
            <w:shd w:val="clear" w:color="auto" w:fill="F2F4F7"/>
          </w:tcPr>
          <w:p>
            <w:pPr>
              <w:spacing w:after="0" w:line="240" w:lineRule="auto"/>
              <w:jc w:val="right"/>
            </w:pPr>
            <w:r/>
            <w:r>
              <w:rPr>
                <w:b/>
                <w:sz w:val="17"/>
              </w:rPr>
              <w:t>2,673.7</w:t>
            </w:r>
          </w:p>
        </w:tc>
        <w:tc>
          <w:tcPr>
            <w:tcW w:type="dxa" w:w="1644"/>
            <w:shd w:val="clear" w:color="auto" w:fill="F2F4F7"/>
          </w:tcPr>
          <w:p>
            <w:pPr>
              <w:spacing w:after="0" w:line="240" w:lineRule="auto"/>
              <w:jc w:val="right"/>
            </w:pPr>
            <w:r/>
            <w:r>
              <w:rPr>
                <w:b/>
                <w:sz w:val="17"/>
              </w:rPr>
              <w:t>-1,169.8</w:t>
            </w:r>
          </w:p>
        </w:tc>
        <w:tc>
          <w:tcPr>
            <w:tcW w:type="dxa" w:w="2041"/>
            <w:shd w:val="clear" w:color="auto" w:fill="F2F4F7"/>
          </w:tcPr>
          <w:p>
            <w:pPr>
              <w:spacing w:after="0" w:line="240" w:lineRule="auto"/>
              <w:jc w:val="right"/>
            </w:pPr>
            <w:r/>
            <w:r>
              <w:rPr>
                <w:b/>
                <w:sz w:val="17"/>
              </w:rPr>
              <w:t>-908.7</w:t>
            </w:r>
          </w:p>
        </w:tc>
        <w:tc>
          <w:tcPr>
            <w:tcW w:type="dxa" w:w="1417"/>
            <w:shd w:val="clear" w:color="auto" w:fill="F2F4F7"/>
          </w:tcPr>
          <w:p>
            <w:pPr>
              <w:spacing w:after="0" w:line="240" w:lineRule="auto"/>
              <w:jc w:val="right"/>
            </w:pPr>
            <w:r/>
            <w:r>
              <w:rPr>
                <w:b/>
                <w:sz w:val="17"/>
              </w:rPr>
              <w:t>595.3</w:t>
            </w:r>
          </w:p>
        </w:tc>
        <w:tc>
          <w:tcPr>
            <w:tcW w:type="dxa" w:w="1361"/>
            <w:shd w:val="clear" w:color="auto" w:fill="F2F4F7"/>
          </w:tcPr>
          <w:p>
            <w:pPr>
              <w:spacing w:after="0" w:line="240" w:lineRule="auto"/>
              <w:jc w:val="right"/>
            </w:pPr>
            <w:r/>
            <w:r>
              <w:rPr>
                <w:b/>
                <w:sz w:val="17"/>
              </w:rPr>
            </w:r>
          </w:p>
        </w:tc>
      </w:tr>
    </w:tbl>
    <w:p>
      <w:pPr>
        <w:spacing w:after="80"/>
      </w:pPr>
    </w:p>
    <w:p>
      <w:pPr>
        <w:keepNext/>
        <w:jc w:val="center"/>
      </w:pPr>
      <w:r>
        <w:drawing>
          <wp:inline xmlns:a="http://schemas.openxmlformats.org/drawingml/2006/main" xmlns:pic="http://schemas.openxmlformats.org/drawingml/2006/picture">
            <wp:extent cx="5580000" cy="2790000"/>
            <wp:docPr id="2" name="Picture 2"/>
            <wp:cNvGraphicFramePr>
              <a:graphicFrameLocks noChangeAspect="1"/>
            </wp:cNvGraphicFramePr>
            <a:graphic>
              <a:graphicData uri="http://schemas.openxmlformats.org/drawingml/2006/picture">
                <pic:pic>
                  <pic:nvPicPr>
                    <pic:cNvPr id="0" name="fig_cash.png"/>
                    <pic:cNvPicPr/>
                  </pic:nvPicPr>
                  <pic:blipFill>
                    <a:blip r:embed="rId12"/>
                    <a:stretch>
                      <a:fillRect/>
                    </a:stretch>
                  </pic:blipFill>
                  <pic:spPr>
                    <a:xfrm>
                      <a:off x="0" y="0"/>
                      <a:ext cx="5580000" cy="2790000"/>
                    </a:xfrm>
                    <a:prstGeom prst="rect"/>
                  </pic:spPr>
                </pic:pic>
              </a:graphicData>
            </a:graphic>
          </wp:inline>
        </w:drawing>
      </w:r>
    </w:p>
    <w:p>
      <w:pPr>
        <w:jc w:val="center"/>
      </w:pPr>
      <w:r>
        <w:rPr>
          <w:b/>
          <w:color w:val="17324D"/>
          <w:sz w:val="18"/>
        </w:rPr>
        <w:t xml:space="preserve">Figure 2: L'avenir: project cash flow by year. </w:t>
      </w:r>
      <w:r>
        <w:rPr>
          <w:i/>
          <w:color w:val="6B7280"/>
          <w:sz w:val="18"/>
        </w:rPr>
        <w:t>Source: Jalour financial model; Financial Annex, project cash flow sheets</w:t>
      </w:r>
    </w:p>
    <w:p>
      <w:r>
        <w:rPr>
          <w:b w:val="0"/>
          <w:i w:val="0"/>
        </w:rPr>
        <w:t>Each model collects the delivery payment on a contractual milestone ahead of handover (project month {G["dp_month"]} in Green Square and month {L["dp_month"]} in L'avenir), which produces a large collection in that month. This timing is a key sensitivity (sections 11 and 13). Evidence of the contractual milestone is to be provided in the data room.</w:t>
      </w:r>
    </w:p>
    <w:p>
      <w:pPr>
        <w:pStyle w:val="Heading1"/>
      </w:pPr>
      <w:r>
        <w:t>10. Cost model</w:t>
      </w:r>
    </w:p>
    <w:p>
      <w:pPr>
        <w:keepNext/>
        <w:spacing w:after="60"/>
      </w:pPr>
      <w:r>
        <w:rPr>
          <w:b/>
          <w:color w:val="17324D"/>
          <w:sz w:val="19"/>
        </w:rPr>
        <w:t>Table 16: Cost model</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2608"/>
            <w:shd w:val="clear" w:color="auto" w:fill="17324D"/>
          </w:tcPr>
          <w:p>
            <w:pPr>
              <w:spacing w:after="0" w:line="240" w:lineRule="auto"/>
            </w:pPr>
            <w:r/>
            <w:r>
              <w:rPr>
                <w:b/>
                <w:color w:val="FFFFFF"/>
                <w:sz w:val="18"/>
              </w:rPr>
              <w:t>Cost line (EGP million)</w:t>
            </w:r>
          </w:p>
        </w:tc>
        <w:tc>
          <w:tcPr>
            <w:tcW w:type="dxa" w:w="1474"/>
            <w:shd w:val="clear" w:color="auto" w:fill="17324D"/>
          </w:tcPr>
          <w:p>
            <w:pPr>
              <w:spacing w:after="0" w:line="240" w:lineRule="auto"/>
              <w:jc w:val="right"/>
            </w:pPr>
            <w:r/>
            <w:r>
              <w:rPr>
                <w:b/>
                <w:color w:val="FFFFFF"/>
                <w:sz w:val="18"/>
              </w:rPr>
              <w:t>Green Square</w:t>
            </w:r>
          </w:p>
        </w:tc>
        <w:tc>
          <w:tcPr>
            <w:tcW w:type="dxa" w:w="1474"/>
            <w:shd w:val="clear" w:color="auto" w:fill="17324D"/>
          </w:tcPr>
          <w:p>
            <w:pPr>
              <w:spacing w:after="0" w:line="240" w:lineRule="auto"/>
              <w:jc w:val="right"/>
            </w:pPr>
            <w:r/>
            <w:r>
              <w:rPr>
                <w:b/>
                <w:color w:val="FFFFFF"/>
                <w:sz w:val="18"/>
              </w:rPr>
              <w:t>L'avenir</w:t>
            </w:r>
          </w:p>
        </w:tc>
        <w:tc>
          <w:tcPr>
            <w:tcW w:type="dxa" w:w="3685"/>
            <w:shd w:val="clear" w:color="auto" w:fill="17324D"/>
          </w:tcPr>
          <w:p>
            <w:pPr>
              <w:spacing w:after="0" w:line="240" w:lineRule="auto"/>
              <w:jc w:val="right"/>
            </w:pPr>
            <w:r/>
            <w:r>
              <w:rPr>
                <w:b/>
                <w:color w:val="FFFFFF"/>
                <w:sz w:val="18"/>
              </w:rPr>
              <w:t>Basis</w:t>
            </w:r>
          </w:p>
        </w:tc>
      </w:tr>
      <w:tr>
        <w:trPr>
          <w:cantSplit/>
        </w:trPr>
        <w:tc>
          <w:tcPr>
            <w:tcW w:type="dxa" w:w="2608"/>
          </w:tcPr>
          <w:p>
            <w:pPr>
              <w:spacing w:after="0" w:line="240" w:lineRule="auto"/>
            </w:pPr>
            <w:r/>
            <w:r>
              <w:rPr>
                <w:sz w:val="18"/>
              </w:rPr>
              <w:t>Construction (core and shell)</w:t>
            </w:r>
          </w:p>
        </w:tc>
        <w:tc>
          <w:tcPr>
            <w:tcW w:type="dxa" w:w="1474"/>
          </w:tcPr>
          <w:p>
            <w:pPr>
              <w:spacing w:after="0" w:line="240" w:lineRule="auto"/>
              <w:jc w:val="right"/>
            </w:pPr>
            <w:r/>
            <w:r>
              <w:rPr>
                <w:sz w:val="18"/>
              </w:rPr>
              <w:t>697.2</w:t>
            </w:r>
          </w:p>
        </w:tc>
        <w:tc>
          <w:tcPr>
            <w:tcW w:type="dxa" w:w="1474"/>
          </w:tcPr>
          <w:p>
            <w:pPr>
              <w:spacing w:after="0" w:line="240" w:lineRule="auto"/>
              <w:jc w:val="right"/>
            </w:pPr>
            <w:r/>
            <w:r>
              <w:rPr>
                <w:sz w:val="18"/>
              </w:rPr>
              <w:t>697.2</w:t>
            </w:r>
          </w:p>
        </w:tc>
        <w:tc>
          <w:tcPr>
            <w:tcW w:type="dxa" w:w="3685"/>
          </w:tcPr>
          <w:p>
            <w:pPr>
              <w:spacing w:after="0" w:line="240" w:lineRule="auto"/>
              <w:jc w:val="right"/>
            </w:pPr>
            <w:r/>
            <w:r>
              <w:rPr>
                <w:sz w:val="18"/>
              </w:rPr>
              <w:t>Stage schedule over 36 months; flat nominal</w:t>
            </w:r>
          </w:p>
        </w:tc>
      </w:tr>
      <w:tr>
        <w:trPr>
          <w:cantSplit/>
        </w:trPr>
        <w:tc>
          <w:tcPr>
            <w:tcW w:type="dxa" w:w="2608"/>
            <w:shd w:val="clear" w:color="auto" w:fill="F2F4F7"/>
          </w:tcPr>
          <w:p>
            <w:pPr>
              <w:spacing w:after="0" w:line="240" w:lineRule="auto"/>
            </w:pPr>
            <w:r/>
            <w:r>
              <w:rPr>
                <w:sz w:val="18"/>
              </w:rPr>
              <w:t>Sales commission</w:t>
            </w:r>
          </w:p>
        </w:tc>
        <w:tc>
          <w:tcPr>
            <w:tcW w:type="dxa" w:w="1474"/>
            <w:shd w:val="clear" w:color="auto" w:fill="F2F4F7"/>
          </w:tcPr>
          <w:p>
            <w:pPr>
              <w:spacing w:after="0" w:line="240" w:lineRule="auto"/>
              <w:jc w:val="right"/>
            </w:pPr>
            <w:r/>
            <w:r>
              <w:rPr>
                <w:sz w:val="18"/>
              </w:rPr>
              <w:t>90.1</w:t>
            </w:r>
          </w:p>
        </w:tc>
        <w:tc>
          <w:tcPr>
            <w:tcW w:type="dxa" w:w="1474"/>
            <w:shd w:val="clear" w:color="auto" w:fill="F2F4F7"/>
          </w:tcPr>
          <w:p>
            <w:pPr>
              <w:spacing w:after="0" w:line="240" w:lineRule="auto"/>
              <w:jc w:val="right"/>
            </w:pPr>
            <w:r/>
            <w:r>
              <w:rPr>
                <w:sz w:val="18"/>
              </w:rPr>
              <w:t>106.9</w:t>
            </w:r>
          </w:p>
        </w:tc>
        <w:tc>
          <w:tcPr>
            <w:tcW w:type="dxa" w:w="3685"/>
            <w:shd w:val="clear" w:color="auto" w:fill="F2F4F7"/>
          </w:tcPr>
          <w:p>
            <w:pPr>
              <w:spacing w:after="0" w:line="240" w:lineRule="auto"/>
              <w:jc w:val="right"/>
            </w:pPr>
            <w:r/>
            <w:r>
              <w:rPr>
                <w:sz w:val="18"/>
              </w:rPr>
              <w:t>4% of sales value, paid 12 months after each sale quarter</w:t>
            </w:r>
          </w:p>
        </w:tc>
      </w:tr>
      <w:tr>
        <w:trPr>
          <w:cantSplit/>
        </w:trPr>
        <w:tc>
          <w:tcPr>
            <w:tcW w:type="dxa" w:w="2608"/>
          </w:tcPr>
          <w:p>
            <w:pPr>
              <w:spacing w:after="0" w:line="240" w:lineRule="auto"/>
            </w:pPr>
            <w:r/>
            <w:r>
              <w:rPr>
                <w:sz w:val="18"/>
              </w:rPr>
              <w:t>SG&amp;A and others</w:t>
            </w:r>
          </w:p>
        </w:tc>
        <w:tc>
          <w:tcPr>
            <w:tcW w:type="dxa" w:w="1474"/>
          </w:tcPr>
          <w:p>
            <w:pPr>
              <w:spacing w:after="0" w:line="240" w:lineRule="auto"/>
              <w:jc w:val="right"/>
            </w:pPr>
            <w:r/>
            <w:r>
              <w:rPr>
                <w:sz w:val="18"/>
              </w:rPr>
              <w:t>104.6</w:t>
            </w:r>
          </w:p>
        </w:tc>
        <w:tc>
          <w:tcPr>
            <w:tcW w:type="dxa" w:w="1474"/>
          </w:tcPr>
          <w:p>
            <w:pPr>
              <w:spacing w:after="0" w:line="240" w:lineRule="auto"/>
              <w:jc w:val="right"/>
            </w:pPr>
            <w:r/>
            <w:r>
              <w:rPr>
                <w:sz w:val="18"/>
              </w:rPr>
              <w:t>104.6</w:t>
            </w:r>
          </w:p>
        </w:tc>
        <w:tc>
          <w:tcPr>
            <w:tcW w:type="dxa" w:w="3685"/>
          </w:tcPr>
          <w:p>
            <w:pPr>
              <w:spacing w:after="0" w:line="240" w:lineRule="auto"/>
              <w:jc w:val="right"/>
            </w:pPr>
            <w:r/>
            <w:r>
              <w:rPr>
                <w:sz w:val="18"/>
              </w:rPr>
              <w:t>15% of construction: contingency, professional fees, overhead (5% each)</w:t>
            </w:r>
          </w:p>
        </w:tc>
      </w:tr>
      <w:tr>
        <w:trPr>
          <w:cantSplit/>
        </w:trPr>
        <w:tc>
          <w:tcPr>
            <w:tcW w:type="dxa" w:w="2608"/>
            <w:shd w:val="clear" w:color="auto" w:fill="F2F4F7"/>
          </w:tcPr>
          <w:p>
            <w:pPr>
              <w:spacing w:after="0" w:line="240" w:lineRule="auto"/>
            </w:pPr>
            <w:r/>
            <w:r>
              <w:rPr>
                <w:b/>
                <w:sz w:val="18"/>
              </w:rPr>
              <w:t>Total</w:t>
            </w:r>
          </w:p>
        </w:tc>
        <w:tc>
          <w:tcPr>
            <w:tcW w:type="dxa" w:w="1474"/>
            <w:shd w:val="clear" w:color="auto" w:fill="F2F4F7"/>
          </w:tcPr>
          <w:p>
            <w:pPr>
              <w:spacing w:after="0" w:line="240" w:lineRule="auto"/>
              <w:jc w:val="right"/>
            </w:pPr>
            <w:r/>
            <w:r>
              <w:rPr>
                <w:b/>
                <w:sz w:val="18"/>
              </w:rPr>
              <w:t>891.9</w:t>
            </w:r>
          </w:p>
        </w:tc>
        <w:tc>
          <w:tcPr>
            <w:tcW w:type="dxa" w:w="1474"/>
            <w:shd w:val="clear" w:color="auto" w:fill="F2F4F7"/>
          </w:tcPr>
          <w:p>
            <w:pPr>
              <w:spacing w:after="0" w:line="240" w:lineRule="auto"/>
              <w:jc w:val="right"/>
            </w:pPr>
            <w:r/>
            <w:r>
              <w:rPr>
                <w:b/>
                <w:sz w:val="18"/>
              </w:rPr>
              <w:t>908.7</w:t>
            </w:r>
          </w:p>
        </w:tc>
        <w:tc>
          <w:tcPr>
            <w:tcW w:type="dxa" w:w="3685"/>
            <w:shd w:val="clear" w:color="auto" w:fill="F2F4F7"/>
          </w:tcPr>
          <w:p>
            <w:pPr>
              <w:spacing w:after="0" w:line="240" w:lineRule="auto"/>
              <w:jc w:val="right"/>
            </w:pPr>
            <w:r/>
            <w:r>
              <w:rPr>
                <w:b/>
                <w:sz w:val="18"/>
              </w:rPr>
            </w:r>
          </w:p>
        </w:tc>
      </w:tr>
    </w:tbl>
    <w:p>
      <w:pPr>
        <w:spacing w:after="80"/>
      </w:pPr>
    </w:p>
    <w:p>
      <w:pPr>
        <w:pStyle w:val="ListBullet"/>
        <w:spacing w:after="60"/>
      </w:pPr>
      <w:r>
        <w:rPr>
          <w:b w:val="0"/>
          <w:i w:val="0"/>
        </w:rPr>
        <w:t>Cost basis (contractor pricing, bill of quantities) is to be provided in the data room; the models use a flat nominal cost with no inflation over the build period.</w:t>
      </w:r>
    </w:p>
    <w:p>
      <w:pPr>
        <w:pStyle w:val="ListBullet"/>
        <w:spacing w:after="60"/>
      </w:pPr>
      <w:r>
        <w:rPr>
          <w:b w:val="0"/>
          <w:i w:val="0"/>
        </w:rPr>
        <w:t>A 10% overrun lowers project NPV from EGP 230 to 173 million (Green Square) and from EGP 351 to 294 million (L'avenir); a 20% overrun to EGP 117 and 237 million.</w:t>
      </w:r>
    </w:p>
    <w:p>
      <w:pPr>
        <w:pStyle w:val="ListBullet"/>
        <w:spacing w:after="60"/>
      </w:pPr>
      <w:r>
        <w:rPr>
          <w:b w:val="0"/>
          <w:i w:val="0"/>
        </w:rPr>
        <w:t>Pre-construction costs (design, permits) are not separately modelled; section 11 adds an allowance of EGP 10.5 million per project as an assumption.</w:t>
      </w:r>
    </w:p>
    <w:p>
      <w:pPr>
        <w:pStyle w:val="Heading1"/>
        <w:pageBreakBefore/>
      </w:pPr>
      <w:r>
        <w:t>11. Funding plan, use of funds and combined cash position</w:t>
      </w:r>
    </w:p>
    <w:p>
      <w:pPr>
        <w:pStyle w:val="Heading2"/>
      </w:pPr>
      <w:r>
        <w:t>11.1 Green Square: uses and sources</w:t>
      </w:r>
    </w:p>
    <w:p>
      <w:pPr>
        <w:keepNext/>
        <w:spacing w:after="60"/>
      </w:pPr>
      <w:r>
        <w:rPr>
          <w:b/>
          <w:color w:val="17324D"/>
          <w:sz w:val="19"/>
        </w:rPr>
        <w:t>Table 17: Green Square: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8"/>
              </w:rPr>
              <w:t>Uses at the funding peak</w:t>
            </w:r>
          </w:p>
        </w:tc>
        <w:tc>
          <w:tcPr>
            <w:tcW w:type="dxa" w:w="2438"/>
            <w:shd w:val="clear" w:color="auto" w:fill="17324D"/>
          </w:tcPr>
          <w:p>
            <w:pPr>
              <w:spacing w:after="0" w:line="240" w:lineRule="auto"/>
              <w:jc w:val="right"/>
            </w:pPr>
            <w:r/>
            <w:r>
              <w:rPr>
                <w:b/>
                <w:color w:val="FFFFFF"/>
                <w:sz w:val="18"/>
              </w:rPr>
              <w:t>EGP million</w:t>
            </w:r>
          </w:p>
        </w:tc>
      </w:tr>
      <w:tr>
        <w:trPr>
          <w:cantSplit/>
        </w:trPr>
        <w:tc>
          <w:tcPr>
            <w:tcW w:type="dxa" w:w="6803"/>
          </w:tcPr>
          <w:p>
            <w:pPr>
              <w:spacing w:after="0" w:line="240" w:lineRule="auto"/>
            </w:pPr>
            <w:r/>
            <w:r>
              <w:rPr>
                <w:sz w:val="18"/>
              </w:rPr>
              <w:t>Down payment to the landowner</w:t>
            </w:r>
          </w:p>
        </w:tc>
        <w:tc>
          <w:tcPr>
            <w:tcW w:type="dxa" w:w="2438"/>
          </w:tcPr>
          <w:p>
            <w:pPr>
              <w:spacing w:after="0" w:line="240" w:lineRule="auto"/>
              <w:jc w:val="right"/>
            </w:pPr>
            <w:r/>
            <w:r>
              <w:rPr>
                <w:sz w:val="18"/>
              </w:rPr>
              <w:t>80.0</w:t>
            </w:r>
          </w:p>
        </w:tc>
      </w:tr>
      <w:tr>
        <w:trPr>
          <w:cantSplit/>
        </w:trPr>
        <w:tc>
          <w:tcPr>
            <w:tcW w:type="dxa" w:w="6803"/>
            <w:shd w:val="clear" w:color="auto" w:fill="F2F4F7"/>
          </w:tcPr>
          <w:p>
            <w:pPr>
              <w:spacing w:after="0" w:line="240" w:lineRule="auto"/>
            </w:pPr>
            <w:r/>
            <w:r>
              <w:rPr>
                <w:sz w:val="18"/>
              </w:rPr>
              <w:t>Guarantee instalments and working capital to the peak, net of collections</w:t>
            </w:r>
          </w:p>
        </w:tc>
        <w:tc>
          <w:tcPr>
            <w:tcW w:type="dxa" w:w="2438"/>
            <w:shd w:val="clear" w:color="auto" w:fill="F2F4F7"/>
          </w:tcPr>
          <w:p>
            <w:pPr>
              <w:spacing w:after="0" w:line="240" w:lineRule="auto"/>
              <w:jc w:val="right"/>
            </w:pPr>
            <w:r/>
            <w:r>
              <w:rPr>
                <w:sz w:val="18"/>
              </w:rPr>
              <w:t>22.5</w:t>
            </w:r>
          </w:p>
        </w:tc>
      </w:tr>
      <w:tr>
        <w:trPr>
          <w:cantSplit/>
        </w:trPr>
        <w:tc>
          <w:tcPr>
            <w:tcW w:type="dxa" w:w="6803"/>
          </w:tcPr>
          <w:p>
            <w:pPr>
              <w:spacing w:after="0" w:line="240" w:lineRule="auto"/>
            </w:pPr>
            <w:r/>
            <w:r>
              <w:rPr>
                <w:sz w:val="18"/>
              </w:rPr>
              <w:t>Design, permits and pre-construction (assumption)</w:t>
            </w:r>
          </w:p>
        </w:tc>
        <w:tc>
          <w:tcPr>
            <w:tcW w:type="dxa" w:w="2438"/>
          </w:tcPr>
          <w:p>
            <w:pPr>
              <w:spacing w:after="0" w:line="240" w:lineRule="auto"/>
              <w:jc w:val="right"/>
            </w:pPr>
            <w:r/>
            <w:r>
              <w:rPr>
                <w:sz w:val="18"/>
              </w:rPr>
              <w:t>10.5</w:t>
            </w:r>
          </w:p>
        </w:tc>
      </w:tr>
      <w:tr>
        <w:trPr>
          <w:cantSplit/>
        </w:trPr>
        <w:tc>
          <w:tcPr>
            <w:tcW w:type="dxa" w:w="6803"/>
            <w:shd w:val="clear" w:color="auto" w:fill="F2F4F7"/>
          </w:tcPr>
          <w:p>
            <w:pPr>
              <w:spacing w:after="0" w:line="240" w:lineRule="auto"/>
            </w:pPr>
            <w:r/>
            <w:r>
              <w:rPr>
                <w:b/>
                <w:sz w:val="18"/>
              </w:rPr>
              <w:t>Total uses</w:t>
            </w:r>
          </w:p>
        </w:tc>
        <w:tc>
          <w:tcPr>
            <w:tcW w:type="dxa" w:w="2438"/>
            <w:shd w:val="clear" w:color="auto" w:fill="F2F4F7"/>
          </w:tcPr>
          <w:p>
            <w:pPr>
              <w:spacing w:after="0" w:line="240" w:lineRule="auto"/>
              <w:jc w:val="right"/>
            </w:pPr>
            <w:r/>
            <w:r>
              <w:rPr>
                <w:b/>
                <w:sz w:val="18"/>
              </w:rPr>
              <w:t>113.0</w:t>
            </w:r>
          </w:p>
        </w:tc>
      </w:tr>
    </w:tbl>
    <w:p>
      <w:pPr>
        <w:spacing w:after="80"/>
      </w:pPr>
    </w:p>
    <w:p>
      <w:pPr>
        <w:keepNext/>
        <w:spacing w:after="60"/>
      </w:pPr>
      <w:r>
        <w:rPr>
          <w:b/>
          <w:color w:val="17324D"/>
          <w:sz w:val="19"/>
        </w:rPr>
        <w:t>Table 18: Green Square: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8"/>
              </w:rPr>
              <w:t>Sources</w:t>
            </w:r>
          </w:p>
        </w:tc>
        <w:tc>
          <w:tcPr>
            <w:tcW w:type="dxa" w:w="2041"/>
            <w:shd w:val="clear" w:color="auto" w:fill="17324D"/>
          </w:tcPr>
          <w:p>
            <w:pPr>
              <w:spacing w:after="0" w:line="240" w:lineRule="auto"/>
              <w:jc w:val="right"/>
            </w:pPr>
            <w:r/>
            <w:r>
              <w:rPr>
                <w:b/>
                <w:color w:val="FFFFFF"/>
                <w:sz w:val="18"/>
              </w:rPr>
              <w:t>EGP million</w:t>
            </w:r>
          </w:p>
        </w:tc>
        <w:tc>
          <w:tcPr>
            <w:tcW w:type="dxa" w:w="2098"/>
            <w:shd w:val="clear" w:color="auto" w:fill="17324D"/>
          </w:tcPr>
          <w:p>
            <w:pPr>
              <w:spacing w:after="0" w:line="240" w:lineRule="auto"/>
              <w:jc w:val="right"/>
            </w:pPr>
            <w:r/>
            <w:r>
              <w:rPr>
                <w:b/>
                <w:color w:val="FFFFFF"/>
                <w:sz w:val="18"/>
              </w:rPr>
              <w:t>% of uses</w:t>
            </w:r>
          </w:p>
        </w:tc>
      </w:tr>
      <w:tr>
        <w:trPr>
          <w:cantSplit/>
        </w:trPr>
        <w:tc>
          <w:tcPr>
            <w:tcW w:type="dxa" w:w="5102"/>
          </w:tcPr>
          <w:p>
            <w:pPr>
              <w:spacing w:after="0" w:line="240" w:lineRule="auto"/>
            </w:pPr>
            <w:r/>
            <w:r>
              <w:rPr>
                <w:sz w:val="18"/>
              </w:rPr>
              <w:t>Investor ticket</w:t>
            </w:r>
          </w:p>
        </w:tc>
        <w:tc>
          <w:tcPr>
            <w:tcW w:type="dxa" w:w="2041"/>
          </w:tcPr>
          <w:p>
            <w:pPr>
              <w:spacing w:after="0" w:line="240" w:lineRule="auto"/>
              <w:jc w:val="right"/>
            </w:pPr>
            <w:r/>
            <w:r>
              <w:rPr>
                <w:sz w:val="18"/>
              </w:rPr>
              <w:t>62.5</w:t>
            </w:r>
          </w:p>
        </w:tc>
        <w:tc>
          <w:tcPr>
            <w:tcW w:type="dxa" w:w="2098"/>
          </w:tcPr>
          <w:p>
            <w:pPr>
              <w:spacing w:after="0" w:line="240" w:lineRule="auto"/>
              <w:jc w:val="right"/>
            </w:pPr>
            <w:r/>
            <w:r>
              <w:rPr>
                <w:sz w:val="18"/>
              </w:rPr>
              <w:t>55%</w:t>
            </w:r>
          </w:p>
        </w:tc>
      </w:tr>
      <w:tr>
        <w:trPr>
          <w:cantSplit/>
        </w:trPr>
        <w:tc>
          <w:tcPr>
            <w:tcW w:type="dxa" w:w="5102"/>
            <w:shd w:val="clear" w:color="auto" w:fill="F2F4F7"/>
          </w:tcPr>
          <w:p>
            <w:pPr>
              <w:spacing w:after="0" w:line="240" w:lineRule="auto"/>
            </w:pPr>
            <w:r/>
            <w:r>
              <w:rPr>
                <w:sz w:val="18"/>
              </w:rPr>
              <w:t>Balance of project funding</w:t>
            </w:r>
          </w:p>
        </w:tc>
        <w:tc>
          <w:tcPr>
            <w:tcW w:type="dxa" w:w="2041"/>
            <w:shd w:val="clear" w:color="auto" w:fill="F2F4F7"/>
          </w:tcPr>
          <w:p>
            <w:pPr>
              <w:spacing w:after="0" w:line="240" w:lineRule="auto"/>
              <w:jc w:val="right"/>
            </w:pPr>
            <w:r/>
            <w:r>
              <w:rPr>
                <w:sz w:val="18"/>
              </w:rPr>
              <w:t>50.5</w:t>
            </w:r>
          </w:p>
        </w:tc>
        <w:tc>
          <w:tcPr>
            <w:tcW w:type="dxa" w:w="2098"/>
            <w:shd w:val="clear" w:color="auto" w:fill="F2F4F7"/>
          </w:tcPr>
          <w:p>
            <w:pPr>
              <w:spacing w:after="0" w:line="240" w:lineRule="auto"/>
              <w:jc w:val="right"/>
            </w:pPr>
            <w:r/>
            <w:r>
              <w:rPr>
                <w:sz w:val="18"/>
              </w:rPr>
              <w:t>45%</w:t>
            </w:r>
          </w:p>
        </w:tc>
      </w:tr>
      <w:tr>
        <w:trPr>
          <w:cantSplit/>
        </w:trPr>
        <w:tc>
          <w:tcPr>
            <w:tcW w:type="dxa" w:w="5102"/>
          </w:tcPr>
          <w:p>
            <w:pPr>
              <w:spacing w:after="0" w:line="240" w:lineRule="auto"/>
            </w:pPr>
            <w:r/>
            <w:r>
              <w:rPr>
                <w:b/>
                <w:sz w:val="18"/>
              </w:rPr>
              <w:t>Total</w:t>
            </w:r>
          </w:p>
        </w:tc>
        <w:tc>
          <w:tcPr>
            <w:tcW w:type="dxa" w:w="2041"/>
          </w:tcPr>
          <w:p>
            <w:pPr>
              <w:spacing w:after="0" w:line="240" w:lineRule="auto"/>
              <w:jc w:val="right"/>
            </w:pPr>
            <w:r/>
            <w:r>
              <w:rPr>
                <w:b/>
                <w:sz w:val="18"/>
              </w:rPr>
              <w:t>113.0</w:t>
            </w:r>
          </w:p>
        </w:tc>
        <w:tc>
          <w:tcPr>
            <w:tcW w:type="dxa" w:w="2098"/>
          </w:tcPr>
          <w:p>
            <w:pPr>
              <w:spacing w:after="0" w:line="240" w:lineRule="auto"/>
              <w:jc w:val="right"/>
            </w:pPr>
            <w:r/>
            <w:r>
              <w:rPr>
                <w:b/>
                <w:sz w:val="18"/>
              </w:rPr>
            </w:r>
          </w:p>
        </w:tc>
      </w:tr>
    </w:tbl>
    <w:p>
      <w:pPr>
        <w:spacing w:after="80"/>
      </w:pPr>
    </w:p>
    <w:p>
      <w:r>
        <w:rPr>
          <w:b w:val="0"/>
          <w:i/>
        </w:rPr>
        <w:t>The balance of project funding is provided by Jalour sponsor equity, project collections and other capital sources.</w:t>
      </w:r>
    </w:p>
    <w:p>
      <w:r>
        <w:rPr>
          <w:b w:val="0"/>
          <w:i w:val="0"/>
        </w:rPr>
        <w:t>The ticket equals 61% of the modelled peak cumulative shortage of EGP 102.5 million (month 0). If delivery payments arrive at handover the peak is EGP 269 million; in the downside case EGP 441 million.</w:t>
      </w:r>
    </w:p>
    <w:p>
      <w:pPr>
        <w:pStyle w:val="Heading2"/>
      </w:pPr>
      <w:r>
        <w:t>11.2 L'avenir: uses and sources</w:t>
      </w:r>
    </w:p>
    <w:p>
      <w:pPr>
        <w:keepNext/>
        <w:spacing w:after="60"/>
      </w:pPr>
      <w:r>
        <w:rPr>
          <w:b/>
          <w:color w:val="17324D"/>
          <w:sz w:val="19"/>
        </w:rPr>
        <w:t>Table 19: L'avenir: uses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6803"/>
            <w:shd w:val="clear" w:color="auto" w:fill="17324D"/>
          </w:tcPr>
          <w:p>
            <w:pPr>
              <w:spacing w:after="0" w:line="240" w:lineRule="auto"/>
            </w:pPr>
            <w:r/>
            <w:r>
              <w:rPr>
                <w:b/>
                <w:color w:val="FFFFFF"/>
                <w:sz w:val="18"/>
              </w:rPr>
              <w:t>Uses at the funding peak</w:t>
            </w:r>
          </w:p>
        </w:tc>
        <w:tc>
          <w:tcPr>
            <w:tcW w:type="dxa" w:w="2438"/>
            <w:shd w:val="clear" w:color="auto" w:fill="17324D"/>
          </w:tcPr>
          <w:p>
            <w:pPr>
              <w:spacing w:after="0" w:line="240" w:lineRule="auto"/>
              <w:jc w:val="right"/>
            </w:pPr>
            <w:r/>
            <w:r>
              <w:rPr>
                <w:b/>
                <w:color w:val="FFFFFF"/>
                <w:sz w:val="18"/>
              </w:rPr>
              <w:t>EGP million</w:t>
            </w:r>
          </w:p>
        </w:tc>
      </w:tr>
      <w:tr>
        <w:trPr>
          <w:cantSplit/>
        </w:trPr>
        <w:tc>
          <w:tcPr>
            <w:tcW w:type="dxa" w:w="6803"/>
          </w:tcPr>
          <w:p>
            <w:pPr>
              <w:spacing w:after="0" w:line="240" w:lineRule="auto"/>
            </w:pPr>
            <w:r/>
            <w:r>
              <w:rPr>
                <w:sz w:val="18"/>
              </w:rPr>
              <w:t>Down payment to the landowner</w:t>
            </w:r>
          </w:p>
        </w:tc>
        <w:tc>
          <w:tcPr>
            <w:tcW w:type="dxa" w:w="2438"/>
          </w:tcPr>
          <w:p>
            <w:pPr>
              <w:spacing w:after="0" w:line="240" w:lineRule="auto"/>
              <w:jc w:val="right"/>
            </w:pPr>
            <w:r/>
            <w:r>
              <w:rPr>
                <w:sz w:val="18"/>
              </w:rPr>
              <w:t>85.0</w:t>
            </w:r>
          </w:p>
        </w:tc>
      </w:tr>
      <w:tr>
        <w:trPr>
          <w:cantSplit/>
        </w:trPr>
        <w:tc>
          <w:tcPr>
            <w:tcW w:type="dxa" w:w="6803"/>
            <w:shd w:val="clear" w:color="auto" w:fill="F2F4F7"/>
          </w:tcPr>
          <w:p>
            <w:pPr>
              <w:spacing w:after="0" w:line="240" w:lineRule="auto"/>
            </w:pPr>
            <w:r/>
            <w:r>
              <w:rPr>
                <w:sz w:val="18"/>
              </w:rPr>
              <w:t>Guarantee instalments and working capital to the peak, net of collections</w:t>
            </w:r>
          </w:p>
        </w:tc>
        <w:tc>
          <w:tcPr>
            <w:tcW w:type="dxa" w:w="2438"/>
            <w:shd w:val="clear" w:color="auto" w:fill="F2F4F7"/>
          </w:tcPr>
          <w:p>
            <w:pPr>
              <w:spacing w:after="0" w:line="240" w:lineRule="auto"/>
              <w:jc w:val="right"/>
            </w:pPr>
            <w:r/>
            <w:r>
              <w:rPr>
                <w:sz w:val="18"/>
              </w:rPr>
              <w:t>17.0</w:t>
            </w:r>
          </w:p>
        </w:tc>
      </w:tr>
      <w:tr>
        <w:trPr>
          <w:cantSplit/>
        </w:trPr>
        <w:tc>
          <w:tcPr>
            <w:tcW w:type="dxa" w:w="6803"/>
          </w:tcPr>
          <w:p>
            <w:pPr>
              <w:spacing w:after="0" w:line="240" w:lineRule="auto"/>
            </w:pPr>
            <w:r/>
            <w:r>
              <w:rPr>
                <w:sz w:val="18"/>
              </w:rPr>
              <w:t>Design, permits and pre-construction (assumption)</w:t>
            </w:r>
          </w:p>
        </w:tc>
        <w:tc>
          <w:tcPr>
            <w:tcW w:type="dxa" w:w="2438"/>
          </w:tcPr>
          <w:p>
            <w:pPr>
              <w:spacing w:after="0" w:line="240" w:lineRule="auto"/>
              <w:jc w:val="right"/>
            </w:pPr>
            <w:r/>
            <w:r>
              <w:rPr>
                <w:sz w:val="18"/>
              </w:rPr>
              <w:t>10.5</w:t>
            </w:r>
          </w:p>
        </w:tc>
      </w:tr>
      <w:tr>
        <w:trPr>
          <w:cantSplit/>
        </w:trPr>
        <w:tc>
          <w:tcPr>
            <w:tcW w:type="dxa" w:w="6803"/>
            <w:shd w:val="clear" w:color="auto" w:fill="F2F4F7"/>
          </w:tcPr>
          <w:p>
            <w:pPr>
              <w:spacing w:after="0" w:line="240" w:lineRule="auto"/>
            </w:pPr>
            <w:r/>
            <w:r>
              <w:rPr>
                <w:b/>
                <w:sz w:val="18"/>
              </w:rPr>
              <w:t>Total uses</w:t>
            </w:r>
          </w:p>
        </w:tc>
        <w:tc>
          <w:tcPr>
            <w:tcW w:type="dxa" w:w="2438"/>
            <w:shd w:val="clear" w:color="auto" w:fill="F2F4F7"/>
          </w:tcPr>
          <w:p>
            <w:pPr>
              <w:spacing w:after="0" w:line="240" w:lineRule="auto"/>
              <w:jc w:val="right"/>
            </w:pPr>
            <w:r/>
            <w:r>
              <w:rPr>
                <w:b/>
                <w:sz w:val="18"/>
              </w:rPr>
              <w:t>112.5</w:t>
            </w:r>
          </w:p>
        </w:tc>
      </w:tr>
    </w:tbl>
    <w:p>
      <w:pPr>
        <w:spacing w:after="80"/>
      </w:pPr>
    </w:p>
    <w:p>
      <w:pPr>
        <w:keepNext/>
        <w:spacing w:after="60"/>
      </w:pPr>
      <w:r>
        <w:rPr>
          <w:b/>
          <w:color w:val="17324D"/>
          <w:sz w:val="19"/>
        </w:rPr>
        <w:t>Table 20: L'avenir: sources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5102"/>
            <w:shd w:val="clear" w:color="auto" w:fill="17324D"/>
          </w:tcPr>
          <w:p>
            <w:pPr>
              <w:spacing w:after="0" w:line="240" w:lineRule="auto"/>
            </w:pPr>
            <w:r/>
            <w:r>
              <w:rPr>
                <w:b/>
                <w:color w:val="FFFFFF"/>
                <w:sz w:val="18"/>
              </w:rPr>
              <w:t>Sources</w:t>
            </w:r>
          </w:p>
        </w:tc>
        <w:tc>
          <w:tcPr>
            <w:tcW w:type="dxa" w:w="2041"/>
            <w:shd w:val="clear" w:color="auto" w:fill="17324D"/>
          </w:tcPr>
          <w:p>
            <w:pPr>
              <w:spacing w:after="0" w:line="240" w:lineRule="auto"/>
              <w:jc w:val="right"/>
            </w:pPr>
            <w:r/>
            <w:r>
              <w:rPr>
                <w:b/>
                <w:color w:val="FFFFFF"/>
                <w:sz w:val="18"/>
              </w:rPr>
              <w:t>EGP million</w:t>
            </w:r>
          </w:p>
        </w:tc>
        <w:tc>
          <w:tcPr>
            <w:tcW w:type="dxa" w:w="2098"/>
            <w:shd w:val="clear" w:color="auto" w:fill="17324D"/>
          </w:tcPr>
          <w:p>
            <w:pPr>
              <w:spacing w:after="0" w:line="240" w:lineRule="auto"/>
              <w:jc w:val="right"/>
            </w:pPr>
            <w:r/>
            <w:r>
              <w:rPr>
                <w:b/>
                <w:color w:val="FFFFFF"/>
                <w:sz w:val="18"/>
              </w:rPr>
              <w:t>% of uses</w:t>
            </w:r>
          </w:p>
        </w:tc>
      </w:tr>
      <w:tr>
        <w:trPr>
          <w:cantSplit/>
        </w:trPr>
        <w:tc>
          <w:tcPr>
            <w:tcW w:type="dxa" w:w="5102"/>
          </w:tcPr>
          <w:p>
            <w:pPr>
              <w:spacing w:after="0" w:line="240" w:lineRule="auto"/>
            </w:pPr>
            <w:r/>
            <w:r>
              <w:rPr>
                <w:sz w:val="18"/>
              </w:rPr>
              <w:t>Investor ticket</w:t>
            </w:r>
          </w:p>
        </w:tc>
        <w:tc>
          <w:tcPr>
            <w:tcW w:type="dxa" w:w="2041"/>
          </w:tcPr>
          <w:p>
            <w:pPr>
              <w:spacing w:after="0" w:line="240" w:lineRule="auto"/>
              <w:jc w:val="right"/>
            </w:pPr>
            <w:r/>
            <w:r>
              <w:rPr>
                <w:sz w:val="18"/>
              </w:rPr>
              <w:t>62.5</w:t>
            </w:r>
          </w:p>
        </w:tc>
        <w:tc>
          <w:tcPr>
            <w:tcW w:type="dxa" w:w="2098"/>
          </w:tcPr>
          <w:p>
            <w:pPr>
              <w:spacing w:after="0" w:line="240" w:lineRule="auto"/>
              <w:jc w:val="right"/>
            </w:pPr>
            <w:r/>
            <w:r>
              <w:rPr>
                <w:sz w:val="18"/>
              </w:rPr>
              <w:t>56%</w:t>
            </w:r>
          </w:p>
        </w:tc>
      </w:tr>
      <w:tr>
        <w:trPr>
          <w:cantSplit/>
        </w:trPr>
        <w:tc>
          <w:tcPr>
            <w:tcW w:type="dxa" w:w="5102"/>
            <w:shd w:val="clear" w:color="auto" w:fill="F2F4F7"/>
          </w:tcPr>
          <w:p>
            <w:pPr>
              <w:spacing w:after="0" w:line="240" w:lineRule="auto"/>
            </w:pPr>
            <w:r/>
            <w:r>
              <w:rPr>
                <w:sz w:val="18"/>
              </w:rPr>
              <w:t>Balance of project funding</w:t>
            </w:r>
          </w:p>
        </w:tc>
        <w:tc>
          <w:tcPr>
            <w:tcW w:type="dxa" w:w="2041"/>
            <w:shd w:val="clear" w:color="auto" w:fill="F2F4F7"/>
          </w:tcPr>
          <w:p>
            <w:pPr>
              <w:spacing w:after="0" w:line="240" w:lineRule="auto"/>
              <w:jc w:val="right"/>
            </w:pPr>
            <w:r/>
            <w:r>
              <w:rPr>
                <w:sz w:val="18"/>
              </w:rPr>
              <w:t>50.0</w:t>
            </w:r>
          </w:p>
        </w:tc>
        <w:tc>
          <w:tcPr>
            <w:tcW w:type="dxa" w:w="2098"/>
            <w:shd w:val="clear" w:color="auto" w:fill="F2F4F7"/>
          </w:tcPr>
          <w:p>
            <w:pPr>
              <w:spacing w:after="0" w:line="240" w:lineRule="auto"/>
              <w:jc w:val="right"/>
            </w:pPr>
            <w:r/>
            <w:r>
              <w:rPr>
                <w:sz w:val="18"/>
              </w:rPr>
              <w:t>44%</w:t>
            </w:r>
          </w:p>
        </w:tc>
      </w:tr>
      <w:tr>
        <w:trPr>
          <w:cantSplit/>
        </w:trPr>
        <w:tc>
          <w:tcPr>
            <w:tcW w:type="dxa" w:w="5102"/>
          </w:tcPr>
          <w:p>
            <w:pPr>
              <w:spacing w:after="0" w:line="240" w:lineRule="auto"/>
            </w:pPr>
            <w:r/>
            <w:r>
              <w:rPr>
                <w:b/>
                <w:sz w:val="18"/>
              </w:rPr>
              <w:t>Total</w:t>
            </w:r>
          </w:p>
        </w:tc>
        <w:tc>
          <w:tcPr>
            <w:tcW w:type="dxa" w:w="2041"/>
          </w:tcPr>
          <w:p>
            <w:pPr>
              <w:spacing w:after="0" w:line="240" w:lineRule="auto"/>
              <w:jc w:val="right"/>
            </w:pPr>
            <w:r/>
            <w:r>
              <w:rPr>
                <w:b/>
                <w:sz w:val="18"/>
              </w:rPr>
              <w:t>112.5</w:t>
            </w:r>
          </w:p>
        </w:tc>
        <w:tc>
          <w:tcPr>
            <w:tcW w:type="dxa" w:w="2098"/>
          </w:tcPr>
          <w:p>
            <w:pPr>
              <w:spacing w:after="0" w:line="240" w:lineRule="auto"/>
              <w:jc w:val="right"/>
            </w:pPr>
            <w:r/>
            <w:r>
              <w:rPr>
                <w:b/>
                <w:sz w:val="18"/>
              </w:rPr>
            </w:r>
          </w:p>
        </w:tc>
      </w:tr>
    </w:tbl>
    <w:p>
      <w:pPr>
        <w:spacing w:after="80"/>
      </w:pPr>
    </w:p>
    <w:p>
      <w:r>
        <w:rPr>
          <w:b w:val="0"/>
          <w:i/>
        </w:rPr>
        <w:t>The balance of project funding is provided by Jalour sponsor equity, project collections and other capital sources.</w:t>
      </w:r>
    </w:p>
    <w:p>
      <w:r>
        <w:rPr>
          <w:b w:val="0"/>
          <w:i w:val="0"/>
        </w:rPr>
        <w:t>The ticket equals 61% of the modelled peak cumulative shortage of EGP 102.0 million (month 18). If delivery payments arrive at handover the peak is EGP 244 million; in the downside case EGP 849 million.</w:t>
      </w:r>
    </w:p>
    <w:p>
      <w:pPr>
        <w:pStyle w:val="Heading2"/>
      </w:pPr>
      <w:r>
        <w:t>11.3 Funding gaps in stress cases</w:t>
      </w:r>
    </w:p>
    <w:p>
      <w:pPr>
        <w:keepNext/>
        <w:spacing w:after="60"/>
      </w:pPr>
      <w:r>
        <w:rPr>
          <w:b/>
          <w:color w:val="17324D"/>
          <w:sz w:val="19"/>
        </w:rPr>
        <w:t>Table 21: Project cash position by case, before any investor instrument (EGP million; GS = Green Square, LA = L'avenir)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572"/>
            <w:shd w:val="clear" w:color="auto" w:fill="17324D"/>
          </w:tcPr>
          <w:p>
            <w:pPr>
              <w:spacing w:after="0" w:line="240" w:lineRule="auto"/>
            </w:pPr>
            <w:r/>
            <w:r>
              <w:rPr>
                <w:b/>
                <w:color w:val="FFFFFF"/>
                <w:sz w:val="18"/>
              </w:rPr>
              <w:t>Case</w:t>
            </w:r>
          </w:p>
        </w:tc>
        <w:tc>
          <w:tcPr>
            <w:tcW w:type="dxa" w:w="1247"/>
            <w:shd w:val="clear" w:color="auto" w:fill="17324D"/>
          </w:tcPr>
          <w:p>
            <w:pPr>
              <w:spacing w:after="0" w:line="240" w:lineRule="auto"/>
              <w:jc w:val="right"/>
            </w:pPr>
            <w:r/>
            <w:r>
              <w:rPr>
                <w:b/>
                <w:color w:val="FFFFFF"/>
                <w:sz w:val="18"/>
              </w:rPr>
              <w:t>GS NPV</w:t>
            </w:r>
          </w:p>
        </w:tc>
        <w:tc>
          <w:tcPr>
            <w:tcW w:type="dxa" w:w="1531"/>
            <w:shd w:val="clear" w:color="auto" w:fill="17324D"/>
          </w:tcPr>
          <w:p>
            <w:pPr>
              <w:spacing w:after="0" w:line="240" w:lineRule="auto"/>
              <w:jc w:val="right"/>
            </w:pPr>
            <w:r/>
            <w:r>
              <w:rPr>
                <w:b/>
                <w:color w:val="FFFFFF"/>
                <w:sz w:val="18"/>
              </w:rPr>
              <w:t>GS peak shortage</w:t>
            </w:r>
          </w:p>
        </w:tc>
        <w:tc>
          <w:tcPr>
            <w:tcW w:type="dxa" w:w="1247"/>
            <w:shd w:val="clear" w:color="auto" w:fill="17324D"/>
          </w:tcPr>
          <w:p>
            <w:pPr>
              <w:spacing w:after="0" w:line="240" w:lineRule="auto"/>
              <w:jc w:val="right"/>
            </w:pPr>
            <w:r/>
            <w:r>
              <w:rPr>
                <w:b/>
                <w:color w:val="FFFFFF"/>
                <w:sz w:val="18"/>
              </w:rPr>
              <w:t>LA NPV</w:t>
            </w:r>
          </w:p>
        </w:tc>
        <w:tc>
          <w:tcPr>
            <w:tcW w:type="dxa" w:w="1644"/>
            <w:shd w:val="clear" w:color="auto" w:fill="17324D"/>
          </w:tcPr>
          <w:p>
            <w:pPr>
              <w:spacing w:after="0" w:line="240" w:lineRule="auto"/>
              <w:jc w:val="right"/>
            </w:pPr>
            <w:r/>
            <w:r>
              <w:rPr>
                <w:b/>
                <w:color w:val="FFFFFF"/>
                <w:sz w:val="18"/>
              </w:rPr>
              <w:t>LA peak shortage</w:t>
            </w:r>
          </w:p>
        </w:tc>
      </w:tr>
      <w:tr>
        <w:trPr>
          <w:cantSplit/>
        </w:trPr>
        <w:tc>
          <w:tcPr>
            <w:tcW w:type="dxa" w:w="3572"/>
          </w:tcPr>
          <w:p>
            <w:pPr>
              <w:spacing w:after="0" w:line="240" w:lineRule="auto"/>
            </w:pPr>
            <w:r/>
            <w:r>
              <w:rPr>
                <w:sz w:val="18"/>
              </w:rPr>
              <w:t>Base case</w:t>
            </w:r>
          </w:p>
        </w:tc>
        <w:tc>
          <w:tcPr>
            <w:tcW w:type="dxa" w:w="1247"/>
          </w:tcPr>
          <w:p>
            <w:pPr>
              <w:spacing w:after="0" w:line="240" w:lineRule="auto"/>
              <w:jc w:val="right"/>
            </w:pPr>
            <w:r/>
            <w:r>
              <w:rPr>
                <w:sz w:val="18"/>
              </w:rPr>
              <w:t>230</w:t>
            </w:r>
          </w:p>
        </w:tc>
        <w:tc>
          <w:tcPr>
            <w:tcW w:type="dxa" w:w="1531"/>
          </w:tcPr>
          <w:p>
            <w:pPr>
              <w:spacing w:after="0" w:line="240" w:lineRule="auto"/>
              <w:jc w:val="right"/>
            </w:pPr>
            <w:r/>
            <w:r>
              <w:rPr>
                <w:sz w:val="18"/>
              </w:rPr>
              <w:t>102</w:t>
            </w:r>
          </w:p>
        </w:tc>
        <w:tc>
          <w:tcPr>
            <w:tcW w:type="dxa" w:w="1247"/>
          </w:tcPr>
          <w:p>
            <w:pPr>
              <w:spacing w:after="0" w:line="240" w:lineRule="auto"/>
              <w:jc w:val="right"/>
            </w:pPr>
            <w:r/>
            <w:r>
              <w:rPr>
                <w:sz w:val="18"/>
              </w:rPr>
              <w:t>351</w:t>
            </w:r>
          </w:p>
        </w:tc>
        <w:tc>
          <w:tcPr>
            <w:tcW w:type="dxa" w:w="1644"/>
          </w:tcPr>
          <w:p>
            <w:pPr>
              <w:spacing w:after="0" w:line="240" w:lineRule="auto"/>
              <w:jc w:val="right"/>
            </w:pPr>
            <w:r/>
            <w:r>
              <w:rPr>
                <w:sz w:val="18"/>
              </w:rPr>
              <w:t>102</w:t>
            </w:r>
          </w:p>
        </w:tc>
      </w:tr>
      <w:tr>
        <w:trPr>
          <w:cantSplit/>
        </w:trPr>
        <w:tc>
          <w:tcPr>
            <w:tcW w:type="dxa" w:w="3572"/>
            <w:shd w:val="clear" w:color="auto" w:fill="F2F4F7"/>
          </w:tcPr>
          <w:p>
            <w:pPr>
              <w:spacing w:after="0" w:line="240" w:lineRule="auto"/>
            </w:pPr>
            <w:r/>
            <w:r>
              <w:rPr>
                <w:sz w:val="18"/>
              </w:rPr>
              <w:t>Downside: sales +12 months, prices -10%</w:t>
            </w:r>
          </w:p>
        </w:tc>
        <w:tc>
          <w:tcPr>
            <w:tcW w:type="dxa" w:w="1247"/>
            <w:shd w:val="clear" w:color="auto" w:fill="F2F4F7"/>
          </w:tcPr>
          <w:p>
            <w:pPr>
              <w:spacing w:after="0" w:line="240" w:lineRule="auto"/>
              <w:jc w:val="right"/>
            </w:pPr>
            <w:r/>
            <w:r>
              <w:rPr>
                <w:sz w:val="18"/>
              </w:rPr>
              <w:t>-36</w:t>
            </w:r>
          </w:p>
        </w:tc>
        <w:tc>
          <w:tcPr>
            <w:tcW w:type="dxa" w:w="1531"/>
            <w:shd w:val="clear" w:color="auto" w:fill="F2F4F7"/>
          </w:tcPr>
          <w:p>
            <w:pPr>
              <w:spacing w:after="0" w:line="240" w:lineRule="auto"/>
              <w:jc w:val="right"/>
            </w:pPr>
            <w:r/>
            <w:r>
              <w:rPr>
                <w:sz w:val="18"/>
              </w:rPr>
              <w:t>441</w:t>
            </w:r>
          </w:p>
        </w:tc>
        <w:tc>
          <w:tcPr>
            <w:tcW w:type="dxa" w:w="1247"/>
            <w:shd w:val="clear" w:color="auto" w:fill="F2F4F7"/>
          </w:tcPr>
          <w:p>
            <w:pPr>
              <w:spacing w:after="0" w:line="240" w:lineRule="auto"/>
              <w:jc w:val="right"/>
            </w:pPr>
            <w:r/>
            <w:r>
              <w:rPr>
                <w:sz w:val="18"/>
              </w:rPr>
              <w:t>45</w:t>
            </w:r>
          </w:p>
        </w:tc>
        <w:tc>
          <w:tcPr>
            <w:tcW w:type="dxa" w:w="1644"/>
            <w:shd w:val="clear" w:color="auto" w:fill="F2F4F7"/>
          </w:tcPr>
          <w:p>
            <w:pPr>
              <w:spacing w:after="0" w:line="240" w:lineRule="auto"/>
              <w:jc w:val="right"/>
            </w:pPr>
            <w:r/>
            <w:r>
              <w:rPr>
                <w:sz w:val="18"/>
              </w:rPr>
              <w:t>849</w:t>
            </w:r>
          </w:p>
        </w:tc>
      </w:tr>
      <w:tr>
        <w:trPr>
          <w:cantSplit/>
        </w:trPr>
        <w:tc>
          <w:tcPr>
            <w:tcW w:type="dxa" w:w="3572"/>
          </w:tcPr>
          <w:p>
            <w:pPr>
              <w:spacing w:after="0" w:line="240" w:lineRule="auto"/>
            </w:pPr>
            <w:r/>
            <w:r>
              <w:rPr>
                <w:sz w:val="18"/>
              </w:rPr>
              <w:t>Upside: prices +10%</w:t>
            </w:r>
          </w:p>
        </w:tc>
        <w:tc>
          <w:tcPr>
            <w:tcW w:type="dxa" w:w="1247"/>
          </w:tcPr>
          <w:p>
            <w:pPr>
              <w:spacing w:after="0" w:line="240" w:lineRule="auto"/>
              <w:jc w:val="right"/>
            </w:pPr>
            <w:r/>
            <w:r>
              <w:rPr>
                <w:sz w:val="18"/>
              </w:rPr>
              <w:t>336</w:t>
            </w:r>
          </w:p>
        </w:tc>
        <w:tc>
          <w:tcPr>
            <w:tcW w:type="dxa" w:w="1531"/>
          </w:tcPr>
          <w:p>
            <w:pPr>
              <w:spacing w:after="0" w:line="240" w:lineRule="auto"/>
              <w:jc w:val="right"/>
            </w:pPr>
            <w:r/>
            <w:r>
              <w:rPr>
                <w:sz w:val="18"/>
              </w:rPr>
              <w:t>102</w:t>
            </w:r>
          </w:p>
        </w:tc>
        <w:tc>
          <w:tcPr>
            <w:tcW w:type="dxa" w:w="1247"/>
          </w:tcPr>
          <w:p>
            <w:pPr>
              <w:spacing w:after="0" w:line="240" w:lineRule="auto"/>
              <w:jc w:val="right"/>
            </w:pPr>
            <w:r/>
            <w:r>
              <w:rPr>
                <w:sz w:val="18"/>
              </w:rPr>
              <w:t>469</w:t>
            </w:r>
          </w:p>
        </w:tc>
        <w:tc>
          <w:tcPr>
            <w:tcW w:type="dxa" w:w="1644"/>
          </w:tcPr>
          <w:p>
            <w:pPr>
              <w:spacing w:after="0" w:line="240" w:lineRule="auto"/>
              <w:jc w:val="right"/>
            </w:pPr>
            <w:r/>
            <w:r>
              <w:rPr>
                <w:sz w:val="18"/>
              </w:rPr>
              <w:t>88</w:t>
            </w:r>
          </w:p>
        </w:tc>
      </w:tr>
      <w:tr>
        <w:trPr>
          <w:cantSplit/>
        </w:trPr>
        <w:tc>
          <w:tcPr>
            <w:tcW w:type="dxa" w:w="3572"/>
            <w:shd w:val="clear" w:color="auto" w:fill="F2F4F7"/>
          </w:tcPr>
          <w:p>
            <w:pPr>
              <w:spacing w:after="0" w:line="240" w:lineRule="auto"/>
            </w:pPr>
            <w:r/>
            <w:r>
              <w:rPr>
                <w:sz w:val="18"/>
              </w:rPr>
              <w:t>Construction cost +10%</w:t>
            </w:r>
          </w:p>
        </w:tc>
        <w:tc>
          <w:tcPr>
            <w:tcW w:type="dxa" w:w="1247"/>
            <w:shd w:val="clear" w:color="auto" w:fill="F2F4F7"/>
          </w:tcPr>
          <w:p>
            <w:pPr>
              <w:spacing w:after="0" w:line="240" w:lineRule="auto"/>
              <w:jc w:val="right"/>
            </w:pPr>
            <w:r/>
            <w:r>
              <w:rPr>
                <w:sz w:val="18"/>
              </w:rPr>
              <w:t>173</w:t>
            </w:r>
          </w:p>
        </w:tc>
        <w:tc>
          <w:tcPr>
            <w:tcW w:type="dxa" w:w="1531"/>
            <w:shd w:val="clear" w:color="auto" w:fill="F2F4F7"/>
          </w:tcPr>
          <w:p>
            <w:pPr>
              <w:spacing w:after="0" w:line="240" w:lineRule="auto"/>
              <w:jc w:val="right"/>
            </w:pPr>
            <w:r/>
            <w:r>
              <w:rPr>
                <w:sz w:val="18"/>
              </w:rPr>
              <w:t>102</w:t>
            </w:r>
          </w:p>
        </w:tc>
        <w:tc>
          <w:tcPr>
            <w:tcW w:type="dxa" w:w="1247"/>
            <w:shd w:val="clear" w:color="auto" w:fill="F2F4F7"/>
          </w:tcPr>
          <w:p>
            <w:pPr>
              <w:spacing w:after="0" w:line="240" w:lineRule="auto"/>
              <w:jc w:val="right"/>
            </w:pPr>
            <w:r/>
            <w:r>
              <w:rPr>
                <w:sz w:val="18"/>
              </w:rPr>
              <w:t>294</w:t>
            </w:r>
          </w:p>
        </w:tc>
        <w:tc>
          <w:tcPr>
            <w:tcW w:type="dxa" w:w="1644"/>
            <w:shd w:val="clear" w:color="auto" w:fill="F2F4F7"/>
          </w:tcPr>
          <w:p>
            <w:pPr>
              <w:spacing w:after="0" w:line="240" w:lineRule="auto"/>
              <w:jc w:val="right"/>
            </w:pPr>
            <w:r/>
            <w:r>
              <w:rPr>
                <w:sz w:val="18"/>
              </w:rPr>
              <w:t>117</w:t>
            </w:r>
          </w:p>
        </w:tc>
      </w:tr>
      <w:tr>
        <w:trPr>
          <w:cantSplit/>
        </w:trPr>
        <w:tc>
          <w:tcPr>
            <w:tcW w:type="dxa" w:w="3572"/>
          </w:tcPr>
          <w:p>
            <w:pPr>
              <w:spacing w:after="0" w:line="240" w:lineRule="auto"/>
            </w:pPr>
            <w:r/>
            <w:r>
              <w:rPr>
                <w:sz w:val="18"/>
              </w:rPr>
              <w:t>Collections slip 2 quarters</w:t>
            </w:r>
          </w:p>
        </w:tc>
        <w:tc>
          <w:tcPr>
            <w:tcW w:type="dxa" w:w="1247"/>
          </w:tcPr>
          <w:p>
            <w:pPr>
              <w:spacing w:after="0" w:line="240" w:lineRule="auto"/>
              <w:jc w:val="right"/>
            </w:pPr>
            <w:r/>
            <w:r>
              <w:rPr>
                <w:sz w:val="18"/>
              </w:rPr>
              <w:t>134</w:t>
            </w:r>
          </w:p>
        </w:tc>
        <w:tc>
          <w:tcPr>
            <w:tcW w:type="dxa" w:w="1531"/>
          </w:tcPr>
          <w:p>
            <w:pPr>
              <w:spacing w:after="0" w:line="240" w:lineRule="auto"/>
              <w:jc w:val="right"/>
            </w:pPr>
            <w:r/>
            <w:r>
              <w:rPr>
                <w:sz w:val="18"/>
              </w:rPr>
              <w:t>236</w:t>
            </w:r>
          </w:p>
        </w:tc>
        <w:tc>
          <w:tcPr>
            <w:tcW w:type="dxa" w:w="1247"/>
          </w:tcPr>
          <w:p>
            <w:pPr>
              <w:spacing w:after="0" w:line="240" w:lineRule="auto"/>
              <w:jc w:val="right"/>
            </w:pPr>
            <w:r/>
            <w:r>
              <w:rPr>
                <w:sz w:val="18"/>
              </w:rPr>
              <w:t>239</w:t>
            </w:r>
          </w:p>
        </w:tc>
        <w:tc>
          <w:tcPr>
            <w:tcW w:type="dxa" w:w="1644"/>
          </w:tcPr>
          <w:p>
            <w:pPr>
              <w:spacing w:after="0" w:line="240" w:lineRule="auto"/>
              <w:jc w:val="right"/>
            </w:pPr>
            <w:r/>
            <w:r>
              <w:rPr>
                <w:sz w:val="18"/>
              </w:rPr>
              <w:t>381</w:t>
            </w:r>
          </w:p>
        </w:tc>
      </w:tr>
      <w:tr>
        <w:trPr>
          <w:cantSplit/>
        </w:trPr>
        <w:tc>
          <w:tcPr>
            <w:tcW w:type="dxa" w:w="3572"/>
            <w:shd w:val="clear" w:color="auto" w:fill="F2F4F7"/>
          </w:tcPr>
          <w:p>
            <w:pPr>
              <w:spacing w:after="0" w:line="240" w:lineRule="auto"/>
            </w:pPr>
            <w:r/>
            <w:r>
              <w:rPr>
                <w:sz w:val="18"/>
              </w:rPr>
              <w:t>Delivery payments at handover</w:t>
            </w:r>
          </w:p>
        </w:tc>
        <w:tc>
          <w:tcPr>
            <w:tcW w:type="dxa" w:w="1247"/>
            <w:shd w:val="clear" w:color="auto" w:fill="F2F4F7"/>
          </w:tcPr>
          <w:p>
            <w:pPr>
              <w:spacing w:after="0" w:line="240" w:lineRule="auto"/>
              <w:jc w:val="right"/>
            </w:pPr>
            <w:r/>
            <w:r>
              <w:rPr>
                <w:sz w:val="18"/>
              </w:rPr>
              <w:t>166</w:t>
            </w:r>
          </w:p>
        </w:tc>
        <w:tc>
          <w:tcPr>
            <w:tcW w:type="dxa" w:w="1531"/>
            <w:shd w:val="clear" w:color="auto" w:fill="F2F4F7"/>
          </w:tcPr>
          <w:p>
            <w:pPr>
              <w:spacing w:after="0" w:line="240" w:lineRule="auto"/>
              <w:jc w:val="right"/>
            </w:pPr>
            <w:r/>
            <w:r>
              <w:rPr>
                <w:sz w:val="18"/>
              </w:rPr>
              <w:t>269</w:t>
            </w:r>
          </w:p>
        </w:tc>
        <w:tc>
          <w:tcPr>
            <w:tcW w:type="dxa" w:w="1247"/>
            <w:shd w:val="clear" w:color="auto" w:fill="F2F4F7"/>
          </w:tcPr>
          <w:p>
            <w:pPr>
              <w:spacing w:after="0" w:line="240" w:lineRule="auto"/>
              <w:jc w:val="right"/>
            </w:pPr>
            <w:r/>
            <w:r>
              <w:rPr>
                <w:sz w:val="18"/>
              </w:rPr>
              <w:t>313</w:t>
            </w:r>
          </w:p>
        </w:tc>
        <w:tc>
          <w:tcPr>
            <w:tcW w:type="dxa" w:w="1644"/>
            <w:shd w:val="clear" w:color="auto" w:fill="F2F4F7"/>
          </w:tcPr>
          <w:p>
            <w:pPr>
              <w:spacing w:after="0" w:line="240" w:lineRule="auto"/>
              <w:jc w:val="right"/>
            </w:pPr>
            <w:r/>
            <w:r>
              <w:rPr>
                <w:sz w:val="18"/>
              </w:rPr>
              <w:t>244</w:t>
            </w:r>
          </w:p>
        </w:tc>
      </w:tr>
      <w:tr>
        <w:trPr>
          <w:cantSplit/>
        </w:trPr>
        <w:tc>
          <w:tcPr>
            <w:tcW w:type="dxa" w:w="3572"/>
          </w:tcPr>
          <w:p>
            <w:pPr>
              <w:spacing w:after="0" w:line="240" w:lineRule="auto"/>
            </w:pPr>
            <w:r/>
            <w:r>
              <w:rPr>
                <w:sz w:val="18"/>
              </w:rPr>
              <w:t>Handover payments and downside combined</w:t>
            </w:r>
          </w:p>
        </w:tc>
        <w:tc>
          <w:tcPr>
            <w:tcW w:type="dxa" w:w="1247"/>
          </w:tcPr>
          <w:p>
            <w:pPr>
              <w:spacing w:after="0" w:line="240" w:lineRule="auto"/>
              <w:jc w:val="right"/>
            </w:pPr>
            <w:r/>
            <w:r>
              <w:rPr>
                <w:sz w:val="18"/>
              </w:rPr>
              <w:t>-86</w:t>
            </w:r>
          </w:p>
        </w:tc>
        <w:tc>
          <w:tcPr>
            <w:tcW w:type="dxa" w:w="1531"/>
          </w:tcPr>
          <w:p>
            <w:pPr>
              <w:spacing w:after="0" w:line="240" w:lineRule="auto"/>
              <w:jc w:val="right"/>
            </w:pPr>
            <w:r/>
            <w:r>
              <w:rPr>
                <w:sz w:val="18"/>
              </w:rPr>
              <w:t>729</w:t>
            </w:r>
          </w:p>
        </w:tc>
        <w:tc>
          <w:tcPr>
            <w:tcW w:type="dxa" w:w="1247"/>
          </w:tcPr>
          <w:p>
            <w:pPr>
              <w:spacing w:after="0" w:line="240" w:lineRule="auto"/>
              <w:jc w:val="right"/>
            </w:pPr>
            <w:r/>
            <w:r>
              <w:rPr>
                <w:sz w:val="18"/>
              </w:rPr>
              <w:t>16</w:t>
            </w:r>
          </w:p>
        </w:tc>
        <w:tc>
          <w:tcPr>
            <w:tcW w:type="dxa" w:w="1644"/>
          </w:tcPr>
          <w:p>
            <w:pPr>
              <w:spacing w:after="0" w:line="240" w:lineRule="auto"/>
              <w:jc w:val="right"/>
            </w:pPr>
            <w:r/>
            <w:r>
              <w:rPr>
                <w:sz w:val="18"/>
              </w:rPr>
              <w:t>849</w:t>
            </w:r>
          </w:p>
        </w:tc>
      </w:tr>
    </w:tbl>
    <w:p>
      <w:pPr>
        <w:spacing w:after="80"/>
      </w:pPr>
    </w:p>
    <w:p>
      <w:r>
        <w:rPr>
          <w:b w:val="0"/>
          <w:i w:val="0"/>
        </w:rPr>
        <w:t>Jalour will fund the gap between project cash and the cases above from its cash reserves and from cash generated by other projects it is constructing; it does not expect the investor to fund it. The investor should note that in the downside and combined cases the funding need is several times the tickets and depends on Jalour's capacity to provide it.</w:t>
      </w:r>
    </w:p>
    <w:p>
      <w:pPr>
        <w:pStyle w:val="Heading2"/>
      </w:pPr>
      <w:r>
        <w:t>11.4 Combined cash position of the two projects</w:t>
      </w:r>
    </w:p>
    <w:p>
      <w:r>
        <w:rPr>
          <w:b w:val="0"/>
          <w:i w:val="0"/>
        </w:rPr>
        <w:t>Jalour has said it will cover project funding gaps from its cash reserves and from cash generated by other projects it is constructing. To show what that means in numbers, this section adds the two projects together, before any investor instrument. The figures are projections from the same Jalour model. They cover these two projects only; Jalour's cash reserves and other projects are not included.</w:t>
      </w:r>
    </w:p>
    <w:p>
      <w:pPr>
        <w:keepNext/>
        <w:jc w:val="center"/>
      </w:pPr>
      <w:r>
        <w:drawing>
          <wp:inline xmlns:a="http://schemas.openxmlformats.org/drawingml/2006/main" xmlns:pic="http://schemas.openxmlformats.org/drawingml/2006/picture">
            <wp:extent cx="5580000" cy="2635000"/>
            <wp:docPr id="3" name="Picture 3"/>
            <wp:cNvGraphicFramePr>
              <a:graphicFrameLocks noChangeAspect="1"/>
            </wp:cNvGraphicFramePr>
            <a:graphic>
              <a:graphicData uri="http://schemas.openxmlformats.org/drawingml/2006/picture">
                <pic:pic>
                  <pic:nvPicPr>
                    <pic:cNvPr id="0" name="fig_comb.png"/>
                    <pic:cNvPicPr/>
                  </pic:nvPicPr>
                  <pic:blipFill>
                    <a:blip r:embed="rId13"/>
                    <a:stretch>
                      <a:fillRect/>
                    </a:stretch>
                  </pic:blipFill>
                  <pic:spPr>
                    <a:xfrm>
                      <a:off x="0" y="0"/>
                      <a:ext cx="5580000" cy="2635000"/>
                    </a:xfrm>
                    <a:prstGeom prst="rect"/>
                  </pic:spPr>
                </pic:pic>
              </a:graphicData>
            </a:graphic>
          </wp:inline>
        </w:drawing>
      </w:r>
    </w:p>
    <w:p>
      <w:pPr>
        <w:jc w:val="center"/>
      </w:pPr>
      <w:r>
        <w:rPr>
          <w:b/>
          <w:color w:val="17324D"/>
          <w:sz w:val="18"/>
        </w:rPr>
        <w:t xml:space="preserve">Figure 3: Cumulative net cash flow of the two projects and combined (common calendar). </w:t>
      </w:r>
      <w:r>
        <w:rPr>
          <w:i/>
          <w:color w:val="6B7280"/>
          <w:sz w:val="18"/>
        </w:rPr>
        <w:t>Source: Jalour financial model; Financial Annex, Combined_Position sheet. Months are counted from the Green Square launch (month 1); L'avenir launches in month 7, as in the combined Jalour model</w:t>
      </w:r>
    </w:p>
    <w:p>
      <w:pPr>
        <w:keepNext/>
        <w:spacing w:after="60"/>
      </w:pPr>
      <w:r>
        <w:rPr>
          <w:b/>
          <w:color w:val="17324D"/>
          <w:sz w:val="19"/>
        </w:rPr>
        <w:t>Table 22: Peak shortage by case, each project and combined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4082"/>
            <w:shd w:val="clear" w:color="auto" w:fill="17324D"/>
          </w:tcPr>
          <w:p>
            <w:pPr>
              <w:spacing w:after="0" w:line="240" w:lineRule="auto"/>
            </w:pPr>
            <w:r/>
            <w:r>
              <w:rPr>
                <w:b/>
                <w:color w:val="FFFFFF"/>
                <w:sz w:val="18"/>
              </w:rPr>
              <w:t>Peak cumulative shortage (EGP million)</w:t>
            </w:r>
          </w:p>
        </w:tc>
        <w:tc>
          <w:tcPr>
            <w:tcW w:type="dxa" w:w="1361"/>
            <w:shd w:val="clear" w:color="auto" w:fill="17324D"/>
          </w:tcPr>
          <w:p>
            <w:pPr>
              <w:spacing w:after="0" w:line="240" w:lineRule="auto"/>
              <w:jc w:val="right"/>
            </w:pPr>
            <w:r/>
            <w:r>
              <w:rPr>
                <w:b/>
                <w:color w:val="FFFFFF"/>
                <w:sz w:val="18"/>
              </w:rPr>
              <w:t>Green Square</w:t>
            </w:r>
          </w:p>
        </w:tc>
        <w:tc>
          <w:tcPr>
            <w:tcW w:type="dxa" w:w="1361"/>
            <w:shd w:val="clear" w:color="auto" w:fill="17324D"/>
          </w:tcPr>
          <w:p>
            <w:pPr>
              <w:spacing w:after="0" w:line="240" w:lineRule="auto"/>
              <w:jc w:val="right"/>
            </w:pPr>
            <w:r/>
            <w:r>
              <w:rPr>
                <w:b/>
                <w:color w:val="FFFFFF"/>
                <w:sz w:val="18"/>
              </w:rPr>
              <w:t>L'avenir</w:t>
            </w:r>
          </w:p>
        </w:tc>
        <w:tc>
          <w:tcPr>
            <w:tcW w:type="dxa" w:w="1247"/>
            <w:shd w:val="clear" w:color="auto" w:fill="17324D"/>
          </w:tcPr>
          <w:p>
            <w:pPr>
              <w:spacing w:after="0" w:line="240" w:lineRule="auto"/>
              <w:jc w:val="right"/>
            </w:pPr>
            <w:r/>
            <w:r>
              <w:rPr>
                <w:b/>
                <w:color w:val="FFFFFF"/>
                <w:sz w:val="18"/>
              </w:rPr>
              <w:t>Combined</w:t>
            </w:r>
          </w:p>
        </w:tc>
        <w:tc>
          <w:tcPr>
            <w:tcW w:type="dxa" w:w="1191"/>
            <w:shd w:val="clear" w:color="auto" w:fill="17324D"/>
          </w:tcPr>
          <w:p>
            <w:pPr>
              <w:spacing w:after="0" w:line="240" w:lineRule="auto"/>
              <w:jc w:val="right"/>
            </w:pPr>
            <w:r/>
            <w:r>
              <w:rPr>
                <w:b/>
                <w:color w:val="FFFFFF"/>
                <w:sz w:val="18"/>
              </w:rPr>
              <w:t>Month of combined peak</w:t>
            </w:r>
          </w:p>
        </w:tc>
      </w:tr>
      <w:tr>
        <w:trPr>
          <w:cantSplit/>
        </w:trPr>
        <w:tc>
          <w:tcPr>
            <w:tcW w:type="dxa" w:w="4082"/>
          </w:tcPr>
          <w:p>
            <w:pPr>
              <w:spacing w:after="0" w:line="240" w:lineRule="auto"/>
            </w:pPr>
            <w:r/>
            <w:r>
              <w:rPr>
                <w:sz w:val="18"/>
              </w:rPr>
              <w:t>Base case</w:t>
            </w:r>
          </w:p>
        </w:tc>
        <w:tc>
          <w:tcPr>
            <w:tcW w:type="dxa" w:w="1361"/>
          </w:tcPr>
          <w:p>
            <w:pPr>
              <w:spacing w:after="0" w:line="240" w:lineRule="auto"/>
              <w:jc w:val="right"/>
            </w:pPr>
            <w:r/>
            <w:r>
              <w:rPr>
                <w:sz w:val="18"/>
              </w:rPr>
              <w:t>102</w:t>
            </w:r>
          </w:p>
        </w:tc>
        <w:tc>
          <w:tcPr>
            <w:tcW w:type="dxa" w:w="1361"/>
          </w:tcPr>
          <w:p>
            <w:pPr>
              <w:spacing w:after="0" w:line="240" w:lineRule="auto"/>
              <w:jc w:val="right"/>
            </w:pPr>
            <w:r/>
            <w:r>
              <w:rPr>
                <w:sz w:val="18"/>
              </w:rPr>
              <w:t>102</w:t>
            </w:r>
          </w:p>
        </w:tc>
        <w:tc>
          <w:tcPr>
            <w:tcW w:type="dxa" w:w="1247"/>
          </w:tcPr>
          <w:p>
            <w:pPr>
              <w:spacing w:after="0" w:line="240" w:lineRule="auto"/>
              <w:jc w:val="right"/>
            </w:pPr>
            <w:r/>
            <w:r>
              <w:rPr>
                <w:sz w:val="18"/>
              </w:rPr>
              <w:t>168</w:t>
            </w:r>
          </w:p>
        </w:tc>
        <w:tc>
          <w:tcPr>
            <w:tcW w:type="dxa" w:w="1191"/>
          </w:tcPr>
          <w:p>
            <w:pPr>
              <w:spacing w:after="0" w:line="240" w:lineRule="auto"/>
              <w:jc w:val="right"/>
            </w:pPr>
            <w:r/>
            <w:r>
              <w:rPr>
                <w:sz w:val="18"/>
              </w:rPr>
              <w:t>9</w:t>
            </w:r>
          </w:p>
        </w:tc>
      </w:tr>
      <w:tr>
        <w:trPr>
          <w:cantSplit/>
        </w:trPr>
        <w:tc>
          <w:tcPr>
            <w:tcW w:type="dxa" w:w="4082"/>
            <w:shd w:val="clear" w:color="auto" w:fill="F2F4F7"/>
          </w:tcPr>
          <w:p>
            <w:pPr>
              <w:spacing w:after="0" w:line="240" w:lineRule="auto"/>
            </w:pPr>
            <w:r/>
            <w:r>
              <w:rPr>
                <w:sz w:val="18"/>
              </w:rPr>
              <w:t>Downside: sales +12 months, prices -10%</w:t>
            </w:r>
          </w:p>
        </w:tc>
        <w:tc>
          <w:tcPr>
            <w:tcW w:type="dxa" w:w="1361"/>
            <w:shd w:val="clear" w:color="auto" w:fill="F2F4F7"/>
          </w:tcPr>
          <w:p>
            <w:pPr>
              <w:spacing w:after="0" w:line="240" w:lineRule="auto"/>
              <w:jc w:val="right"/>
            </w:pPr>
            <w:r/>
            <w:r>
              <w:rPr>
                <w:sz w:val="18"/>
              </w:rPr>
              <w:t>441</w:t>
            </w:r>
          </w:p>
        </w:tc>
        <w:tc>
          <w:tcPr>
            <w:tcW w:type="dxa" w:w="1361"/>
            <w:shd w:val="clear" w:color="auto" w:fill="F2F4F7"/>
          </w:tcPr>
          <w:p>
            <w:pPr>
              <w:spacing w:after="0" w:line="240" w:lineRule="auto"/>
              <w:jc w:val="right"/>
            </w:pPr>
            <w:r/>
            <w:r>
              <w:rPr>
                <w:sz w:val="18"/>
              </w:rPr>
              <w:t>849</w:t>
            </w:r>
          </w:p>
        </w:tc>
        <w:tc>
          <w:tcPr>
            <w:tcW w:type="dxa" w:w="1247"/>
            <w:shd w:val="clear" w:color="auto" w:fill="F2F4F7"/>
          </w:tcPr>
          <w:p>
            <w:pPr>
              <w:spacing w:after="0" w:line="240" w:lineRule="auto"/>
              <w:jc w:val="right"/>
            </w:pPr>
            <w:r/>
            <w:r>
              <w:rPr>
                <w:sz w:val="18"/>
              </w:rPr>
              <w:t>1,089</w:t>
            </w:r>
          </w:p>
        </w:tc>
        <w:tc>
          <w:tcPr>
            <w:tcW w:type="dxa" w:w="1191"/>
            <w:shd w:val="clear" w:color="auto" w:fill="F2F4F7"/>
          </w:tcPr>
          <w:p>
            <w:pPr>
              <w:spacing w:after="0" w:line="240" w:lineRule="auto"/>
              <w:jc w:val="right"/>
            </w:pPr>
            <w:r/>
            <w:r>
              <w:rPr>
                <w:sz w:val="18"/>
              </w:rPr>
              <w:t>48</w:t>
            </w:r>
          </w:p>
        </w:tc>
      </w:tr>
      <w:tr>
        <w:trPr>
          <w:cantSplit/>
        </w:trPr>
        <w:tc>
          <w:tcPr>
            <w:tcW w:type="dxa" w:w="4082"/>
          </w:tcPr>
          <w:p>
            <w:pPr>
              <w:spacing w:after="0" w:line="240" w:lineRule="auto"/>
            </w:pPr>
            <w:r/>
            <w:r>
              <w:rPr>
                <w:sz w:val="18"/>
              </w:rPr>
              <w:t>Upside: prices +10%</w:t>
            </w:r>
          </w:p>
        </w:tc>
        <w:tc>
          <w:tcPr>
            <w:tcW w:type="dxa" w:w="1361"/>
          </w:tcPr>
          <w:p>
            <w:pPr>
              <w:spacing w:after="0" w:line="240" w:lineRule="auto"/>
              <w:jc w:val="right"/>
            </w:pPr>
            <w:r/>
            <w:r>
              <w:rPr>
                <w:sz w:val="18"/>
              </w:rPr>
              <w:t>102</w:t>
            </w:r>
          </w:p>
        </w:tc>
        <w:tc>
          <w:tcPr>
            <w:tcW w:type="dxa" w:w="1361"/>
          </w:tcPr>
          <w:p>
            <w:pPr>
              <w:spacing w:after="0" w:line="240" w:lineRule="auto"/>
              <w:jc w:val="right"/>
            </w:pPr>
            <w:r/>
            <w:r>
              <w:rPr>
                <w:sz w:val="18"/>
              </w:rPr>
              <w:t>88</w:t>
            </w:r>
          </w:p>
        </w:tc>
        <w:tc>
          <w:tcPr>
            <w:tcW w:type="dxa" w:w="1247"/>
          </w:tcPr>
          <w:p>
            <w:pPr>
              <w:spacing w:after="0" w:line="240" w:lineRule="auto"/>
              <w:jc w:val="right"/>
            </w:pPr>
            <w:r/>
            <w:r>
              <w:rPr>
                <w:sz w:val="18"/>
              </w:rPr>
              <w:t>160</w:t>
            </w:r>
          </w:p>
        </w:tc>
        <w:tc>
          <w:tcPr>
            <w:tcW w:type="dxa" w:w="1191"/>
          </w:tcPr>
          <w:p>
            <w:pPr>
              <w:spacing w:after="0" w:line="240" w:lineRule="auto"/>
              <w:jc w:val="right"/>
            </w:pPr>
            <w:r/>
            <w:r>
              <w:rPr>
                <w:sz w:val="18"/>
              </w:rPr>
              <w:t>6</w:t>
            </w:r>
          </w:p>
        </w:tc>
      </w:tr>
      <w:tr>
        <w:trPr>
          <w:cantSplit/>
        </w:trPr>
        <w:tc>
          <w:tcPr>
            <w:tcW w:type="dxa" w:w="4082"/>
            <w:shd w:val="clear" w:color="auto" w:fill="F2F4F7"/>
          </w:tcPr>
          <w:p>
            <w:pPr>
              <w:spacing w:after="0" w:line="240" w:lineRule="auto"/>
            </w:pPr>
            <w:r/>
            <w:r>
              <w:rPr>
                <w:sz w:val="18"/>
              </w:rPr>
              <w:t>Construction cost +10%</w:t>
            </w:r>
          </w:p>
        </w:tc>
        <w:tc>
          <w:tcPr>
            <w:tcW w:type="dxa" w:w="1361"/>
            <w:shd w:val="clear" w:color="auto" w:fill="F2F4F7"/>
          </w:tcPr>
          <w:p>
            <w:pPr>
              <w:spacing w:after="0" w:line="240" w:lineRule="auto"/>
              <w:jc w:val="right"/>
            </w:pPr>
            <w:r/>
            <w:r>
              <w:rPr>
                <w:sz w:val="18"/>
              </w:rPr>
              <w:t>102</w:t>
            </w:r>
          </w:p>
        </w:tc>
        <w:tc>
          <w:tcPr>
            <w:tcW w:type="dxa" w:w="1361"/>
            <w:shd w:val="clear" w:color="auto" w:fill="F2F4F7"/>
          </w:tcPr>
          <w:p>
            <w:pPr>
              <w:spacing w:after="0" w:line="240" w:lineRule="auto"/>
              <w:jc w:val="right"/>
            </w:pPr>
            <w:r/>
            <w:r>
              <w:rPr>
                <w:sz w:val="18"/>
              </w:rPr>
              <w:t>117</w:t>
            </w:r>
          </w:p>
        </w:tc>
        <w:tc>
          <w:tcPr>
            <w:tcW w:type="dxa" w:w="1247"/>
            <w:shd w:val="clear" w:color="auto" w:fill="F2F4F7"/>
          </w:tcPr>
          <w:p>
            <w:pPr>
              <w:spacing w:after="0" w:line="240" w:lineRule="auto"/>
              <w:jc w:val="right"/>
            </w:pPr>
            <w:r/>
            <w:r>
              <w:rPr>
                <w:sz w:val="18"/>
              </w:rPr>
              <w:t>193</w:t>
            </w:r>
          </w:p>
        </w:tc>
        <w:tc>
          <w:tcPr>
            <w:tcW w:type="dxa" w:w="1191"/>
            <w:shd w:val="clear" w:color="auto" w:fill="F2F4F7"/>
          </w:tcPr>
          <w:p>
            <w:pPr>
              <w:spacing w:after="0" w:line="240" w:lineRule="auto"/>
              <w:jc w:val="right"/>
            </w:pPr>
            <w:r/>
            <w:r>
              <w:rPr>
                <w:sz w:val="18"/>
              </w:rPr>
              <w:t>21</w:t>
            </w:r>
          </w:p>
        </w:tc>
      </w:tr>
      <w:tr>
        <w:trPr>
          <w:cantSplit/>
        </w:trPr>
        <w:tc>
          <w:tcPr>
            <w:tcW w:type="dxa" w:w="4082"/>
          </w:tcPr>
          <w:p>
            <w:pPr>
              <w:spacing w:after="0" w:line="240" w:lineRule="auto"/>
            </w:pPr>
            <w:r/>
            <w:r>
              <w:rPr>
                <w:sz w:val="18"/>
              </w:rPr>
              <w:t>Collections slip 2 quarters</w:t>
            </w:r>
          </w:p>
        </w:tc>
        <w:tc>
          <w:tcPr>
            <w:tcW w:type="dxa" w:w="1361"/>
          </w:tcPr>
          <w:p>
            <w:pPr>
              <w:spacing w:after="0" w:line="240" w:lineRule="auto"/>
              <w:jc w:val="right"/>
            </w:pPr>
            <w:r/>
            <w:r>
              <w:rPr>
                <w:sz w:val="18"/>
              </w:rPr>
              <w:t>236</w:t>
            </w:r>
          </w:p>
        </w:tc>
        <w:tc>
          <w:tcPr>
            <w:tcW w:type="dxa" w:w="1361"/>
          </w:tcPr>
          <w:p>
            <w:pPr>
              <w:spacing w:after="0" w:line="240" w:lineRule="auto"/>
              <w:jc w:val="right"/>
            </w:pPr>
            <w:r/>
            <w:r>
              <w:rPr>
                <w:sz w:val="18"/>
              </w:rPr>
              <w:t>381</w:t>
            </w:r>
          </w:p>
        </w:tc>
        <w:tc>
          <w:tcPr>
            <w:tcW w:type="dxa" w:w="1247"/>
          </w:tcPr>
          <w:p>
            <w:pPr>
              <w:spacing w:after="0" w:line="240" w:lineRule="auto"/>
              <w:jc w:val="right"/>
            </w:pPr>
            <w:r/>
            <w:r>
              <w:rPr>
                <w:sz w:val="18"/>
              </w:rPr>
              <w:t>478</w:t>
            </w:r>
          </w:p>
        </w:tc>
        <w:tc>
          <w:tcPr>
            <w:tcW w:type="dxa" w:w="1191"/>
          </w:tcPr>
          <w:p>
            <w:pPr>
              <w:spacing w:after="0" w:line="240" w:lineRule="auto"/>
              <w:jc w:val="right"/>
            </w:pPr>
            <w:r/>
            <w:r>
              <w:rPr>
                <w:sz w:val="18"/>
              </w:rPr>
              <w:t>24</w:t>
            </w:r>
          </w:p>
        </w:tc>
      </w:tr>
      <w:tr>
        <w:trPr>
          <w:cantSplit/>
        </w:trPr>
        <w:tc>
          <w:tcPr>
            <w:tcW w:type="dxa" w:w="4082"/>
            <w:shd w:val="clear" w:color="auto" w:fill="F2F4F7"/>
          </w:tcPr>
          <w:p>
            <w:pPr>
              <w:spacing w:after="0" w:line="240" w:lineRule="auto"/>
            </w:pPr>
            <w:r/>
            <w:r>
              <w:rPr>
                <w:sz w:val="18"/>
              </w:rPr>
              <w:t>Delivery payments at handover</w:t>
            </w:r>
          </w:p>
        </w:tc>
        <w:tc>
          <w:tcPr>
            <w:tcW w:type="dxa" w:w="1361"/>
            <w:shd w:val="clear" w:color="auto" w:fill="F2F4F7"/>
          </w:tcPr>
          <w:p>
            <w:pPr>
              <w:spacing w:after="0" w:line="240" w:lineRule="auto"/>
              <w:jc w:val="right"/>
            </w:pPr>
            <w:r/>
            <w:r>
              <w:rPr>
                <w:sz w:val="18"/>
              </w:rPr>
              <w:t>269</w:t>
            </w:r>
          </w:p>
        </w:tc>
        <w:tc>
          <w:tcPr>
            <w:tcW w:type="dxa" w:w="1361"/>
            <w:shd w:val="clear" w:color="auto" w:fill="F2F4F7"/>
          </w:tcPr>
          <w:p>
            <w:pPr>
              <w:spacing w:after="0" w:line="240" w:lineRule="auto"/>
              <w:jc w:val="right"/>
            </w:pPr>
            <w:r/>
            <w:r>
              <w:rPr>
                <w:sz w:val="18"/>
              </w:rPr>
              <w:t>244</w:t>
            </w:r>
          </w:p>
        </w:tc>
        <w:tc>
          <w:tcPr>
            <w:tcW w:type="dxa" w:w="1247"/>
            <w:shd w:val="clear" w:color="auto" w:fill="F2F4F7"/>
          </w:tcPr>
          <w:p>
            <w:pPr>
              <w:spacing w:after="0" w:line="240" w:lineRule="auto"/>
              <w:jc w:val="right"/>
            </w:pPr>
            <w:r/>
            <w:r>
              <w:rPr>
                <w:sz w:val="18"/>
              </w:rPr>
              <w:t>318</w:t>
            </w:r>
          </w:p>
        </w:tc>
        <w:tc>
          <w:tcPr>
            <w:tcW w:type="dxa" w:w="1191"/>
            <w:shd w:val="clear" w:color="auto" w:fill="F2F4F7"/>
          </w:tcPr>
          <w:p>
            <w:pPr>
              <w:spacing w:after="0" w:line="240" w:lineRule="auto"/>
              <w:jc w:val="right"/>
            </w:pPr>
            <w:r/>
            <w:r>
              <w:rPr>
                <w:sz w:val="18"/>
              </w:rPr>
              <w:t>39</w:t>
            </w:r>
          </w:p>
        </w:tc>
      </w:tr>
      <w:tr>
        <w:trPr>
          <w:cantSplit/>
        </w:trPr>
        <w:tc>
          <w:tcPr>
            <w:tcW w:type="dxa" w:w="4082"/>
          </w:tcPr>
          <w:p>
            <w:pPr>
              <w:spacing w:after="0" w:line="240" w:lineRule="auto"/>
            </w:pPr>
            <w:r/>
            <w:r>
              <w:rPr>
                <w:sz w:val="18"/>
              </w:rPr>
              <w:t>Handover payments and downside combined</w:t>
            </w:r>
          </w:p>
        </w:tc>
        <w:tc>
          <w:tcPr>
            <w:tcW w:type="dxa" w:w="1361"/>
          </w:tcPr>
          <w:p>
            <w:pPr>
              <w:spacing w:after="0" w:line="240" w:lineRule="auto"/>
              <w:jc w:val="right"/>
            </w:pPr>
            <w:r/>
            <w:r>
              <w:rPr>
                <w:sz w:val="18"/>
              </w:rPr>
              <w:t>729</w:t>
            </w:r>
          </w:p>
        </w:tc>
        <w:tc>
          <w:tcPr>
            <w:tcW w:type="dxa" w:w="1361"/>
          </w:tcPr>
          <w:p>
            <w:pPr>
              <w:spacing w:after="0" w:line="240" w:lineRule="auto"/>
              <w:jc w:val="right"/>
            </w:pPr>
            <w:r/>
            <w:r>
              <w:rPr>
                <w:sz w:val="18"/>
              </w:rPr>
              <w:t>849</w:t>
            </w:r>
          </w:p>
        </w:tc>
        <w:tc>
          <w:tcPr>
            <w:tcW w:type="dxa" w:w="1247"/>
          </w:tcPr>
          <w:p>
            <w:pPr>
              <w:spacing w:after="0" w:line="240" w:lineRule="auto"/>
              <w:jc w:val="right"/>
            </w:pPr>
            <w:r/>
            <w:r>
              <w:rPr>
                <w:sz w:val="18"/>
              </w:rPr>
              <w:t>1,531</w:t>
            </w:r>
          </w:p>
        </w:tc>
        <w:tc>
          <w:tcPr>
            <w:tcW w:type="dxa" w:w="1191"/>
          </w:tcPr>
          <w:p>
            <w:pPr>
              <w:spacing w:after="0" w:line="240" w:lineRule="auto"/>
              <w:jc w:val="right"/>
            </w:pPr>
            <w:r/>
            <w:r>
              <w:rPr>
                <w:sz w:val="18"/>
              </w:rPr>
              <w:t>48</w:t>
            </w:r>
          </w:p>
        </w:tc>
      </w:tr>
    </w:tbl>
    <w:p>
      <w:pPr>
        <w:spacing w:after="80"/>
      </w:pPr>
    </w:p>
    <w:p>
      <w:r>
        <w:rPr>
          <w:b w:val="0"/>
          <w:i w:val="0"/>
        </w:rPr>
        <w:t>In the base case the combined position is lowest at EGP 168.0 million in month 9 and is positive from month 24, counting months on the common calendar (Green Square launch = month 1; L'avenir launch = month 7). The stress cases matter more than the base case. When sales slip or delivery payments arrive late, both projects are short at the same time and the combined need is the sum of the two, not the offset of one against the other. Jalour's ability to cover gaps therefore rests mainly on its cash reserves and on other projects' cash outside these two, which are not shown here. Presenting the projects together creates no cross-collateral or cross-default; the investor's claim in each project is on that project's company only.</w:t>
      </w:r>
    </w:p>
    <w:p>
      <w:pPr>
        <w:pStyle w:val="Heading1"/>
        <w:pageBreakBefore/>
      </w:pPr>
      <w:r>
        <w:t>12. Investment terms</w:t>
      </w:r>
    </w:p>
    <w:p>
      <w:pPr>
        <w:pStyle w:val="Heading2"/>
      </w:pPr>
      <w:r>
        <w:t>12.1 Option A: units</w:t>
      </w:r>
    </w:p>
    <w:p>
      <w:pPr>
        <w:keepNext/>
        <w:spacing w:after="60"/>
      </w:pPr>
      <w:r>
        <w:rPr>
          <w:b/>
          <w:color w:val="17324D"/>
          <w:sz w:val="19"/>
        </w:rPr>
        <w:t>Table 23: Option A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Face value</w:t>
            </w:r>
          </w:p>
        </w:tc>
        <w:tc>
          <w:tcPr>
            <w:tcW w:type="dxa" w:w="7087"/>
          </w:tcPr>
          <w:p>
            <w:pPr>
              <w:spacing w:after="0" w:line="240" w:lineRule="auto"/>
            </w:pPr>
            <w:r/>
            <w:r>
              <w:rPr>
                <w:sz w:val="19"/>
              </w:rPr>
              <w:t>EGP 125 million in each project (EGP 250 million in total): 2.0x the ticket, priced at the launch list</w:t>
            </w:r>
          </w:p>
        </w:tc>
      </w:tr>
      <w:tr>
        <w:trPr>
          <w:cantSplit/>
        </w:trPr>
        <w:tc>
          <w:tcPr>
            <w:tcW w:type="dxa" w:w="2154"/>
            <w:shd w:val="clear" w:color="auto" w:fill="F2F4F7"/>
          </w:tcPr>
          <w:p>
            <w:pPr>
              <w:spacing w:after="0" w:line="240" w:lineRule="auto"/>
            </w:pPr>
            <w:r/>
            <w:r>
              <w:rPr>
                <w:b/>
                <w:sz w:val="19"/>
              </w:rPr>
              <w:t>Source of units</w:t>
            </w:r>
          </w:p>
        </w:tc>
        <w:tc>
          <w:tcPr>
            <w:tcW w:type="dxa" w:w="7087"/>
            <w:shd w:val="clear" w:color="auto" w:fill="F2F4F7"/>
          </w:tcPr>
          <w:p>
            <w:pPr>
              <w:spacing w:after="0" w:line="240" w:lineRule="auto"/>
            </w:pPr>
            <w:r/>
            <w:r>
              <w:rPr>
                <w:sz w:val="19"/>
              </w:rPr>
              <w:t>Unsold units in the first two sales tranches of each project (Green Square months 3 and 6, EGP 606 million at list; L'avenir months 3 and 6, EGP 725 million). The investor receives 20.6% and 17.3% of them.</w:t>
            </w:r>
          </w:p>
        </w:tc>
      </w:tr>
      <w:tr>
        <w:trPr>
          <w:cantSplit/>
        </w:trPr>
        <w:tc>
          <w:tcPr>
            <w:tcW w:type="dxa" w:w="2154"/>
          </w:tcPr>
          <w:p>
            <w:pPr>
              <w:spacing w:after="0" w:line="240" w:lineRule="auto"/>
            </w:pPr>
            <w:r/>
            <w:r>
              <w:rPr>
                <w:b/>
                <w:sz w:val="19"/>
              </w:rPr>
              <w:t>Unit mix</w:t>
            </w:r>
          </w:p>
        </w:tc>
        <w:tc>
          <w:tcPr>
            <w:tcW w:type="dxa" w:w="7087"/>
          </w:tcPr>
          <w:p>
            <w:pPr>
              <w:spacing w:after="0" w:line="240" w:lineRule="auto"/>
            </w:pPr>
            <w:r/>
            <w:r>
              <w:rPr>
                <w:sz w:val="19"/>
              </w:rPr>
              <w:t>Pro rata to those tranches: Green Square retail EGP 40.3 million and offices EGP 84.7 million; L'avenir retail EGP 38.6 million and offices EGP 86.4 million</w:t>
            </w:r>
          </w:p>
        </w:tc>
      </w:tr>
      <w:tr>
        <w:trPr>
          <w:cantSplit/>
        </w:trPr>
        <w:tc>
          <w:tcPr>
            <w:tcW w:type="dxa" w:w="2154"/>
            <w:shd w:val="clear" w:color="auto" w:fill="F2F4F7"/>
          </w:tcPr>
          <w:p>
            <w:pPr>
              <w:spacing w:after="0" w:line="240" w:lineRule="auto"/>
            </w:pPr>
            <w:r/>
            <w:r>
              <w:rPr>
                <w:b/>
                <w:sz w:val="19"/>
              </w:rPr>
              <w:t>Value at delivery list</w:t>
            </w:r>
          </w:p>
        </w:tc>
        <w:tc>
          <w:tcPr>
            <w:tcW w:type="dxa" w:w="7087"/>
            <w:shd w:val="clear" w:color="auto" w:fill="F2F4F7"/>
          </w:tcPr>
          <w:p>
            <w:pPr>
              <w:spacing w:after="0" w:line="240" w:lineRule="auto"/>
            </w:pPr>
            <w:r/>
            <w:r>
              <w:rPr>
                <w:sz w:val="19"/>
              </w:rPr>
              <w:t>EGP 179 million (Green Square) and EGP 185 million (L'avenir), before resale costs</w:t>
            </w:r>
          </w:p>
        </w:tc>
      </w:tr>
      <w:tr>
        <w:trPr>
          <w:cantSplit/>
        </w:trPr>
        <w:tc>
          <w:tcPr>
            <w:tcW w:type="dxa" w:w="2154"/>
          </w:tcPr>
          <w:p>
            <w:pPr>
              <w:spacing w:after="0" w:line="240" w:lineRule="auto"/>
            </w:pPr>
            <w:r/>
            <w:r>
              <w:rPr>
                <w:b/>
                <w:sz w:val="19"/>
              </w:rPr>
              <w:t>Day-one holding</w:t>
            </w:r>
          </w:p>
        </w:tc>
        <w:tc>
          <w:tcPr>
            <w:tcW w:type="dxa" w:w="7087"/>
          </w:tcPr>
          <w:p>
            <w:pPr>
              <w:spacing w:after="0" w:line="240" w:lineRule="auto"/>
            </w:pPr>
            <w:r/>
            <w:r>
              <w:rPr>
                <w:sz w:val="19"/>
              </w:rPr>
              <w:t>A registered unit allocation and reservation contract in each project, assignable with the consents below</w:t>
            </w:r>
          </w:p>
        </w:tc>
      </w:tr>
      <w:tr>
        <w:trPr>
          <w:cantSplit/>
        </w:trPr>
        <w:tc>
          <w:tcPr>
            <w:tcW w:type="dxa" w:w="2154"/>
            <w:shd w:val="clear" w:color="auto" w:fill="F2F4F7"/>
          </w:tcPr>
          <w:p>
            <w:pPr>
              <w:spacing w:after="0" w:line="240" w:lineRule="auto"/>
            </w:pPr>
            <w:r/>
            <w:r>
              <w:rPr>
                <w:b/>
                <w:sz w:val="19"/>
              </w:rPr>
              <w:t>Landlord share</w:t>
            </w:r>
          </w:p>
        </w:tc>
        <w:tc>
          <w:tcPr>
            <w:tcW w:type="dxa" w:w="7087"/>
            <w:shd w:val="clear" w:color="auto" w:fill="F2F4F7"/>
          </w:tcPr>
          <w:p>
            <w:pPr>
              <w:spacing w:after="0" w:line="240" w:lineRule="auto"/>
            </w:pPr>
            <w:r/>
            <w:r>
              <w:rPr>
                <w:sz w:val="19"/>
              </w:rPr>
              <w:t>Jalour bears the landlord 35% on the allocated units (EGP 88 million at face in total); landlord payments are unchanged</w:t>
            </w:r>
          </w:p>
        </w:tc>
      </w:tr>
      <w:tr>
        <w:trPr>
          <w:cantSplit/>
        </w:trPr>
        <w:tc>
          <w:tcPr>
            <w:tcW w:type="dxa" w:w="2154"/>
          </w:tcPr>
          <w:p>
            <w:pPr>
              <w:spacing w:after="0" w:line="240" w:lineRule="auto"/>
            </w:pPr>
            <w:r/>
            <w:r>
              <w:rPr>
                <w:b/>
                <w:sz w:val="19"/>
              </w:rPr>
              <w:t>Resale (assumption)</w:t>
            </w:r>
          </w:p>
        </w:tc>
        <w:tc>
          <w:tcPr>
            <w:tcW w:type="dxa" w:w="7087"/>
          </w:tcPr>
          <w:p>
            <w:pPr>
              <w:spacing w:after="0" w:line="240" w:lineRule="auto"/>
            </w:pPr>
            <w:r/>
            <w:r>
              <w:rPr>
                <w:sz w:val="19"/>
              </w:rPr>
              <w:t>Handover in month 42 (Green Square) and 42 (L'avenir); resale over four quarters from three months later; 3% cost</w:t>
            </w:r>
          </w:p>
        </w:tc>
      </w:tr>
      <w:tr>
        <w:trPr>
          <w:cantSplit/>
        </w:trPr>
        <w:tc>
          <w:tcPr>
            <w:tcW w:type="dxa" w:w="2154"/>
            <w:shd w:val="clear" w:color="auto" w:fill="F2F4F7"/>
          </w:tcPr>
          <w:p>
            <w:pPr>
              <w:spacing w:after="0" w:line="240" w:lineRule="auto"/>
            </w:pPr>
            <w:r/>
            <w:r>
              <w:rPr>
                <w:b/>
                <w:sz w:val="19"/>
              </w:rPr>
              <w:t>Consents</w:t>
            </w:r>
          </w:p>
        </w:tc>
        <w:tc>
          <w:tcPr>
            <w:tcW w:type="dxa" w:w="7087"/>
            <w:shd w:val="clear" w:color="auto" w:fill="F2F4F7"/>
          </w:tcPr>
          <w:p>
            <w:pPr>
              <w:spacing w:after="0" w:line="240" w:lineRule="auto"/>
            </w:pPr>
            <w:r/>
            <w:r>
              <w:rPr>
                <w:sz w:val="19"/>
              </w:rPr>
              <w:t>Jalour consent and landlord acknowledgement for assignment of a contract before handover [fee to be agreed]</w:t>
            </w:r>
          </w:p>
        </w:tc>
      </w:tr>
    </w:tbl>
    <w:p>
      <w:pPr>
        <w:spacing w:after="80"/>
      </w:pPr>
    </w:p>
    <w:p>
      <w:r>
        <w:rPr>
          <w:b w:val="0"/>
          <w:i w:val="0"/>
        </w:rPr>
        <w:t>The investor holds no physical unit until handover. Before handover the investor can sell only the contract, with consent, and a buyer is likely to require a discount. Jalour cannot promise liquidity that the structure does not provide.</w:t>
      </w:r>
    </w:p>
    <w:p>
      <w:pPr>
        <w:pStyle w:val="Heading2"/>
      </w:pPr>
      <w:r>
        <w:t>12.2 Option B: cash</w:t>
      </w:r>
    </w:p>
    <w:p>
      <w:pPr>
        <w:keepNext/>
        <w:spacing w:after="60"/>
      </w:pPr>
      <w:r>
        <w:rPr>
          <w:b/>
          <w:color w:val="17324D"/>
          <w:sz w:val="19"/>
        </w:rPr>
        <w:t>Table 24: Option B terms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154"/>
            <w:shd w:val="clear" w:color="auto" w:fill="17324D"/>
          </w:tcPr>
          <w:p>
            <w:pPr>
              <w:spacing w:after="0" w:line="240" w:lineRule="auto"/>
            </w:pPr>
            <w:r/>
            <w:r>
              <w:rPr>
                <w:b/>
                <w:color w:val="FFFFFF"/>
                <w:sz w:val="19"/>
              </w:rPr>
              <w:t>Term</w:t>
            </w:r>
          </w:p>
        </w:tc>
        <w:tc>
          <w:tcPr>
            <w:tcW w:type="dxa" w:w="7087"/>
            <w:shd w:val="clear" w:color="auto" w:fill="17324D"/>
          </w:tcPr>
          <w:p>
            <w:pPr>
              <w:spacing w:after="0" w:line="240" w:lineRule="auto"/>
            </w:pPr>
            <w:r/>
            <w:r>
              <w:rPr>
                <w:b/>
                <w:color w:val="FFFFFF"/>
                <w:sz w:val="19"/>
              </w:rPr>
              <w:t>Detail</w:t>
            </w:r>
          </w:p>
        </w:tc>
      </w:tr>
      <w:tr>
        <w:trPr>
          <w:cantSplit/>
        </w:trPr>
        <w:tc>
          <w:tcPr>
            <w:tcW w:type="dxa" w:w="2154"/>
          </w:tcPr>
          <w:p>
            <w:pPr>
              <w:spacing w:after="0" w:line="240" w:lineRule="auto"/>
            </w:pPr>
            <w:r/>
            <w:r>
              <w:rPr>
                <w:b/>
                <w:sz w:val="19"/>
              </w:rPr>
              <w:t>Total return</w:t>
            </w:r>
          </w:p>
        </w:tc>
        <w:tc>
          <w:tcPr>
            <w:tcW w:type="dxa" w:w="7087"/>
          </w:tcPr>
          <w:p>
            <w:pPr>
              <w:spacing w:after="0" w:line="240" w:lineRule="auto"/>
            </w:pPr>
            <w:r/>
            <w:r>
              <w:rPr>
                <w:sz w:val="19"/>
              </w:rPr>
              <w:t>EGP 288 million (2.3x the ticket), including return of capital: EGP 143.75 million from each project</w:t>
            </w:r>
          </w:p>
        </w:tc>
      </w:tr>
      <w:tr>
        <w:trPr>
          <w:cantSplit/>
        </w:trPr>
        <w:tc>
          <w:tcPr>
            <w:tcW w:type="dxa" w:w="2154"/>
            <w:shd w:val="clear" w:color="auto" w:fill="F2F4F7"/>
          </w:tcPr>
          <w:p>
            <w:pPr>
              <w:spacing w:after="0" w:line="240" w:lineRule="auto"/>
            </w:pPr>
            <w:r/>
            <w:r>
              <w:rPr>
                <w:b/>
                <w:sz w:val="19"/>
              </w:rPr>
              <w:t>Grace period</w:t>
            </w:r>
          </w:p>
        </w:tc>
        <w:tc>
          <w:tcPr>
            <w:tcW w:type="dxa" w:w="7087"/>
            <w:shd w:val="clear" w:color="auto" w:fill="F2F4F7"/>
          </w:tcPr>
          <w:p>
            <w:pPr>
              <w:spacing w:after="0" w:line="240" w:lineRule="auto"/>
            </w:pPr>
            <w:r/>
            <w:r>
              <w:rPr>
                <w:sz w:val="19"/>
              </w:rPr>
              <w:t>24 months from funding in each project, no payments</w:t>
            </w:r>
          </w:p>
        </w:tc>
      </w:tr>
      <w:tr>
        <w:trPr>
          <w:cantSplit/>
        </w:trPr>
        <w:tc>
          <w:tcPr>
            <w:tcW w:type="dxa" w:w="2154"/>
          </w:tcPr>
          <w:p>
            <w:pPr>
              <w:spacing w:after="0" w:line="240" w:lineRule="auto"/>
            </w:pPr>
            <w:r/>
            <w:r>
              <w:rPr>
                <w:b/>
                <w:sz w:val="19"/>
              </w:rPr>
              <w:t>Payments</w:t>
            </w:r>
          </w:p>
        </w:tc>
        <w:tc>
          <w:tcPr>
            <w:tcW w:type="dxa" w:w="7087"/>
          </w:tcPr>
          <w:p>
            <w:pPr>
              <w:spacing w:after="0" w:line="240" w:lineRule="auto"/>
            </w:pPr>
            <w:r/>
            <w:r>
              <w:rPr>
                <w:sz w:val="19"/>
              </w:rPr>
              <w:t>12 equal quarterly instalments of EGP 11.98 million per project: Green Square months 24 to 57; L'avenir months 27 to 60</w:t>
            </w:r>
          </w:p>
        </w:tc>
      </w:tr>
      <w:tr>
        <w:trPr>
          <w:cantSplit/>
        </w:trPr>
        <w:tc>
          <w:tcPr>
            <w:tcW w:type="dxa" w:w="2154"/>
            <w:shd w:val="clear" w:color="auto" w:fill="F2F4F7"/>
          </w:tcPr>
          <w:p>
            <w:pPr>
              <w:spacing w:after="0" w:line="240" w:lineRule="auto"/>
            </w:pPr>
            <w:r/>
            <w:r>
              <w:rPr>
                <w:b/>
                <w:sz w:val="19"/>
              </w:rPr>
              <w:t>Obligor</w:t>
            </w:r>
          </w:p>
        </w:tc>
        <w:tc>
          <w:tcPr>
            <w:tcW w:type="dxa" w:w="7087"/>
            <w:shd w:val="clear" w:color="auto" w:fill="F2F4F7"/>
          </w:tcPr>
          <w:p>
            <w:pPr>
              <w:spacing w:after="0" w:line="240" w:lineRule="auto"/>
            </w:pPr>
            <w:r/>
            <w:r>
              <w:rPr>
                <w:sz w:val="19"/>
              </w:rPr>
              <w:t>Each project company for its own instalments; no guarantee of return by Jalour or Al Jalal Holding; no cross-guarantee between the project companies</w:t>
            </w:r>
          </w:p>
        </w:tc>
      </w:tr>
      <w:tr>
        <w:trPr>
          <w:cantSplit/>
        </w:trPr>
        <w:tc>
          <w:tcPr>
            <w:tcW w:type="dxa" w:w="2154"/>
          </w:tcPr>
          <w:p>
            <w:pPr>
              <w:spacing w:after="0" w:line="240" w:lineRule="auto"/>
            </w:pPr>
            <w:r/>
            <w:r>
              <w:rPr>
                <w:b/>
                <w:sz w:val="19"/>
              </w:rPr>
              <w:t>Default</w:t>
            </w:r>
          </w:p>
        </w:tc>
        <w:tc>
          <w:tcPr>
            <w:tcW w:type="dxa" w:w="7087"/>
          </w:tcPr>
          <w:p>
            <w:pPr>
              <w:spacing w:after="0" w:line="240" w:lineRule="auto"/>
            </w:pPr>
            <w:r/>
            <w:r>
              <w:rPr>
                <w:sz w:val="19"/>
              </w:rPr>
              <w:t>Instalment unpaid for 30 days: payment priority covenant applies; step-in right over earmarked units in that project [terms to be agreed]</w:t>
            </w:r>
          </w:p>
        </w:tc>
      </w:tr>
      <w:tr>
        <w:trPr>
          <w:cantSplit/>
        </w:trPr>
        <w:tc>
          <w:tcPr>
            <w:tcW w:type="dxa" w:w="2154"/>
            <w:shd w:val="clear" w:color="auto" w:fill="F2F4F7"/>
          </w:tcPr>
          <w:p>
            <w:pPr>
              <w:spacing w:after="0" w:line="240" w:lineRule="auto"/>
            </w:pPr>
            <w:r/>
            <w:r>
              <w:rPr>
                <w:b/>
                <w:sz w:val="19"/>
              </w:rPr>
              <w:t>Funding gaps</w:t>
            </w:r>
          </w:p>
        </w:tc>
        <w:tc>
          <w:tcPr>
            <w:tcW w:type="dxa" w:w="7087"/>
            <w:shd w:val="clear" w:color="auto" w:fill="F2F4F7"/>
          </w:tcPr>
          <w:p>
            <w:pPr>
              <w:spacing w:after="0" w:line="240" w:lineRule="auto"/>
            </w:pPr>
            <w:r/>
            <w:r>
              <w:rPr>
                <w:sz w:val="19"/>
              </w:rPr>
              <w:t>Jalour will fund project funding gaps; this supports delivery of the projects and is not a guarantee of the return</w:t>
            </w:r>
          </w:p>
        </w:tc>
      </w:tr>
    </w:tbl>
    <w:p>
      <w:pPr>
        <w:spacing w:after="80"/>
      </w:pPr>
    </w:p>
    <w:p>
      <w:pPr>
        <w:keepNext/>
        <w:spacing w:after="60"/>
      </w:pPr>
      <w:r>
        <w:rPr>
          <w:b/>
          <w:color w:val="17324D"/>
          <w:sz w:val="19"/>
        </w:rPr>
        <w:t>Table 25: Option B payment schedule (GS = Green Square, LA = L'avenir)</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247"/>
            <w:shd w:val="clear" w:color="auto" w:fill="17324D"/>
          </w:tcPr>
          <w:p>
            <w:pPr>
              <w:spacing w:after="0" w:line="240" w:lineRule="auto"/>
              <w:jc w:val="right"/>
            </w:pPr>
            <w:r/>
            <w:r>
              <w:rPr>
                <w:b/>
                <w:color w:val="FFFFFF"/>
                <w:sz w:val="18"/>
              </w:rPr>
              <w:t>Instalment</w:t>
            </w:r>
          </w:p>
        </w:tc>
        <w:tc>
          <w:tcPr>
            <w:tcW w:type="dxa" w:w="1247"/>
            <w:shd w:val="clear" w:color="auto" w:fill="17324D"/>
          </w:tcPr>
          <w:p>
            <w:pPr>
              <w:spacing w:after="0" w:line="240" w:lineRule="auto"/>
              <w:jc w:val="right"/>
            </w:pPr>
            <w:r/>
            <w:r>
              <w:rPr>
                <w:b/>
                <w:color w:val="FFFFFF"/>
                <w:sz w:val="18"/>
              </w:rPr>
              <w:t>GS month</w:t>
            </w:r>
          </w:p>
        </w:tc>
        <w:tc>
          <w:tcPr>
            <w:tcW w:type="dxa" w:w="1247"/>
            <w:shd w:val="clear" w:color="auto" w:fill="17324D"/>
          </w:tcPr>
          <w:p>
            <w:pPr>
              <w:spacing w:after="0" w:line="240" w:lineRule="auto"/>
              <w:jc w:val="right"/>
            </w:pPr>
            <w:r/>
            <w:r>
              <w:rPr>
                <w:b/>
                <w:color w:val="FFFFFF"/>
                <w:sz w:val="18"/>
              </w:rPr>
              <w:t>LA month</w:t>
            </w:r>
          </w:p>
        </w:tc>
        <w:tc>
          <w:tcPr>
            <w:tcW w:type="dxa" w:w="1814"/>
            <w:shd w:val="clear" w:color="auto" w:fill="17324D"/>
          </w:tcPr>
          <w:p>
            <w:pPr>
              <w:spacing w:after="0" w:line="240" w:lineRule="auto"/>
              <w:jc w:val="right"/>
            </w:pPr>
            <w:r/>
            <w:r>
              <w:rPr>
                <w:b/>
                <w:color w:val="FFFFFF"/>
                <w:sz w:val="18"/>
              </w:rPr>
              <w:t>Per project (EGP m)</w:t>
            </w:r>
          </w:p>
        </w:tc>
        <w:tc>
          <w:tcPr>
            <w:tcW w:type="dxa" w:w="1814"/>
            <w:shd w:val="clear" w:color="auto" w:fill="17324D"/>
          </w:tcPr>
          <w:p>
            <w:pPr>
              <w:spacing w:after="0" w:line="240" w:lineRule="auto"/>
              <w:jc w:val="right"/>
            </w:pPr>
            <w:r/>
            <w:r>
              <w:rPr>
                <w:b/>
                <w:color w:val="FFFFFF"/>
                <w:sz w:val="18"/>
              </w:rPr>
              <w:t>Combined (EGP m)</w:t>
            </w:r>
          </w:p>
        </w:tc>
        <w:tc>
          <w:tcPr>
            <w:tcW w:type="dxa" w:w="1871"/>
            <w:shd w:val="clear" w:color="auto" w:fill="17324D"/>
          </w:tcPr>
          <w:p>
            <w:pPr>
              <w:spacing w:after="0" w:line="240" w:lineRule="auto"/>
              <w:jc w:val="right"/>
            </w:pPr>
            <w:r/>
            <w:r>
              <w:rPr>
                <w:b/>
                <w:color w:val="FFFFFF"/>
                <w:sz w:val="18"/>
              </w:rPr>
              <w:t>Cumulative combined (EGP m)</w:t>
            </w:r>
          </w:p>
        </w:tc>
      </w:tr>
      <w:tr>
        <w:trPr>
          <w:cantSplit/>
        </w:trPr>
        <w:tc>
          <w:tcPr>
            <w:tcW w:type="dxa" w:w="1247"/>
          </w:tcPr>
          <w:p>
            <w:pPr>
              <w:spacing w:after="0" w:line="240" w:lineRule="auto"/>
              <w:jc w:val="right"/>
            </w:pPr>
            <w:r/>
            <w:r>
              <w:rPr>
                <w:sz w:val="18"/>
              </w:rPr>
              <w:t>1</w:t>
            </w:r>
          </w:p>
        </w:tc>
        <w:tc>
          <w:tcPr>
            <w:tcW w:type="dxa" w:w="1247"/>
          </w:tcPr>
          <w:p>
            <w:pPr>
              <w:spacing w:after="0" w:line="240" w:lineRule="auto"/>
              <w:jc w:val="right"/>
            </w:pPr>
            <w:r/>
            <w:r>
              <w:rPr>
                <w:sz w:val="18"/>
              </w:rPr>
              <w:t>24</w:t>
            </w:r>
          </w:p>
        </w:tc>
        <w:tc>
          <w:tcPr>
            <w:tcW w:type="dxa" w:w="1247"/>
          </w:tcPr>
          <w:p>
            <w:pPr>
              <w:spacing w:after="0" w:line="240" w:lineRule="auto"/>
              <w:jc w:val="right"/>
            </w:pPr>
            <w:r/>
            <w:r>
              <w:rPr>
                <w:sz w:val="18"/>
              </w:rPr>
              <w:t>27</w:t>
            </w:r>
          </w:p>
        </w:tc>
        <w:tc>
          <w:tcPr>
            <w:tcW w:type="dxa" w:w="1814"/>
          </w:tcPr>
          <w:p>
            <w:pPr>
              <w:spacing w:after="0" w:line="240" w:lineRule="auto"/>
              <w:jc w:val="right"/>
            </w:pPr>
            <w:r/>
            <w:r>
              <w:rPr>
                <w:sz w:val="18"/>
              </w:rPr>
              <w:t>11.98</w:t>
            </w:r>
          </w:p>
        </w:tc>
        <w:tc>
          <w:tcPr>
            <w:tcW w:type="dxa" w:w="1814"/>
          </w:tcPr>
          <w:p>
            <w:pPr>
              <w:spacing w:after="0" w:line="240" w:lineRule="auto"/>
              <w:jc w:val="right"/>
            </w:pPr>
            <w:r/>
            <w:r>
              <w:rPr>
                <w:sz w:val="18"/>
              </w:rPr>
              <w:t>23.96</w:t>
            </w:r>
          </w:p>
        </w:tc>
        <w:tc>
          <w:tcPr>
            <w:tcW w:type="dxa" w:w="1871"/>
          </w:tcPr>
          <w:p>
            <w:pPr>
              <w:spacing w:after="0" w:line="240" w:lineRule="auto"/>
              <w:jc w:val="right"/>
            </w:pPr>
            <w:r/>
            <w:r>
              <w:rPr>
                <w:sz w:val="18"/>
              </w:rPr>
              <w:t>23.96</w:t>
            </w:r>
          </w:p>
        </w:tc>
      </w:tr>
      <w:tr>
        <w:trPr>
          <w:cantSplit/>
        </w:trPr>
        <w:tc>
          <w:tcPr>
            <w:tcW w:type="dxa" w:w="1247"/>
            <w:shd w:val="clear" w:color="auto" w:fill="F2F4F7"/>
          </w:tcPr>
          <w:p>
            <w:pPr>
              <w:spacing w:after="0" w:line="240" w:lineRule="auto"/>
              <w:jc w:val="right"/>
            </w:pPr>
            <w:r/>
            <w:r>
              <w:rPr>
                <w:sz w:val="18"/>
              </w:rPr>
              <w:t>2</w:t>
            </w:r>
          </w:p>
        </w:tc>
        <w:tc>
          <w:tcPr>
            <w:tcW w:type="dxa" w:w="1247"/>
            <w:shd w:val="clear" w:color="auto" w:fill="F2F4F7"/>
          </w:tcPr>
          <w:p>
            <w:pPr>
              <w:spacing w:after="0" w:line="240" w:lineRule="auto"/>
              <w:jc w:val="right"/>
            </w:pPr>
            <w:r/>
            <w:r>
              <w:rPr>
                <w:sz w:val="18"/>
              </w:rPr>
              <w:t>27</w:t>
            </w:r>
          </w:p>
        </w:tc>
        <w:tc>
          <w:tcPr>
            <w:tcW w:type="dxa" w:w="1247"/>
            <w:shd w:val="clear" w:color="auto" w:fill="F2F4F7"/>
          </w:tcPr>
          <w:p>
            <w:pPr>
              <w:spacing w:after="0" w:line="240" w:lineRule="auto"/>
              <w:jc w:val="right"/>
            </w:pPr>
            <w:r/>
            <w:r>
              <w:rPr>
                <w:sz w:val="18"/>
              </w:rPr>
              <w:t>30</w:t>
            </w:r>
          </w:p>
        </w:tc>
        <w:tc>
          <w:tcPr>
            <w:tcW w:type="dxa" w:w="1814"/>
            <w:shd w:val="clear" w:color="auto" w:fill="F2F4F7"/>
          </w:tcPr>
          <w:p>
            <w:pPr>
              <w:spacing w:after="0" w:line="240" w:lineRule="auto"/>
              <w:jc w:val="right"/>
            </w:pPr>
            <w:r/>
            <w:r>
              <w:rPr>
                <w:sz w:val="18"/>
              </w:rPr>
              <w:t>11.98</w:t>
            </w:r>
          </w:p>
        </w:tc>
        <w:tc>
          <w:tcPr>
            <w:tcW w:type="dxa" w:w="1814"/>
            <w:shd w:val="clear" w:color="auto" w:fill="F2F4F7"/>
          </w:tcPr>
          <w:p>
            <w:pPr>
              <w:spacing w:after="0" w:line="240" w:lineRule="auto"/>
              <w:jc w:val="right"/>
            </w:pPr>
            <w:r/>
            <w:r>
              <w:rPr>
                <w:sz w:val="18"/>
              </w:rPr>
              <w:t>23.96</w:t>
            </w:r>
          </w:p>
        </w:tc>
        <w:tc>
          <w:tcPr>
            <w:tcW w:type="dxa" w:w="1871"/>
            <w:shd w:val="clear" w:color="auto" w:fill="F2F4F7"/>
          </w:tcPr>
          <w:p>
            <w:pPr>
              <w:spacing w:after="0" w:line="240" w:lineRule="auto"/>
              <w:jc w:val="right"/>
            </w:pPr>
            <w:r/>
            <w:r>
              <w:rPr>
                <w:sz w:val="18"/>
              </w:rPr>
              <w:t>47.92</w:t>
            </w:r>
          </w:p>
        </w:tc>
      </w:tr>
      <w:tr>
        <w:trPr>
          <w:cantSplit/>
        </w:trPr>
        <w:tc>
          <w:tcPr>
            <w:tcW w:type="dxa" w:w="1247"/>
          </w:tcPr>
          <w:p>
            <w:pPr>
              <w:spacing w:after="0" w:line="240" w:lineRule="auto"/>
              <w:jc w:val="right"/>
            </w:pPr>
            <w:r/>
            <w:r>
              <w:rPr>
                <w:sz w:val="18"/>
              </w:rPr>
              <w:t>3</w:t>
            </w:r>
          </w:p>
        </w:tc>
        <w:tc>
          <w:tcPr>
            <w:tcW w:type="dxa" w:w="1247"/>
          </w:tcPr>
          <w:p>
            <w:pPr>
              <w:spacing w:after="0" w:line="240" w:lineRule="auto"/>
              <w:jc w:val="right"/>
            </w:pPr>
            <w:r/>
            <w:r>
              <w:rPr>
                <w:sz w:val="18"/>
              </w:rPr>
              <w:t>30</w:t>
            </w:r>
          </w:p>
        </w:tc>
        <w:tc>
          <w:tcPr>
            <w:tcW w:type="dxa" w:w="1247"/>
          </w:tcPr>
          <w:p>
            <w:pPr>
              <w:spacing w:after="0" w:line="240" w:lineRule="auto"/>
              <w:jc w:val="right"/>
            </w:pPr>
            <w:r/>
            <w:r>
              <w:rPr>
                <w:sz w:val="18"/>
              </w:rPr>
              <w:t>33</w:t>
            </w:r>
          </w:p>
        </w:tc>
        <w:tc>
          <w:tcPr>
            <w:tcW w:type="dxa" w:w="1814"/>
          </w:tcPr>
          <w:p>
            <w:pPr>
              <w:spacing w:after="0" w:line="240" w:lineRule="auto"/>
              <w:jc w:val="right"/>
            </w:pPr>
            <w:r/>
            <w:r>
              <w:rPr>
                <w:sz w:val="18"/>
              </w:rPr>
              <w:t>11.98</w:t>
            </w:r>
          </w:p>
        </w:tc>
        <w:tc>
          <w:tcPr>
            <w:tcW w:type="dxa" w:w="1814"/>
          </w:tcPr>
          <w:p>
            <w:pPr>
              <w:spacing w:after="0" w:line="240" w:lineRule="auto"/>
              <w:jc w:val="right"/>
            </w:pPr>
            <w:r/>
            <w:r>
              <w:rPr>
                <w:sz w:val="18"/>
              </w:rPr>
              <w:t>23.96</w:t>
            </w:r>
          </w:p>
        </w:tc>
        <w:tc>
          <w:tcPr>
            <w:tcW w:type="dxa" w:w="1871"/>
          </w:tcPr>
          <w:p>
            <w:pPr>
              <w:spacing w:after="0" w:line="240" w:lineRule="auto"/>
              <w:jc w:val="right"/>
            </w:pPr>
            <w:r/>
            <w:r>
              <w:rPr>
                <w:sz w:val="18"/>
              </w:rPr>
              <w:t>71.88</w:t>
            </w:r>
          </w:p>
        </w:tc>
      </w:tr>
      <w:tr>
        <w:trPr>
          <w:cantSplit/>
        </w:trPr>
        <w:tc>
          <w:tcPr>
            <w:tcW w:type="dxa" w:w="1247"/>
            <w:shd w:val="clear" w:color="auto" w:fill="F2F4F7"/>
          </w:tcPr>
          <w:p>
            <w:pPr>
              <w:spacing w:after="0" w:line="240" w:lineRule="auto"/>
              <w:jc w:val="right"/>
            </w:pPr>
            <w:r/>
            <w:r>
              <w:rPr>
                <w:sz w:val="18"/>
              </w:rPr>
              <w:t>4</w:t>
            </w:r>
          </w:p>
        </w:tc>
        <w:tc>
          <w:tcPr>
            <w:tcW w:type="dxa" w:w="1247"/>
            <w:shd w:val="clear" w:color="auto" w:fill="F2F4F7"/>
          </w:tcPr>
          <w:p>
            <w:pPr>
              <w:spacing w:after="0" w:line="240" w:lineRule="auto"/>
              <w:jc w:val="right"/>
            </w:pPr>
            <w:r/>
            <w:r>
              <w:rPr>
                <w:sz w:val="18"/>
              </w:rPr>
              <w:t>33</w:t>
            </w:r>
          </w:p>
        </w:tc>
        <w:tc>
          <w:tcPr>
            <w:tcW w:type="dxa" w:w="1247"/>
            <w:shd w:val="clear" w:color="auto" w:fill="F2F4F7"/>
          </w:tcPr>
          <w:p>
            <w:pPr>
              <w:spacing w:after="0" w:line="240" w:lineRule="auto"/>
              <w:jc w:val="right"/>
            </w:pPr>
            <w:r/>
            <w:r>
              <w:rPr>
                <w:sz w:val="18"/>
              </w:rPr>
              <w:t>36</w:t>
            </w:r>
          </w:p>
        </w:tc>
        <w:tc>
          <w:tcPr>
            <w:tcW w:type="dxa" w:w="1814"/>
            <w:shd w:val="clear" w:color="auto" w:fill="F2F4F7"/>
          </w:tcPr>
          <w:p>
            <w:pPr>
              <w:spacing w:after="0" w:line="240" w:lineRule="auto"/>
              <w:jc w:val="right"/>
            </w:pPr>
            <w:r/>
            <w:r>
              <w:rPr>
                <w:sz w:val="18"/>
              </w:rPr>
              <w:t>11.98</w:t>
            </w:r>
          </w:p>
        </w:tc>
        <w:tc>
          <w:tcPr>
            <w:tcW w:type="dxa" w:w="1814"/>
            <w:shd w:val="clear" w:color="auto" w:fill="F2F4F7"/>
          </w:tcPr>
          <w:p>
            <w:pPr>
              <w:spacing w:after="0" w:line="240" w:lineRule="auto"/>
              <w:jc w:val="right"/>
            </w:pPr>
            <w:r/>
            <w:r>
              <w:rPr>
                <w:sz w:val="18"/>
              </w:rPr>
              <w:t>23.96</w:t>
            </w:r>
          </w:p>
        </w:tc>
        <w:tc>
          <w:tcPr>
            <w:tcW w:type="dxa" w:w="1871"/>
            <w:shd w:val="clear" w:color="auto" w:fill="F2F4F7"/>
          </w:tcPr>
          <w:p>
            <w:pPr>
              <w:spacing w:after="0" w:line="240" w:lineRule="auto"/>
              <w:jc w:val="right"/>
            </w:pPr>
            <w:r/>
            <w:r>
              <w:rPr>
                <w:sz w:val="18"/>
              </w:rPr>
              <w:t>95.83</w:t>
            </w:r>
          </w:p>
        </w:tc>
      </w:tr>
      <w:tr>
        <w:trPr>
          <w:cantSplit/>
        </w:trPr>
        <w:tc>
          <w:tcPr>
            <w:tcW w:type="dxa" w:w="1247"/>
          </w:tcPr>
          <w:p>
            <w:pPr>
              <w:spacing w:after="0" w:line="240" w:lineRule="auto"/>
              <w:jc w:val="right"/>
            </w:pPr>
            <w:r/>
            <w:r>
              <w:rPr>
                <w:sz w:val="18"/>
              </w:rPr>
              <w:t>5</w:t>
            </w:r>
          </w:p>
        </w:tc>
        <w:tc>
          <w:tcPr>
            <w:tcW w:type="dxa" w:w="1247"/>
          </w:tcPr>
          <w:p>
            <w:pPr>
              <w:spacing w:after="0" w:line="240" w:lineRule="auto"/>
              <w:jc w:val="right"/>
            </w:pPr>
            <w:r/>
            <w:r>
              <w:rPr>
                <w:sz w:val="18"/>
              </w:rPr>
              <w:t>36</w:t>
            </w:r>
          </w:p>
        </w:tc>
        <w:tc>
          <w:tcPr>
            <w:tcW w:type="dxa" w:w="1247"/>
          </w:tcPr>
          <w:p>
            <w:pPr>
              <w:spacing w:after="0" w:line="240" w:lineRule="auto"/>
              <w:jc w:val="right"/>
            </w:pPr>
            <w:r/>
            <w:r>
              <w:rPr>
                <w:sz w:val="18"/>
              </w:rPr>
              <w:t>39</w:t>
            </w:r>
          </w:p>
        </w:tc>
        <w:tc>
          <w:tcPr>
            <w:tcW w:type="dxa" w:w="1814"/>
          </w:tcPr>
          <w:p>
            <w:pPr>
              <w:spacing w:after="0" w:line="240" w:lineRule="auto"/>
              <w:jc w:val="right"/>
            </w:pPr>
            <w:r/>
            <w:r>
              <w:rPr>
                <w:sz w:val="18"/>
              </w:rPr>
              <w:t>11.98</w:t>
            </w:r>
          </w:p>
        </w:tc>
        <w:tc>
          <w:tcPr>
            <w:tcW w:type="dxa" w:w="1814"/>
          </w:tcPr>
          <w:p>
            <w:pPr>
              <w:spacing w:after="0" w:line="240" w:lineRule="auto"/>
              <w:jc w:val="right"/>
            </w:pPr>
            <w:r/>
            <w:r>
              <w:rPr>
                <w:sz w:val="18"/>
              </w:rPr>
              <w:t>23.96</w:t>
            </w:r>
          </w:p>
        </w:tc>
        <w:tc>
          <w:tcPr>
            <w:tcW w:type="dxa" w:w="1871"/>
          </w:tcPr>
          <w:p>
            <w:pPr>
              <w:spacing w:after="0" w:line="240" w:lineRule="auto"/>
              <w:jc w:val="right"/>
            </w:pPr>
            <w:r/>
            <w:r>
              <w:rPr>
                <w:sz w:val="18"/>
              </w:rPr>
              <w:t>119.79</w:t>
            </w:r>
          </w:p>
        </w:tc>
      </w:tr>
      <w:tr>
        <w:trPr>
          <w:cantSplit/>
        </w:trPr>
        <w:tc>
          <w:tcPr>
            <w:tcW w:type="dxa" w:w="1247"/>
            <w:shd w:val="clear" w:color="auto" w:fill="F2F4F7"/>
          </w:tcPr>
          <w:p>
            <w:pPr>
              <w:spacing w:after="0" w:line="240" w:lineRule="auto"/>
              <w:jc w:val="right"/>
            </w:pPr>
            <w:r/>
            <w:r>
              <w:rPr>
                <w:sz w:val="18"/>
              </w:rPr>
              <w:t>6</w:t>
            </w:r>
          </w:p>
        </w:tc>
        <w:tc>
          <w:tcPr>
            <w:tcW w:type="dxa" w:w="1247"/>
            <w:shd w:val="clear" w:color="auto" w:fill="F2F4F7"/>
          </w:tcPr>
          <w:p>
            <w:pPr>
              <w:spacing w:after="0" w:line="240" w:lineRule="auto"/>
              <w:jc w:val="right"/>
            </w:pPr>
            <w:r/>
            <w:r>
              <w:rPr>
                <w:sz w:val="18"/>
              </w:rPr>
              <w:t>39</w:t>
            </w:r>
          </w:p>
        </w:tc>
        <w:tc>
          <w:tcPr>
            <w:tcW w:type="dxa" w:w="1247"/>
            <w:shd w:val="clear" w:color="auto" w:fill="F2F4F7"/>
          </w:tcPr>
          <w:p>
            <w:pPr>
              <w:spacing w:after="0" w:line="240" w:lineRule="auto"/>
              <w:jc w:val="right"/>
            </w:pPr>
            <w:r/>
            <w:r>
              <w:rPr>
                <w:sz w:val="18"/>
              </w:rPr>
              <w:t>42</w:t>
            </w:r>
          </w:p>
        </w:tc>
        <w:tc>
          <w:tcPr>
            <w:tcW w:type="dxa" w:w="1814"/>
            <w:shd w:val="clear" w:color="auto" w:fill="F2F4F7"/>
          </w:tcPr>
          <w:p>
            <w:pPr>
              <w:spacing w:after="0" w:line="240" w:lineRule="auto"/>
              <w:jc w:val="right"/>
            </w:pPr>
            <w:r/>
            <w:r>
              <w:rPr>
                <w:sz w:val="18"/>
              </w:rPr>
              <w:t>11.98</w:t>
            </w:r>
          </w:p>
        </w:tc>
        <w:tc>
          <w:tcPr>
            <w:tcW w:type="dxa" w:w="1814"/>
            <w:shd w:val="clear" w:color="auto" w:fill="F2F4F7"/>
          </w:tcPr>
          <w:p>
            <w:pPr>
              <w:spacing w:after="0" w:line="240" w:lineRule="auto"/>
              <w:jc w:val="right"/>
            </w:pPr>
            <w:r/>
            <w:r>
              <w:rPr>
                <w:sz w:val="18"/>
              </w:rPr>
              <w:t>23.96</w:t>
            </w:r>
          </w:p>
        </w:tc>
        <w:tc>
          <w:tcPr>
            <w:tcW w:type="dxa" w:w="1871"/>
            <w:shd w:val="clear" w:color="auto" w:fill="F2F4F7"/>
          </w:tcPr>
          <w:p>
            <w:pPr>
              <w:spacing w:after="0" w:line="240" w:lineRule="auto"/>
              <w:jc w:val="right"/>
            </w:pPr>
            <w:r/>
            <w:r>
              <w:rPr>
                <w:sz w:val="18"/>
              </w:rPr>
              <w:t>143.75</w:t>
            </w:r>
          </w:p>
        </w:tc>
      </w:tr>
      <w:tr>
        <w:trPr>
          <w:cantSplit/>
        </w:trPr>
        <w:tc>
          <w:tcPr>
            <w:tcW w:type="dxa" w:w="1247"/>
          </w:tcPr>
          <w:p>
            <w:pPr>
              <w:spacing w:after="0" w:line="240" w:lineRule="auto"/>
              <w:jc w:val="right"/>
            </w:pPr>
            <w:r/>
            <w:r>
              <w:rPr>
                <w:sz w:val="18"/>
              </w:rPr>
              <w:t>7</w:t>
            </w:r>
          </w:p>
        </w:tc>
        <w:tc>
          <w:tcPr>
            <w:tcW w:type="dxa" w:w="1247"/>
          </w:tcPr>
          <w:p>
            <w:pPr>
              <w:spacing w:after="0" w:line="240" w:lineRule="auto"/>
              <w:jc w:val="right"/>
            </w:pPr>
            <w:r/>
            <w:r>
              <w:rPr>
                <w:sz w:val="18"/>
              </w:rPr>
              <w:t>42</w:t>
            </w:r>
          </w:p>
        </w:tc>
        <w:tc>
          <w:tcPr>
            <w:tcW w:type="dxa" w:w="1247"/>
          </w:tcPr>
          <w:p>
            <w:pPr>
              <w:spacing w:after="0" w:line="240" w:lineRule="auto"/>
              <w:jc w:val="right"/>
            </w:pPr>
            <w:r/>
            <w:r>
              <w:rPr>
                <w:sz w:val="18"/>
              </w:rPr>
              <w:t>45</w:t>
            </w:r>
          </w:p>
        </w:tc>
        <w:tc>
          <w:tcPr>
            <w:tcW w:type="dxa" w:w="1814"/>
          </w:tcPr>
          <w:p>
            <w:pPr>
              <w:spacing w:after="0" w:line="240" w:lineRule="auto"/>
              <w:jc w:val="right"/>
            </w:pPr>
            <w:r/>
            <w:r>
              <w:rPr>
                <w:sz w:val="18"/>
              </w:rPr>
              <w:t>11.98</w:t>
            </w:r>
          </w:p>
        </w:tc>
        <w:tc>
          <w:tcPr>
            <w:tcW w:type="dxa" w:w="1814"/>
          </w:tcPr>
          <w:p>
            <w:pPr>
              <w:spacing w:after="0" w:line="240" w:lineRule="auto"/>
              <w:jc w:val="right"/>
            </w:pPr>
            <w:r/>
            <w:r>
              <w:rPr>
                <w:sz w:val="18"/>
              </w:rPr>
              <w:t>23.96</w:t>
            </w:r>
          </w:p>
        </w:tc>
        <w:tc>
          <w:tcPr>
            <w:tcW w:type="dxa" w:w="1871"/>
          </w:tcPr>
          <w:p>
            <w:pPr>
              <w:spacing w:after="0" w:line="240" w:lineRule="auto"/>
              <w:jc w:val="right"/>
            </w:pPr>
            <w:r/>
            <w:r>
              <w:rPr>
                <w:sz w:val="18"/>
              </w:rPr>
              <w:t>167.71</w:t>
            </w:r>
          </w:p>
        </w:tc>
      </w:tr>
      <w:tr>
        <w:trPr>
          <w:cantSplit/>
        </w:trPr>
        <w:tc>
          <w:tcPr>
            <w:tcW w:type="dxa" w:w="1247"/>
            <w:shd w:val="clear" w:color="auto" w:fill="F2F4F7"/>
          </w:tcPr>
          <w:p>
            <w:pPr>
              <w:spacing w:after="0" w:line="240" w:lineRule="auto"/>
              <w:jc w:val="right"/>
            </w:pPr>
            <w:r/>
            <w:r>
              <w:rPr>
                <w:sz w:val="18"/>
              </w:rPr>
              <w:t>8</w:t>
            </w:r>
          </w:p>
        </w:tc>
        <w:tc>
          <w:tcPr>
            <w:tcW w:type="dxa" w:w="1247"/>
            <w:shd w:val="clear" w:color="auto" w:fill="F2F4F7"/>
          </w:tcPr>
          <w:p>
            <w:pPr>
              <w:spacing w:after="0" w:line="240" w:lineRule="auto"/>
              <w:jc w:val="right"/>
            </w:pPr>
            <w:r/>
            <w:r>
              <w:rPr>
                <w:sz w:val="18"/>
              </w:rPr>
              <w:t>45</w:t>
            </w:r>
          </w:p>
        </w:tc>
        <w:tc>
          <w:tcPr>
            <w:tcW w:type="dxa" w:w="1247"/>
            <w:shd w:val="clear" w:color="auto" w:fill="F2F4F7"/>
          </w:tcPr>
          <w:p>
            <w:pPr>
              <w:spacing w:after="0" w:line="240" w:lineRule="auto"/>
              <w:jc w:val="right"/>
            </w:pPr>
            <w:r/>
            <w:r>
              <w:rPr>
                <w:sz w:val="18"/>
              </w:rPr>
              <w:t>48</w:t>
            </w:r>
          </w:p>
        </w:tc>
        <w:tc>
          <w:tcPr>
            <w:tcW w:type="dxa" w:w="1814"/>
            <w:shd w:val="clear" w:color="auto" w:fill="F2F4F7"/>
          </w:tcPr>
          <w:p>
            <w:pPr>
              <w:spacing w:after="0" w:line="240" w:lineRule="auto"/>
              <w:jc w:val="right"/>
            </w:pPr>
            <w:r/>
            <w:r>
              <w:rPr>
                <w:sz w:val="18"/>
              </w:rPr>
              <w:t>11.98</w:t>
            </w:r>
          </w:p>
        </w:tc>
        <w:tc>
          <w:tcPr>
            <w:tcW w:type="dxa" w:w="1814"/>
            <w:shd w:val="clear" w:color="auto" w:fill="F2F4F7"/>
          </w:tcPr>
          <w:p>
            <w:pPr>
              <w:spacing w:after="0" w:line="240" w:lineRule="auto"/>
              <w:jc w:val="right"/>
            </w:pPr>
            <w:r/>
            <w:r>
              <w:rPr>
                <w:sz w:val="18"/>
              </w:rPr>
              <w:t>23.96</w:t>
            </w:r>
          </w:p>
        </w:tc>
        <w:tc>
          <w:tcPr>
            <w:tcW w:type="dxa" w:w="1871"/>
            <w:shd w:val="clear" w:color="auto" w:fill="F2F4F7"/>
          </w:tcPr>
          <w:p>
            <w:pPr>
              <w:spacing w:after="0" w:line="240" w:lineRule="auto"/>
              <w:jc w:val="right"/>
            </w:pPr>
            <w:r/>
            <w:r>
              <w:rPr>
                <w:sz w:val="18"/>
              </w:rPr>
              <w:t>191.67</w:t>
            </w:r>
          </w:p>
        </w:tc>
      </w:tr>
      <w:tr>
        <w:trPr>
          <w:cantSplit/>
        </w:trPr>
        <w:tc>
          <w:tcPr>
            <w:tcW w:type="dxa" w:w="1247"/>
          </w:tcPr>
          <w:p>
            <w:pPr>
              <w:spacing w:after="0" w:line="240" w:lineRule="auto"/>
              <w:jc w:val="right"/>
            </w:pPr>
            <w:r/>
            <w:r>
              <w:rPr>
                <w:sz w:val="18"/>
              </w:rPr>
              <w:t>9</w:t>
            </w:r>
          </w:p>
        </w:tc>
        <w:tc>
          <w:tcPr>
            <w:tcW w:type="dxa" w:w="1247"/>
          </w:tcPr>
          <w:p>
            <w:pPr>
              <w:spacing w:after="0" w:line="240" w:lineRule="auto"/>
              <w:jc w:val="right"/>
            </w:pPr>
            <w:r/>
            <w:r>
              <w:rPr>
                <w:sz w:val="18"/>
              </w:rPr>
              <w:t>48</w:t>
            </w:r>
          </w:p>
        </w:tc>
        <w:tc>
          <w:tcPr>
            <w:tcW w:type="dxa" w:w="1247"/>
          </w:tcPr>
          <w:p>
            <w:pPr>
              <w:spacing w:after="0" w:line="240" w:lineRule="auto"/>
              <w:jc w:val="right"/>
            </w:pPr>
            <w:r/>
            <w:r>
              <w:rPr>
                <w:sz w:val="18"/>
              </w:rPr>
              <w:t>51</w:t>
            </w:r>
          </w:p>
        </w:tc>
        <w:tc>
          <w:tcPr>
            <w:tcW w:type="dxa" w:w="1814"/>
          </w:tcPr>
          <w:p>
            <w:pPr>
              <w:spacing w:after="0" w:line="240" w:lineRule="auto"/>
              <w:jc w:val="right"/>
            </w:pPr>
            <w:r/>
            <w:r>
              <w:rPr>
                <w:sz w:val="18"/>
              </w:rPr>
              <w:t>11.98</w:t>
            </w:r>
          </w:p>
        </w:tc>
        <w:tc>
          <w:tcPr>
            <w:tcW w:type="dxa" w:w="1814"/>
          </w:tcPr>
          <w:p>
            <w:pPr>
              <w:spacing w:after="0" w:line="240" w:lineRule="auto"/>
              <w:jc w:val="right"/>
            </w:pPr>
            <w:r/>
            <w:r>
              <w:rPr>
                <w:sz w:val="18"/>
              </w:rPr>
              <w:t>23.96</w:t>
            </w:r>
          </w:p>
        </w:tc>
        <w:tc>
          <w:tcPr>
            <w:tcW w:type="dxa" w:w="1871"/>
          </w:tcPr>
          <w:p>
            <w:pPr>
              <w:spacing w:after="0" w:line="240" w:lineRule="auto"/>
              <w:jc w:val="right"/>
            </w:pPr>
            <w:r/>
            <w:r>
              <w:rPr>
                <w:sz w:val="18"/>
              </w:rPr>
              <w:t>215.62</w:t>
            </w:r>
          </w:p>
        </w:tc>
      </w:tr>
      <w:tr>
        <w:trPr>
          <w:cantSplit/>
        </w:trPr>
        <w:tc>
          <w:tcPr>
            <w:tcW w:type="dxa" w:w="1247"/>
            <w:shd w:val="clear" w:color="auto" w:fill="F2F4F7"/>
          </w:tcPr>
          <w:p>
            <w:pPr>
              <w:spacing w:after="0" w:line="240" w:lineRule="auto"/>
              <w:jc w:val="right"/>
            </w:pPr>
            <w:r/>
            <w:r>
              <w:rPr>
                <w:sz w:val="18"/>
              </w:rPr>
              <w:t>10</w:t>
            </w:r>
          </w:p>
        </w:tc>
        <w:tc>
          <w:tcPr>
            <w:tcW w:type="dxa" w:w="1247"/>
            <w:shd w:val="clear" w:color="auto" w:fill="F2F4F7"/>
          </w:tcPr>
          <w:p>
            <w:pPr>
              <w:spacing w:after="0" w:line="240" w:lineRule="auto"/>
              <w:jc w:val="right"/>
            </w:pPr>
            <w:r/>
            <w:r>
              <w:rPr>
                <w:sz w:val="18"/>
              </w:rPr>
              <w:t>51</w:t>
            </w:r>
          </w:p>
        </w:tc>
        <w:tc>
          <w:tcPr>
            <w:tcW w:type="dxa" w:w="1247"/>
            <w:shd w:val="clear" w:color="auto" w:fill="F2F4F7"/>
          </w:tcPr>
          <w:p>
            <w:pPr>
              <w:spacing w:after="0" w:line="240" w:lineRule="auto"/>
              <w:jc w:val="right"/>
            </w:pPr>
            <w:r/>
            <w:r>
              <w:rPr>
                <w:sz w:val="18"/>
              </w:rPr>
              <w:t>54</w:t>
            </w:r>
          </w:p>
        </w:tc>
        <w:tc>
          <w:tcPr>
            <w:tcW w:type="dxa" w:w="1814"/>
            <w:shd w:val="clear" w:color="auto" w:fill="F2F4F7"/>
          </w:tcPr>
          <w:p>
            <w:pPr>
              <w:spacing w:after="0" w:line="240" w:lineRule="auto"/>
              <w:jc w:val="right"/>
            </w:pPr>
            <w:r/>
            <w:r>
              <w:rPr>
                <w:sz w:val="18"/>
              </w:rPr>
              <w:t>11.98</w:t>
            </w:r>
          </w:p>
        </w:tc>
        <w:tc>
          <w:tcPr>
            <w:tcW w:type="dxa" w:w="1814"/>
            <w:shd w:val="clear" w:color="auto" w:fill="F2F4F7"/>
          </w:tcPr>
          <w:p>
            <w:pPr>
              <w:spacing w:after="0" w:line="240" w:lineRule="auto"/>
              <w:jc w:val="right"/>
            </w:pPr>
            <w:r/>
            <w:r>
              <w:rPr>
                <w:sz w:val="18"/>
              </w:rPr>
              <w:t>23.96</w:t>
            </w:r>
          </w:p>
        </w:tc>
        <w:tc>
          <w:tcPr>
            <w:tcW w:type="dxa" w:w="1871"/>
            <w:shd w:val="clear" w:color="auto" w:fill="F2F4F7"/>
          </w:tcPr>
          <w:p>
            <w:pPr>
              <w:spacing w:after="0" w:line="240" w:lineRule="auto"/>
              <w:jc w:val="right"/>
            </w:pPr>
            <w:r/>
            <w:r>
              <w:rPr>
                <w:sz w:val="18"/>
              </w:rPr>
              <w:t>239.58</w:t>
            </w:r>
          </w:p>
        </w:tc>
      </w:tr>
      <w:tr>
        <w:trPr>
          <w:cantSplit/>
        </w:trPr>
        <w:tc>
          <w:tcPr>
            <w:tcW w:type="dxa" w:w="1247"/>
          </w:tcPr>
          <w:p>
            <w:pPr>
              <w:spacing w:after="0" w:line="240" w:lineRule="auto"/>
              <w:jc w:val="right"/>
            </w:pPr>
            <w:r/>
            <w:r>
              <w:rPr>
                <w:sz w:val="18"/>
              </w:rPr>
              <w:t>11</w:t>
            </w:r>
          </w:p>
        </w:tc>
        <w:tc>
          <w:tcPr>
            <w:tcW w:type="dxa" w:w="1247"/>
          </w:tcPr>
          <w:p>
            <w:pPr>
              <w:spacing w:after="0" w:line="240" w:lineRule="auto"/>
              <w:jc w:val="right"/>
            </w:pPr>
            <w:r/>
            <w:r>
              <w:rPr>
                <w:sz w:val="18"/>
              </w:rPr>
              <w:t>54</w:t>
            </w:r>
          </w:p>
        </w:tc>
        <w:tc>
          <w:tcPr>
            <w:tcW w:type="dxa" w:w="1247"/>
          </w:tcPr>
          <w:p>
            <w:pPr>
              <w:spacing w:after="0" w:line="240" w:lineRule="auto"/>
              <w:jc w:val="right"/>
            </w:pPr>
            <w:r/>
            <w:r>
              <w:rPr>
                <w:sz w:val="18"/>
              </w:rPr>
              <w:t>57</w:t>
            </w:r>
          </w:p>
        </w:tc>
        <w:tc>
          <w:tcPr>
            <w:tcW w:type="dxa" w:w="1814"/>
          </w:tcPr>
          <w:p>
            <w:pPr>
              <w:spacing w:after="0" w:line="240" w:lineRule="auto"/>
              <w:jc w:val="right"/>
            </w:pPr>
            <w:r/>
            <w:r>
              <w:rPr>
                <w:sz w:val="18"/>
              </w:rPr>
              <w:t>11.98</w:t>
            </w:r>
          </w:p>
        </w:tc>
        <w:tc>
          <w:tcPr>
            <w:tcW w:type="dxa" w:w="1814"/>
          </w:tcPr>
          <w:p>
            <w:pPr>
              <w:spacing w:after="0" w:line="240" w:lineRule="auto"/>
              <w:jc w:val="right"/>
            </w:pPr>
            <w:r/>
            <w:r>
              <w:rPr>
                <w:sz w:val="18"/>
              </w:rPr>
              <w:t>23.96</w:t>
            </w:r>
          </w:p>
        </w:tc>
        <w:tc>
          <w:tcPr>
            <w:tcW w:type="dxa" w:w="1871"/>
          </w:tcPr>
          <w:p>
            <w:pPr>
              <w:spacing w:after="0" w:line="240" w:lineRule="auto"/>
              <w:jc w:val="right"/>
            </w:pPr>
            <w:r/>
            <w:r>
              <w:rPr>
                <w:sz w:val="18"/>
              </w:rPr>
              <w:t>263.54</w:t>
            </w:r>
          </w:p>
        </w:tc>
      </w:tr>
      <w:tr>
        <w:trPr>
          <w:cantSplit/>
        </w:trPr>
        <w:tc>
          <w:tcPr>
            <w:tcW w:type="dxa" w:w="1247"/>
            <w:shd w:val="clear" w:color="auto" w:fill="F2F4F7"/>
          </w:tcPr>
          <w:p>
            <w:pPr>
              <w:spacing w:after="0" w:line="240" w:lineRule="auto"/>
              <w:jc w:val="right"/>
            </w:pPr>
            <w:r/>
            <w:r>
              <w:rPr>
                <w:sz w:val="18"/>
              </w:rPr>
              <w:t>12</w:t>
            </w:r>
          </w:p>
        </w:tc>
        <w:tc>
          <w:tcPr>
            <w:tcW w:type="dxa" w:w="1247"/>
            <w:shd w:val="clear" w:color="auto" w:fill="F2F4F7"/>
          </w:tcPr>
          <w:p>
            <w:pPr>
              <w:spacing w:after="0" w:line="240" w:lineRule="auto"/>
              <w:jc w:val="right"/>
            </w:pPr>
            <w:r/>
            <w:r>
              <w:rPr>
                <w:sz w:val="18"/>
              </w:rPr>
              <w:t>57</w:t>
            </w:r>
          </w:p>
        </w:tc>
        <w:tc>
          <w:tcPr>
            <w:tcW w:type="dxa" w:w="1247"/>
            <w:shd w:val="clear" w:color="auto" w:fill="F2F4F7"/>
          </w:tcPr>
          <w:p>
            <w:pPr>
              <w:spacing w:after="0" w:line="240" w:lineRule="auto"/>
              <w:jc w:val="right"/>
            </w:pPr>
            <w:r/>
            <w:r>
              <w:rPr>
                <w:sz w:val="18"/>
              </w:rPr>
              <w:t>60</w:t>
            </w:r>
          </w:p>
        </w:tc>
        <w:tc>
          <w:tcPr>
            <w:tcW w:type="dxa" w:w="1814"/>
            <w:shd w:val="clear" w:color="auto" w:fill="F2F4F7"/>
          </w:tcPr>
          <w:p>
            <w:pPr>
              <w:spacing w:after="0" w:line="240" w:lineRule="auto"/>
              <w:jc w:val="right"/>
            </w:pPr>
            <w:r/>
            <w:r>
              <w:rPr>
                <w:sz w:val="18"/>
              </w:rPr>
              <w:t>11.98</w:t>
            </w:r>
          </w:p>
        </w:tc>
        <w:tc>
          <w:tcPr>
            <w:tcW w:type="dxa" w:w="1814"/>
            <w:shd w:val="clear" w:color="auto" w:fill="F2F4F7"/>
          </w:tcPr>
          <w:p>
            <w:pPr>
              <w:spacing w:after="0" w:line="240" w:lineRule="auto"/>
              <w:jc w:val="right"/>
            </w:pPr>
            <w:r/>
            <w:r>
              <w:rPr>
                <w:sz w:val="18"/>
              </w:rPr>
              <w:t>23.96</w:t>
            </w:r>
          </w:p>
        </w:tc>
        <w:tc>
          <w:tcPr>
            <w:tcW w:type="dxa" w:w="1871"/>
            <w:shd w:val="clear" w:color="auto" w:fill="F2F4F7"/>
          </w:tcPr>
          <w:p>
            <w:pPr>
              <w:spacing w:after="0" w:line="240" w:lineRule="auto"/>
              <w:jc w:val="right"/>
            </w:pPr>
            <w:r/>
            <w:r>
              <w:rPr>
                <w:sz w:val="18"/>
              </w:rPr>
              <w:t>287.50</w:t>
            </w:r>
          </w:p>
        </w:tc>
      </w:tr>
    </w:tbl>
    <w:p>
      <w:pPr>
        <w:spacing w:after="80"/>
      </w:pPr>
    </w:p>
    <w:p>
      <w:r>
        <w:rPr>
          <w:b w:val="0"/>
          <w:i w:val="0"/>
        </w:rPr>
        <w:t>Alternatives considered and not recommended are in section 13.4.</w:t>
      </w:r>
    </w:p>
    <w:p>
      <w:pPr>
        <w:pStyle w:val="Heading1"/>
        <w:pageBreakBefore/>
      </w:pPr>
      <w:r>
        <w:t>13. Returns analysis and sensitivities</w:t>
      </w:r>
    </w:p>
    <w:p>
      <w:r>
        <w:rPr>
          <w:b w:val="0"/>
          <w:i/>
        </w:rPr>
        <w:t>All returns are projections, labelled by case. IRRs are annual, compounded from quarterly flows, on the combined EGP 125 million; the investor funds in month {G["t0"]} in Green Square and month {L["t0"]} in L'avenir, on each project's own timeline.</w:t>
      </w:r>
    </w:p>
    <w:p>
      <w:pPr>
        <w:pStyle w:val="Heading2"/>
      </w:pPr>
      <w:r>
        <w:t>13.1 Option A</w:t>
      </w:r>
    </w:p>
    <w:p>
      <w:pPr>
        <w:keepNext/>
        <w:spacing w:after="60"/>
      </w:pPr>
      <w:r>
        <w:rPr>
          <w:b/>
          <w:color w:val="17324D"/>
          <w:sz w:val="19"/>
        </w:rPr>
        <w:t>Table 26: Option A investor returns, combined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1928"/>
            <w:shd w:val="clear" w:color="auto" w:fill="17324D"/>
          </w:tcPr>
          <w:p>
            <w:pPr>
              <w:spacing w:after="0" w:line="240" w:lineRule="auto"/>
            </w:pPr>
            <w:r/>
            <w:r>
              <w:rPr>
                <w:b/>
                <w:color w:val="FFFFFF"/>
                <w:sz w:val="19"/>
              </w:rPr>
              <w:t>Case</w:t>
            </w:r>
          </w:p>
        </w:tc>
        <w:tc>
          <w:tcPr>
            <w:tcW w:type="dxa" w:w="3912"/>
            <w:shd w:val="clear" w:color="auto" w:fill="17324D"/>
          </w:tcPr>
          <w:p>
            <w:pPr>
              <w:spacing w:after="0" w:line="240" w:lineRule="auto"/>
            </w:pPr>
            <w:r/>
            <w:r>
              <w:rPr>
                <w:b/>
                <w:color w:val="FFFFFF"/>
                <w:sz w:val="19"/>
              </w:rPr>
              <w:t>Assumption</w:t>
            </w:r>
          </w:p>
        </w:tc>
        <w:tc>
          <w:tcPr>
            <w:tcW w:type="dxa" w:w="1701"/>
            <w:shd w:val="clear" w:color="auto" w:fill="17324D"/>
          </w:tcPr>
          <w:p>
            <w:pPr>
              <w:spacing w:after="0" w:line="240" w:lineRule="auto"/>
              <w:jc w:val="right"/>
            </w:pPr>
            <w:r/>
            <w:r>
              <w:rPr>
                <w:b/>
                <w:color w:val="FFFFFF"/>
                <w:sz w:val="19"/>
              </w:rPr>
              <w:t>Investor IRR</w:t>
            </w:r>
          </w:p>
        </w:tc>
        <w:tc>
          <w:tcPr>
            <w:tcW w:type="dxa" w:w="1701"/>
            <w:shd w:val="clear" w:color="auto" w:fill="17324D"/>
          </w:tcPr>
          <w:p>
            <w:pPr>
              <w:spacing w:after="0" w:line="240" w:lineRule="auto"/>
              <w:jc w:val="right"/>
            </w:pPr>
            <w:r/>
            <w:r>
              <w:rPr>
                <w:b/>
                <w:color w:val="FFFFFF"/>
                <w:sz w:val="19"/>
              </w:rPr>
              <w:t>Investor MOIC</w:t>
            </w:r>
          </w:p>
        </w:tc>
      </w:tr>
      <w:tr>
        <w:trPr>
          <w:cantSplit/>
        </w:trPr>
        <w:tc>
          <w:tcPr>
            <w:tcW w:type="dxa" w:w="1928"/>
          </w:tcPr>
          <w:p>
            <w:pPr>
              <w:spacing w:after="0" w:line="240" w:lineRule="auto"/>
            </w:pPr>
            <w:r/>
            <w:r>
              <w:rPr>
                <w:sz w:val="19"/>
              </w:rPr>
              <w:t>Base</w:t>
            </w:r>
          </w:p>
        </w:tc>
        <w:tc>
          <w:tcPr>
            <w:tcW w:type="dxa" w:w="3912"/>
          </w:tcPr>
          <w:p>
            <w:pPr>
              <w:spacing w:after="0" w:line="240" w:lineRule="auto"/>
            </w:pPr>
            <w:r/>
            <w:r>
              <w:rPr>
                <w:sz w:val="19"/>
              </w:rPr>
              <w:t>Resale at delivery list price; 3% cost</w:t>
            </w:r>
          </w:p>
        </w:tc>
        <w:tc>
          <w:tcPr>
            <w:tcW w:type="dxa" w:w="1701"/>
          </w:tcPr>
          <w:p>
            <w:pPr>
              <w:spacing w:after="0" w:line="240" w:lineRule="auto"/>
              <w:jc w:val="right"/>
            </w:pPr>
            <w:r/>
            <w:r>
              <w:rPr>
                <w:sz w:val="19"/>
              </w:rPr>
              <w:t>27.7%</w:t>
            </w:r>
          </w:p>
        </w:tc>
        <w:tc>
          <w:tcPr>
            <w:tcW w:type="dxa" w:w="1701"/>
          </w:tcPr>
          <w:p>
            <w:pPr>
              <w:spacing w:after="0" w:line="240" w:lineRule="auto"/>
              <w:jc w:val="right"/>
            </w:pPr>
            <w:r/>
            <w:r>
              <w:rPr>
                <w:sz w:val="19"/>
              </w:rPr>
              <w:t>2.83x</w:t>
            </w:r>
          </w:p>
        </w:tc>
      </w:tr>
      <w:tr>
        <w:trPr>
          <w:cantSplit/>
        </w:trPr>
        <w:tc>
          <w:tcPr>
            <w:tcW w:type="dxa" w:w="1928"/>
            <w:shd w:val="clear" w:color="auto" w:fill="F2F4F7"/>
          </w:tcPr>
          <w:p>
            <w:pPr>
              <w:spacing w:after="0" w:line="240" w:lineRule="auto"/>
            </w:pPr>
            <w:r/>
            <w:r>
              <w:rPr>
                <w:sz w:val="19"/>
              </w:rPr>
              <w:t>Downside</w:t>
            </w:r>
          </w:p>
        </w:tc>
        <w:tc>
          <w:tcPr>
            <w:tcW w:type="dxa" w:w="3912"/>
            <w:shd w:val="clear" w:color="auto" w:fill="F2F4F7"/>
          </w:tcPr>
          <w:p>
            <w:pPr>
              <w:spacing w:after="0" w:line="240" w:lineRule="auto"/>
            </w:pPr>
            <w:r/>
            <w:r>
              <w:rPr>
                <w:sz w:val="19"/>
              </w:rPr>
              <w:t>Resale 12 months later and 10% lower</w:t>
            </w:r>
          </w:p>
        </w:tc>
        <w:tc>
          <w:tcPr>
            <w:tcW w:type="dxa" w:w="1701"/>
            <w:shd w:val="clear" w:color="auto" w:fill="F2F4F7"/>
          </w:tcPr>
          <w:p>
            <w:pPr>
              <w:spacing w:after="0" w:line="240" w:lineRule="auto"/>
              <w:jc w:val="right"/>
            </w:pPr>
            <w:r/>
            <w:r>
              <w:rPr>
                <w:sz w:val="19"/>
              </w:rPr>
              <w:t>19.5%</w:t>
            </w:r>
          </w:p>
        </w:tc>
        <w:tc>
          <w:tcPr>
            <w:tcW w:type="dxa" w:w="1701"/>
            <w:shd w:val="clear" w:color="auto" w:fill="F2F4F7"/>
          </w:tcPr>
          <w:p>
            <w:pPr>
              <w:spacing w:after="0" w:line="240" w:lineRule="auto"/>
              <w:jc w:val="right"/>
            </w:pPr>
            <w:r/>
            <w:r>
              <w:rPr>
                <w:sz w:val="19"/>
              </w:rPr>
              <w:t>2.54x</w:t>
            </w:r>
          </w:p>
        </w:tc>
      </w:tr>
      <w:tr>
        <w:trPr>
          <w:cantSplit/>
        </w:trPr>
        <w:tc>
          <w:tcPr>
            <w:tcW w:type="dxa" w:w="1928"/>
          </w:tcPr>
          <w:p>
            <w:pPr>
              <w:spacing w:after="0" w:line="240" w:lineRule="auto"/>
            </w:pPr>
            <w:r/>
            <w:r>
              <w:rPr>
                <w:sz w:val="19"/>
              </w:rPr>
              <w:t>Upside</w:t>
            </w:r>
          </w:p>
        </w:tc>
        <w:tc>
          <w:tcPr>
            <w:tcW w:type="dxa" w:w="3912"/>
          </w:tcPr>
          <w:p>
            <w:pPr>
              <w:spacing w:after="0" w:line="240" w:lineRule="auto"/>
            </w:pPr>
            <w:r/>
            <w:r>
              <w:rPr>
                <w:sz w:val="19"/>
              </w:rPr>
              <w:t>Resale 10% higher</w:t>
            </w:r>
          </w:p>
        </w:tc>
        <w:tc>
          <w:tcPr>
            <w:tcW w:type="dxa" w:w="1701"/>
          </w:tcPr>
          <w:p>
            <w:pPr>
              <w:spacing w:after="0" w:line="240" w:lineRule="auto"/>
              <w:jc w:val="right"/>
            </w:pPr>
            <w:r/>
            <w:r>
              <w:rPr>
                <w:sz w:val="19"/>
              </w:rPr>
              <w:t>30.6%</w:t>
            </w:r>
          </w:p>
        </w:tc>
        <w:tc>
          <w:tcPr>
            <w:tcW w:type="dxa" w:w="1701"/>
          </w:tcPr>
          <w:p>
            <w:pPr>
              <w:spacing w:after="0" w:line="240" w:lineRule="auto"/>
              <w:jc w:val="right"/>
            </w:pPr>
            <w:r/>
            <w:r>
              <w:rPr>
                <w:sz w:val="19"/>
              </w:rPr>
              <w:t>3.11x</w:t>
            </w:r>
          </w:p>
        </w:tc>
      </w:tr>
      <w:tr>
        <w:trPr>
          <w:cantSplit/>
        </w:trPr>
        <w:tc>
          <w:tcPr>
            <w:tcW w:type="dxa" w:w="1928"/>
            <w:shd w:val="clear" w:color="auto" w:fill="F2F4F7"/>
          </w:tcPr>
          <w:p>
            <w:pPr>
              <w:spacing w:after="0" w:line="240" w:lineRule="auto"/>
            </w:pPr>
            <w:r/>
            <w:r>
              <w:rPr>
                <w:sz w:val="19"/>
              </w:rPr>
              <w:t>Appreciation 40%</w:t>
            </w:r>
          </w:p>
        </w:tc>
        <w:tc>
          <w:tcPr>
            <w:tcW w:type="dxa" w:w="3912"/>
            <w:shd w:val="clear" w:color="auto" w:fill="F2F4F7"/>
          </w:tcPr>
          <w:p>
            <w:pPr>
              <w:spacing w:after="0" w:line="240" w:lineRule="auto"/>
            </w:pPr>
            <w:r/>
            <w:r>
              <w:rPr>
                <w:sz w:val="19"/>
              </w:rPr>
              <w:t>Launch to resale +40%</w:t>
            </w:r>
          </w:p>
        </w:tc>
        <w:tc>
          <w:tcPr>
            <w:tcW w:type="dxa" w:w="1701"/>
            <w:shd w:val="clear" w:color="auto" w:fill="F2F4F7"/>
          </w:tcPr>
          <w:p>
            <w:pPr>
              <w:spacing w:after="0" w:line="240" w:lineRule="auto"/>
              <w:jc w:val="right"/>
            </w:pPr>
            <w:r/>
            <w:r>
              <w:rPr>
                <w:sz w:val="19"/>
              </w:rPr>
              <w:t>26.5%</w:t>
            </w:r>
          </w:p>
        </w:tc>
        <w:tc>
          <w:tcPr>
            <w:tcW w:type="dxa" w:w="1701"/>
            <w:shd w:val="clear" w:color="auto" w:fill="F2F4F7"/>
          </w:tcPr>
          <w:p>
            <w:pPr>
              <w:spacing w:after="0" w:line="240" w:lineRule="auto"/>
              <w:jc w:val="right"/>
            </w:pPr>
            <w:r/>
            <w:r>
              <w:rPr>
                <w:sz w:val="19"/>
              </w:rPr>
              <w:t>2.72x</w:t>
            </w:r>
          </w:p>
        </w:tc>
      </w:tr>
      <w:tr>
        <w:trPr>
          <w:cantSplit/>
        </w:trPr>
        <w:tc>
          <w:tcPr>
            <w:tcW w:type="dxa" w:w="1928"/>
          </w:tcPr>
          <w:p>
            <w:pPr>
              <w:spacing w:after="0" w:line="240" w:lineRule="auto"/>
            </w:pPr>
            <w:r/>
            <w:r>
              <w:rPr>
                <w:sz w:val="19"/>
              </w:rPr>
              <w:t>Appreciation 60%</w:t>
            </w:r>
          </w:p>
        </w:tc>
        <w:tc>
          <w:tcPr>
            <w:tcW w:type="dxa" w:w="3912"/>
          </w:tcPr>
          <w:p>
            <w:pPr>
              <w:spacing w:after="0" w:line="240" w:lineRule="auto"/>
            </w:pPr>
            <w:r/>
            <w:r>
              <w:rPr>
                <w:sz w:val="19"/>
              </w:rPr>
              <w:t>Launch to resale +60%</w:t>
            </w:r>
          </w:p>
        </w:tc>
        <w:tc>
          <w:tcPr>
            <w:tcW w:type="dxa" w:w="1701"/>
          </w:tcPr>
          <w:p>
            <w:pPr>
              <w:spacing w:after="0" w:line="240" w:lineRule="auto"/>
              <w:jc w:val="right"/>
            </w:pPr>
            <w:r/>
            <w:r>
              <w:rPr>
                <w:sz w:val="19"/>
              </w:rPr>
              <w:t>30.5%</w:t>
            </w:r>
          </w:p>
        </w:tc>
        <w:tc>
          <w:tcPr>
            <w:tcW w:type="dxa" w:w="1701"/>
          </w:tcPr>
          <w:p>
            <w:pPr>
              <w:spacing w:after="0" w:line="240" w:lineRule="auto"/>
              <w:jc w:val="right"/>
            </w:pPr>
            <w:r/>
            <w:r>
              <w:rPr>
                <w:sz w:val="19"/>
              </w:rPr>
              <w:t>3.10x</w:t>
            </w:r>
          </w:p>
        </w:tc>
      </w:tr>
      <w:tr>
        <w:trPr>
          <w:cantSplit/>
        </w:trPr>
        <w:tc>
          <w:tcPr>
            <w:tcW w:type="dxa" w:w="1928"/>
            <w:shd w:val="clear" w:color="auto" w:fill="F2F4F7"/>
          </w:tcPr>
          <w:p>
            <w:pPr>
              <w:spacing w:after="0" w:line="240" w:lineRule="auto"/>
            </w:pPr>
            <w:r/>
            <w:r>
              <w:rPr>
                <w:sz w:val="19"/>
              </w:rPr>
              <w:t>No appreciation</w:t>
            </w:r>
          </w:p>
        </w:tc>
        <w:tc>
          <w:tcPr>
            <w:tcW w:type="dxa" w:w="3912"/>
            <w:shd w:val="clear" w:color="auto" w:fill="F2F4F7"/>
          </w:tcPr>
          <w:p>
            <w:pPr>
              <w:spacing w:after="0" w:line="240" w:lineRule="auto"/>
            </w:pPr>
            <w:r/>
            <w:r>
              <w:rPr>
                <w:sz w:val="19"/>
              </w:rPr>
              <w:t>Resale at launch list</w:t>
            </w:r>
          </w:p>
        </w:tc>
        <w:tc>
          <w:tcPr>
            <w:tcW w:type="dxa" w:w="1701"/>
            <w:shd w:val="clear" w:color="auto" w:fill="F2F4F7"/>
          </w:tcPr>
          <w:p>
            <w:pPr>
              <w:spacing w:after="0" w:line="240" w:lineRule="auto"/>
              <w:jc w:val="right"/>
            </w:pPr>
            <w:r/>
            <w:r>
              <w:rPr>
                <w:sz w:val="19"/>
              </w:rPr>
              <w:t>16.9%</w:t>
            </w:r>
          </w:p>
        </w:tc>
        <w:tc>
          <w:tcPr>
            <w:tcW w:type="dxa" w:w="1701"/>
            <w:shd w:val="clear" w:color="auto" w:fill="F2F4F7"/>
          </w:tcPr>
          <w:p>
            <w:pPr>
              <w:spacing w:after="0" w:line="240" w:lineRule="auto"/>
              <w:jc w:val="right"/>
            </w:pPr>
            <w:r/>
            <w:r>
              <w:rPr>
                <w:sz w:val="19"/>
              </w:rPr>
              <w:t>1.94x</w:t>
            </w:r>
          </w:p>
        </w:tc>
      </w:tr>
    </w:tbl>
    <w:p>
      <w:pPr>
        <w:spacing w:after="80"/>
      </w:pPr>
    </w:p>
    <w:p>
      <w:pPr>
        <w:keepNext/>
        <w:spacing w:after="60"/>
      </w:pPr>
      <w:r>
        <w:rPr>
          <w:b/>
          <w:color w:val="17324D"/>
          <w:sz w:val="19"/>
        </w:rPr>
        <w:t>Table 27: Option A returns by project (EGP 62.5 million each)</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550"/>
        <w:gridCol w:w="1550"/>
        <w:gridCol w:w="1550"/>
        <w:gridCol w:w="1550"/>
        <w:gridCol w:w="1550"/>
        <w:gridCol w:w="1550"/>
      </w:tblGrid>
      <w:tr>
        <w:trPr>
          <w:cantSplit/>
          <w:tblHeader/>
        </w:trPr>
        <w:tc>
          <w:tcPr>
            <w:tcW w:type="dxa" w:w="1814"/>
            <w:shd w:val="clear" w:color="auto" w:fill="17324D"/>
          </w:tcPr>
          <w:p>
            <w:pPr>
              <w:spacing w:after="0" w:line="240" w:lineRule="auto"/>
            </w:pPr>
            <w:r/>
            <w:r>
              <w:rPr>
                <w:b/>
                <w:color w:val="FFFFFF"/>
                <w:sz w:val="18"/>
              </w:rPr>
              <w:t>Project</w:t>
            </w:r>
          </w:p>
        </w:tc>
        <w:tc>
          <w:tcPr>
            <w:tcW w:type="dxa" w:w="1247"/>
            <w:shd w:val="clear" w:color="auto" w:fill="17324D"/>
          </w:tcPr>
          <w:p>
            <w:pPr>
              <w:spacing w:after="0" w:line="240" w:lineRule="auto"/>
              <w:jc w:val="right"/>
            </w:pPr>
            <w:r/>
            <w:r>
              <w:rPr>
                <w:b/>
                <w:color w:val="FFFFFF"/>
                <w:sz w:val="18"/>
              </w:rPr>
              <w:t>Base IRR</w:t>
            </w:r>
          </w:p>
        </w:tc>
        <w:tc>
          <w:tcPr>
            <w:tcW w:type="dxa" w:w="1361"/>
            <w:shd w:val="clear" w:color="auto" w:fill="17324D"/>
          </w:tcPr>
          <w:p>
            <w:pPr>
              <w:spacing w:after="0" w:line="240" w:lineRule="auto"/>
              <w:jc w:val="right"/>
            </w:pPr>
            <w:r/>
            <w:r>
              <w:rPr>
                <w:b/>
                <w:color w:val="FFFFFF"/>
                <w:sz w:val="18"/>
              </w:rPr>
              <w:t>Base MOIC</w:t>
            </w:r>
          </w:p>
        </w:tc>
        <w:tc>
          <w:tcPr>
            <w:tcW w:type="dxa" w:w="1474"/>
            <w:shd w:val="clear" w:color="auto" w:fill="17324D"/>
          </w:tcPr>
          <w:p>
            <w:pPr>
              <w:spacing w:after="0" w:line="240" w:lineRule="auto"/>
              <w:jc w:val="right"/>
            </w:pPr>
            <w:r/>
            <w:r>
              <w:rPr>
                <w:b/>
                <w:color w:val="FFFFFF"/>
                <w:sz w:val="18"/>
              </w:rPr>
              <w:t>Downside IRR</w:t>
            </w:r>
          </w:p>
        </w:tc>
        <w:tc>
          <w:tcPr>
            <w:tcW w:type="dxa" w:w="1361"/>
            <w:shd w:val="clear" w:color="auto" w:fill="17324D"/>
          </w:tcPr>
          <w:p>
            <w:pPr>
              <w:spacing w:after="0" w:line="240" w:lineRule="auto"/>
              <w:jc w:val="right"/>
            </w:pPr>
            <w:r/>
            <w:r>
              <w:rPr>
                <w:b/>
                <w:color w:val="FFFFFF"/>
                <w:sz w:val="18"/>
              </w:rPr>
              <w:t>Upside IRR</w:t>
            </w:r>
          </w:p>
        </w:tc>
        <w:tc>
          <w:tcPr>
            <w:tcW w:type="dxa" w:w="1984"/>
            <w:shd w:val="clear" w:color="auto" w:fill="17324D"/>
          </w:tcPr>
          <w:p>
            <w:pPr>
              <w:spacing w:after="0" w:line="240" w:lineRule="auto"/>
              <w:jc w:val="right"/>
            </w:pPr>
            <w:r/>
            <w:r>
              <w:rPr>
                <w:b/>
                <w:color w:val="FFFFFF"/>
                <w:sz w:val="18"/>
              </w:rPr>
              <w:t>Break-even price (share of delivery list)</w:t>
            </w:r>
          </w:p>
        </w:tc>
      </w:tr>
      <w:tr>
        <w:trPr>
          <w:cantSplit/>
        </w:trPr>
        <w:tc>
          <w:tcPr>
            <w:tcW w:type="dxa" w:w="1814"/>
          </w:tcPr>
          <w:p>
            <w:pPr>
              <w:spacing w:after="0" w:line="240" w:lineRule="auto"/>
            </w:pPr>
            <w:r/>
            <w:r>
              <w:rPr>
                <w:sz w:val="18"/>
              </w:rPr>
              <w:t>Green Square</w:t>
            </w:r>
          </w:p>
        </w:tc>
        <w:tc>
          <w:tcPr>
            <w:tcW w:type="dxa" w:w="1247"/>
          </w:tcPr>
          <w:p>
            <w:pPr>
              <w:spacing w:after="0" w:line="240" w:lineRule="auto"/>
              <w:jc w:val="right"/>
            </w:pPr>
            <w:r/>
            <w:r>
              <w:rPr>
                <w:sz w:val="18"/>
              </w:rPr>
              <w:t>26.4%</w:t>
            </w:r>
          </w:p>
        </w:tc>
        <w:tc>
          <w:tcPr>
            <w:tcW w:type="dxa" w:w="1361"/>
          </w:tcPr>
          <w:p>
            <w:pPr>
              <w:spacing w:after="0" w:line="240" w:lineRule="auto"/>
              <w:jc w:val="right"/>
            </w:pPr>
            <w:r/>
            <w:r>
              <w:rPr>
                <w:sz w:val="18"/>
              </w:rPr>
              <w:t>2.78x</w:t>
            </w:r>
          </w:p>
        </w:tc>
        <w:tc>
          <w:tcPr>
            <w:tcW w:type="dxa" w:w="1474"/>
          </w:tcPr>
          <w:p>
            <w:pPr>
              <w:spacing w:after="0" w:line="240" w:lineRule="auto"/>
              <w:jc w:val="right"/>
            </w:pPr>
            <w:r/>
            <w:r>
              <w:rPr>
                <w:sz w:val="18"/>
              </w:rPr>
              <w:t>18.6%</w:t>
            </w:r>
          </w:p>
        </w:tc>
        <w:tc>
          <w:tcPr>
            <w:tcW w:type="dxa" w:w="1361"/>
          </w:tcPr>
          <w:p>
            <w:pPr>
              <w:spacing w:after="0" w:line="240" w:lineRule="auto"/>
              <w:jc w:val="right"/>
            </w:pPr>
            <w:r/>
            <w:r>
              <w:rPr>
                <w:sz w:val="18"/>
              </w:rPr>
              <w:t>29.2%</w:t>
            </w:r>
          </w:p>
        </w:tc>
        <w:tc>
          <w:tcPr>
            <w:tcW w:type="dxa" w:w="1984"/>
          </w:tcPr>
          <w:p>
            <w:pPr>
              <w:spacing w:after="0" w:line="240" w:lineRule="auto"/>
              <w:jc w:val="right"/>
            </w:pPr>
            <w:r/>
            <w:r>
              <w:rPr>
                <w:sz w:val="18"/>
              </w:rPr>
              <w:t>36%</w:t>
            </w:r>
          </w:p>
        </w:tc>
      </w:tr>
      <w:tr>
        <w:trPr>
          <w:cantSplit/>
        </w:trPr>
        <w:tc>
          <w:tcPr>
            <w:tcW w:type="dxa" w:w="1814"/>
            <w:shd w:val="clear" w:color="auto" w:fill="F2F4F7"/>
          </w:tcPr>
          <w:p>
            <w:pPr>
              <w:spacing w:after="0" w:line="240" w:lineRule="auto"/>
            </w:pPr>
            <w:r/>
            <w:r>
              <w:rPr>
                <w:sz w:val="18"/>
              </w:rPr>
              <w:t>L'avenir</w:t>
            </w:r>
          </w:p>
        </w:tc>
        <w:tc>
          <w:tcPr>
            <w:tcW w:type="dxa" w:w="1247"/>
            <w:shd w:val="clear" w:color="auto" w:fill="F2F4F7"/>
          </w:tcPr>
          <w:p>
            <w:pPr>
              <w:spacing w:after="0" w:line="240" w:lineRule="auto"/>
              <w:jc w:val="right"/>
            </w:pPr>
            <w:r/>
            <w:r>
              <w:rPr>
                <w:sz w:val="18"/>
              </w:rPr>
              <w:t>29.2%</w:t>
            </w:r>
          </w:p>
        </w:tc>
        <w:tc>
          <w:tcPr>
            <w:tcW w:type="dxa" w:w="1361"/>
            <w:shd w:val="clear" w:color="auto" w:fill="F2F4F7"/>
          </w:tcPr>
          <w:p>
            <w:pPr>
              <w:spacing w:after="0" w:line="240" w:lineRule="auto"/>
              <w:jc w:val="right"/>
            </w:pPr>
            <w:r/>
            <w:r>
              <w:rPr>
                <w:sz w:val="18"/>
              </w:rPr>
              <w:t>2.87x</w:t>
            </w:r>
          </w:p>
        </w:tc>
        <w:tc>
          <w:tcPr>
            <w:tcW w:type="dxa" w:w="1474"/>
            <w:shd w:val="clear" w:color="auto" w:fill="F2F4F7"/>
          </w:tcPr>
          <w:p>
            <w:pPr>
              <w:spacing w:after="0" w:line="240" w:lineRule="auto"/>
              <w:jc w:val="right"/>
            </w:pPr>
            <w:r/>
            <w:r>
              <w:rPr>
                <w:sz w:val="18"/>
              </w:rPr>
              <w:t>20.4%</w:t>
            </w:r>
          </w:p>
        </w:tc>
        <w:tc>
          <w:tcPr>
            <w:tcW w:type="dxa" w:w="1361"/>
            <w:shd w:val="clear" w:color="auto" w:fill="F2F4F7"/>
          </w:tcPr>
          <w:p>
            <w:pPr>
              <w:spacing w:after="0" w:line="240" w:lineRule="auto"/>
              <w:jc w:val="right"/>
            </w:pPr>
            <w:r/>
            <w:r>
              <w:rPr>
                <w:sz w:val="18"/>
              </w:rPr>
              <w:t>32.3%</w:t>
            </w:r>
          </w:p>
        </w:tc>
        <w:tc>
          <w:tcPr>
            <w:tcW w:type="dxa" w:w="1984"/>
            <w:shd w:val="clear" w:color="auto" w:fill="F2F4F7"/>
          </w:tcPr>
          <w:p>
            <w:pPr>
              <w:spacing w:after="0" w:line="240" w:lineRule="auto"/>
              <w:jc w:val="right"/>
            </w:pPr>
            <w:r/>
            <w:r>
              <w:rPr>
                <w:sz w:val="18"/>
              </w:rPr>
              <w:t>35%</w:t>
            </w:r>
          </w:p>
        </w:tc>
      </w:tr>
    </w:tbl>
    <w:p>
      <w:pPr>
        <w:spacing w:after="80"/>
      </w:pPr>
    </w:p>
    <w:p>
      <w:r>
        <w:rPr>
          <w:b/>
          <w:i w:val="0"/>
        </w:rPr>
        <w:t>Cost to Jalour.</w:t>
      </w:r>
      <w:r>
        <w:rPr>
          <w:b w:val="0"/>
          <w:i w:val="0"/>
        </w:rPr>
        <w:t xml:space="preserve"> Giving the investor units from the first two sales tranches of each project removes that share of those tranches' collections. Jalour receives the tickets at funding and forgoes those collections (the units' face value of EGP 250 million at list) as they would have been received, partly offset by commission saved. The landlord share is unchanged. On this basis Jalour's combined cost of capital is 21.6% and the NPV effect at 14% is EGP -26.6 million. Peak cumulative shortage before the tickets rises to EGP 106.9 million (Green Square) and EGP 123.8 million (L'avenir).</w:t>
      </w:r>
    </w:p>
    <w:p>
      <w:pPr>
        <w:keepNext/>
        <w:jc w:val="center"/>
      </w:pPr>
      <w:r>
        <w:drawing>
          <wp:inline xmlns:a="http://schemas.openxmlformats.org/drawingml/2006/main" xmlns:pic="http://schemas.openxmlformats.org/drawingml/2006/picture">
            <wp:extent cx="5580000" cy="2480000"/>
            <wp:docPr id="4" name="Picture 4"/>
            <wp:cNvGraphicFramePr>
              <a:graphicFrameLocks noChangeAspect="1"/>
            </wp:cNvGraphicFramePr>
            <a:graphic>
              <a:graphicData uri="http://schemas.openxmlformats.org/drawingml/2006/picture">
                <pic:pic>
                  <pic:nvPicPr>
                    <pic:cNvPr id="0" name="fig_inv.png"/>
                    <pic:cNvPicPr/>
                  </pic:nvPicPr>
                  <pic:blipFill>
                    <a:blip r:embed="rId14"/>
                    <a:stretch>
                      <a:fillRect/>
                    </a:stretch>
                  </pic:blipFill>
                  <pic:spPr>
                    <a:xfrm>
                      <a:off x="0" y="0"/>
                      <a:ext cx="5580000" cy="2480000"/>
                    </a:xfrm>
                    <a:prstGeom prst="rect"/>
                  </pic:spPr>
                </pic:pic>
              </a:graphicData>
            </a:graphic>
          </wp:inline>
        </w:drawing>
      </w:r>
    </w:p>
    <w:p>
      <w:pPr>
        <w:jc w:val="center"/>
      </w:pPr>
      <w:r>
        <w:rPr>
          <w:b/>
          <w:color w:val="17324D"/>
          <w:sz w:val="18"/>
        </w:rPr>
        <w:t xml:space="preserve">Figure 4: Cumulative investor cash flow by option (combined). </w:t>
      </w:r>
      <w:r>
        <w:rPr>
          <w:i/>
          <w:color w:val="6B7280"/>
          <w:sz w:val="18"/>
        </w:rPr>
        <w:t>Source: Financial Annex, Combined_Summary; projections</w:t>
      </w:r>
    </w:p>
    <w:p>
      <w:pPr>
        <w:pStyle w:val="Heading2"/>
      </w:pPr>
      <w:r>
        <w:t>13.2 Option B</w:t>
      </w:r>
    </w:p>
    <w:p>
      <w:pPr>
        <w:keepNext/>
        <w:spacing w:after="60"/>
      </w:pPr>
      <w:r>
        <w:rPr>
          <w:b/>
          <w:color w:val="17324D"/>
          <w:sz w:val="19"/>
        </w:rPr>
        <w:t>Table 28: Option B (fixed instalments)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3402"/>
            <w:shd w:val="clear" w:color="auto" w:fill="17324D"/>
          </w:tcPr>
          <w:p>
            <w:pPr>
              <w:spacing w:after="0" w:line="240" w:lineRule="auto"/>
            </w:pPr>
            <w:r/>
            <w:r>
              <w:rPr>
                <w:b/>
                <w:color w:val="FFFFFF"/>
                <w:sz w:val="19"/>
              </w:rPr>
              <w:t>Measure (combined)</w:t>
            </w:r>
          </w:p>
        </w:tc>
        <w:tc>
          <w:tcPr>
            <w:tcW w:type="dxa" w:w="1417"/>
            <w:shd w:val="clear" w:color="auto" w:fill="17324D"/>
          </w:tcPr>
          <w:p>
            <w:pPr>
              <w:spacing w:after="0" w:line="240" w:lineRule="auto"/>
              <w:jc w:val="right"/>
            </w:pPr>
            <w:r/>
            <w:r>
              <w:rPr>
                <w:b/>
                <w:color w:val="FFFFFF"/>
                <w:sz w:val="19"/>
              </w:rPr>
              <w:t>Base</w:t>
            </w:r>
          </w:p>
        </w:tc>
        <w:tc>
          <w:tcPr>
            <w:tcW w:type="dxa" w:w="1474"/>
            <w:shd w:val="clear" w:color="auto" w:fill="17324D"/>
          </w:tcPr>
          <w:p>
            <w:pPr>
              <w:spacing w:after="0" w:line="240" w:lineRule="auto"/>
              <w:jc w:val="right"/>
            </w:pPr>
            <w:r/>
            <w:r>
              <w:rPr>
                <w:b/>
                <w:color w:val="FFFFFF"/>
                <w:sz w:val="19"/>
              </w:rPr>
              <w:t>Downside</w:t>
            </w:r>
          </w:p>
        </w:tc>
        <w:tc>
          <w:tcPr>
            <w:tcW w:type="dxa" w:w="1474"/>
            <w:shd w:val="clear" w:color="auto" w:fill="17324D"/>
          </w:tcPr>
          <w:p>
            <w:pPr>
              <w:spacing w:after="0" w:line="240" w:lineRule="auto"/>
              <w:jc w:val="right"/>
            </w:pPr>
            <w:r/>
            <w:r>
              <w:rPr>
                <w:b/>
                <w:color w:val="FFFFFF"/>
                <w:sz w:val="19"/>
              </w:rPr>
              <w:t>Upside</w:t>
            </w:r>
          </w:p>
        </w:tc>
        <w:tc>
          <w:tcPr>
            <w:tcW w:type="dxa" w:w="1474"/>
            <w:shd w:val="clear" w:color="auto" w:fill="17324D"/>
          </w:tcPr>
          <w:p>
            <w:pPr>
              <w:spacing w:after="0" w:line="240" w:lineRule="auto"/>
              <w:jc w:val="right"/>
            </w:pPr>
            <w:r/>
            <w:r>
              <w:rPr>
                <w:b/>
                <w:color w:val="FFFFFF"/>
                <w:sz w:val="19"/>
              </w:rPr>
              <w:t>Handover payments</w:t>
            </w:r>
          </w:p>
        </w:tc>
      </w:tr>
      <w:tr>
        <w:trPr>
          <w:cantSplit/>
        </w:trPr>
        <w:tc>
          <w:tcPr>
            <w:tcW w:type="dxa" w:w="3402"/>
          </w:tcPr>
          <w:p>
            <w:pPr>
              <w:spacing w:after="0" w:line="240" w:lineRule="auto"/>
            </w:pPr>
            <w:r/>
            <w:r>
              <w:rPr>
                <w:sz w:val="19"/>
              </w:rPr>
              <w:t>Investor IRR if paid</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Investor MOIC</w:t>
            </w:r>
          </w:p>
        </w:tc>
        <w:tc>
          <w:tcPr>
            <w:tcW w:type="dxa" w:w="1417"/>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c>
          <w:tcPr>
            <w:tcW w:type="dxa" w:w="1474"/>
            <w:shd w:val="clear" w:color="auto" w:fill="F2F4F7"/>
          </w:tcPr>
          <w:p>
            <w:pPr>
              <w:spacing w:after="0" w:line="240" w:lineRule="auto"/>
              <w:jc w:val="right"/>
            </w:pPr>
            <w:r/>
            <w:r>
              <w:rPr>
                <w:sz w:val="19"/>
              </w:rPr>
              <w:t>2.30x</w:t>
            </w:r>
          </w:p>
        </w:tc>
      </w:tr>
      <w:tr>
        <w:trPr>
          <w:cantSplit/>
        </w:trPr>
        <w:tc>
          <w:tcPr>
            <w:tcW w:type="dxa" w:w="3402"/>
          </w:tcPr>
          <w:p>
            <w:pPr>
              <w:spacing w:after="0" w:line="240" w:lineRule="auto"/>
            </w:pPr>
            <w:r/>
            <w:r>
              <w:rPr>
                <w:sz w:val="19"/>
              </w:rPr>
              <w:t>Jalour cost of capital</w:t>
            </w:r>
          </w:p>
        </w:tc>
        <w:tc>
          <w:tcPr>
            <w:tcW w:type="dxa" w:w="1417"/>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c>
          <w:tcPr>
            <w:tcW w:type="dxa" w:w="1474"/>
          </w:tcPr>
          <w:p>
            <w:pPr>
              <w:spacing w:after="0" w:line="240" w:lineRule="auto"/>
              <w:jc w:val="right"/>
            </w:pPr>
            <w:r/>
            <w:r>
              <w:rPr>
                <w:sz w:val="19"/>
              </w:rPr>
              <w:t>26.5%</w:t>
            </w:r>
          </w:p>
        </w:tc>
      </w:tr>
      <w:tr>
        <w:trPr>
          <w:cantSplit/>
        </w:trPr>
        <w:tc>
          <w:tcPr>
            <w:tcW w:type="dxa" w:w="3402"/>
            <w:shd w:val="clear" w:color="auto" w:fill="F2F4F7"/>
          </w:tcPr>
          <w:p>
            <w:pPr>
              <w:spacing w:after="0" w:line="240" w:lineRule="auto"/>
            </w:pPr>
            <w:r/>
            <w:r>
              <w:rPr>
                <w:sz w:val="19"/>
              </w:rPr>
              <w:t>Lowest pooled cash after tickets and payouts (EGP m)</w:t>
            </w:r>
          </w:p>
        </w:tc>
        <w:tc>
          <w:tcPr>
            <w:tcW w:type="dxa" w:w="1417"/>
            <w:shd w:val="clear" w:color="auto" w:fill="F2F4F7"/>
          </w:tcPr>
          <w:p>
            <w:pPr>
              <w:spacing w:after="0" w:line="240" w:lineRule="auto"/>
              <w:jc w:val="right"/>
            </w:pPr>
            <w:r/>
            <w:r>
              <w:rPr>
                <w:sz w:val="19"/>
              </w:rPr>
              <w:t>-43</w:t>
            </w:r>
          </w:p>
        </w:tc>
        <w:tc>
          <w:tcPr>
            <w:tcW w:type="dxa" w:w="1474"/>
            <w:shd w:val="clear" w:color="auto" w:fill="F2F4F7"/>
          </w:tcPr>
          <w:p>
            <w:pPr>
              <w:spacing w:after="0" w:line="240" w:lineRule="auto"/>
              <w:jc w:val="right"/>
            </w:pPr>
            <w:r/>
            <w:r>
              <w:rPr>
                <w:sz w:val="19"/>
              </w:rPr>
              <w:t>-1,144</w:t>
            </w:r>
          </w:p>
        </w:tc>
        <w:tc>
          <w:tcPr>
            <w:tcW w:type="dxa" w:w="1474"/>
            <w:shd w:val="clear" w:color="auto" w:fill="F2F4F7"/>
          </w:tcPr>
          <w:p>
            <w:pPr>
              <w:spacing w:after="0" w:line="240" w:lineRule="auto"/>
              <w:jc w:val="right"/>
            </w:pPr>
            <w:r/>
            <w:r>
              <w:rPr>
                <w:sz w:val="19"/>
              </w:rPr>
              <w:t>-40</w:t>
            </w:r>
          </w:p>
        </w:tc>
        <w:tc>
          <w:tcPr>
            <w:tcW w:type="dxa" w:w="1474"/>
            <w:shd w:val="clear" w:color="auto" w:fill="F2F4F7"/>
          </w:tcPr>
          <w:p>
            <w:pPr>
              <w:spacing w:after="0" w:line="240" w:lineRule="auto"/>
              <w:jc w:val="right"/>
            </w:pPr>
            <w:r/>
            <w:r>
              <w:rPr>
                <w:sz w:val="19"/>
              </w:rPr>
              <w:t>-301</w:t>
            </w:r>
          </w:p>
        </w:tc>
      </w:tr>
    </w:tbl>
    <w:p>
      <w:pPr>
        <w:spacing w:after="80"/>
      </w:pPr>
    </w:p>
    <w:p>
      <w:r>
        <w:rPr>
          <w:b w:val="0"/>
          <w:i w:val="0"/>
        </w:rPr>
        <w:t>In the base case the lowest combined pooled cash is EGP -43.0 million in month 9. Instalments are fixed, so the investor's IRR is the same in every case if Jalour pays. What changes is the cash available to pay: in the downside and handover cases pooled cash falls below zero and Jalour must fund the difference. Negative figures above are the amount Jalour would have to provide from sponsor equity or other capital sources.</w:t>
      </w:r>
    </w:p>
    <w:p>
      <w:pPr>
        <w:pStyle w:val="Heading2"/>
      </w:pPr>
      <w:r>
        <w:t>13.3 Payout coverage</w:t>
      </w:r>
    </w:p>
    <w:p>
      <w:pPr>
        <w:keepNext/>
        <w:spacing w:after="60"/>
      </w:pPr>
      <w:r>
        <w:rPr>
          <w:b/>
          <w:color w:val="17324D"/>
          <w:sz w:val="19"/>
        </w:rPr>
        <w:t>Table 29: Payout coverage, base case, Option B</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268"/>
            <w:shd w:val="clear" w:color="auto" w:fill="17324D"/>
          </w:tcPr>
          <w:p>
            <w:pPr>
              <w:spacing w:after="0" w:line="240" w:lineRule="auto"/>
            </w:pPr>
            <w:r/>
            <w:r>
              <w:rPr>
                <w:b/>
                <w:color w:val="FFFFFF"/>
                <w:sz w:val="19"/>
              </w:rPr>
              <w:t>Project</w:t>
            </w:r>
          </w:p>
        </w:tc>
        <w:tc>
          <w:tcPr>
            <w:tcW w:type="dxa" w:w="4139"/>
            <w:shd w:val="clear" w:color="auto" w:fill="17324D"/>
          </w:tcPr>
          <w:p>
            <w:pPr>
              <w:spacing w:after="0" w:line="240" w:lineRule="auto"/>
              <w:jc w:val="right"/>
            </w:pPr>
            <w:r/>
            <w:r>
              <w:rPr>
                <w:b/>
                <w:color w:val="FFFFFF"/>
                <w:sz w:val="19"/>
              </w:rPr>
              <w:t>Quarters with net cash flow below 1.5x the instalment</w:t>
            </w:r>
          </w:p>
        </w:tc>
        <w:tc>
          <w:tcPr>
            <w:tcW w:type="dxa" w:w="2835"/>
            <w:shd w:val="clear" w:color="auto" w:fill="17324D"/>
          </w:tcPr>
          <w:p>
            <w:pPr>
              <w:spacing w:after="0" w:line="240" w:lineRule="auto"/>
              <w:jc w:val="right"/>
            </w:pPr>
            <w:r/>
            <w:r>
              <w:rPr>
                <w:b/>
                <w:color w:val="FFFFFF"/>
                <w:sz w:val="19"/>
              </w:rPr>
              <w:t>Lowest cash-available coverage</w:t>
            </w:r>
          </w:p>
        </w:tc>
      </w:tr>
      <w:tr>
        <w:trPr>
          <w:cantSplit/>
        </w:trPr>
        <w:tc>
          <w:tcPr>
            <w:tcW w:type="dxa" w:w="2268"/>
          </w:tcPr>
          <w:p>
            <w:pPr>
              <w:spacing w:after="0" w:line="240" w:lineRule="auto"/>
            </w:pPr>
            <w:r/>
            <w:r>
              <w:rPr>
                <w:sz w:val="19"/>
              </w:rPr>
              <w:t>Green Square</w:t>
            </w:r>
          </w:p>
        </w:tc>
        <w:tc>
          <w:tcPr>
            <w:tcW w:type="dxa" w:w="4139"/>
          </w:tcPr>
          <w:p>
            <w:pPr>
              <w:spacing w:after="0" w:line="240" w:lineRule="auto"/>
              <w:jc w:val="right"/>
            </w:pPr>
            <w:r/>
            <w:r>
              <w:rPr>
                <w:sz w:val="19"/>
              </w:rPr>
              <w:t>8 of 12</w:t>
            </w:r>
          </w:p>
        </w:tc>
        <w:tc>
          <w:tcPr>
            <w:tcW w:type="dxa" w:w="2835"/>
          </w:tcPr>
          <w:p>
            <w:pPr>
              <w:spacing w:after="0" w:line="240" w:lineRule="auto"/>
              <w:jc w:val="right"/>
            </w:pPr>
            <w:r/>
            <w:r>
              <w:rPr>
                <w:sz w:val="19"/>
              </w:rPr>
              <w:t>7.6x</w:t>
            </w:r>
          </w:p>
        </w:tc>
      </w:tr>
      <w:tr>
        <w:trPr>
          <w:cantSplit/>
        </w:trPr>
        <w:tc>
          <w:tcPr>
            <w:tcW w:type="dxa" w:w="2268"/>
            <w:shd w:val="clear" w:color="auto" w:fill="F2F4F7"/>
          </w:tcPr>
          <w:p>
            <w:pPr>
              <w:spacing w:after="0" w:line="240" w:lineRule="auto"/>
            </w:pPr>
            <w:r/>
            <w:r>
              <w:rPr>
                <w:sz w:val="19"/>
              </w:rPr>
              <w:t>L'avenir</w:t>
            </w:r>
          </w:p>
        </w:tc>
        <w:tc>
          <w:tcPr>
            <w:tcW w:type="dxa" w:w="4139"/>
            <w:shd w:val="clear" w:color="auto" w:fill="F2F4F7"/>
          </w:tcPr>
          <w:p>
            <w:pPr>
              <w:spacing w:after="0" w:line="240" w:lineRule="auto"/>
              <w:jc w:val="right"/>
            </w:pPr>
            <w:r/>
            <w:r>
              <w:rPr>
                <w:sz w:val="19"/>
              </w:rPr>
              <w:t>3 of 12</w:t>
            </w:r>
          </w:p>
        </w:tc>
        <w:tc>
          <w:tcPr>
            <w:tcW w:type="dxa" w:w="2835"/>
            <w:shd w:val="clear" w:color="auto" w:fill="F2F4F7"/>
          </w:tcPr>
          <w:p>
            <w:pPr>
              <w:spacing w:after="0" w:line="240" w:lineRule="auto"/>
              <w:jc w:val="right"/>
            </w:pPr>
            <w:r/>
            <w:r>
              <w:rPr>
                <w:sz w:val="19"/>
              </w:rPr>
              <w:t>2.5x</w:t>
            </w:r>
          </w:p>
        </w:tc>
      </w:tr>
    </w:tbl>
    <w:p>
      <w:pPr>
        <w:spacing w:after="80"/>
      </w:pPr>
    </w:p>
    <w:p>
      <w:pPr>
        <w:keepNext/>
        <w:spacing w:after="60"/>
      </w:pPr>
      <w:r>
        <w:rPr>
          <w:b/>
          <w:color w:val="17324D"/>
          <w:sz w:val="19"/>
        </w:rPr>
        <w:t>Table 30: Green Square: payout coverage by instalment,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7"/>
              </w:rPr>
              <w:t>Month</w:t>
            </w:r>
          </w:p>
        </w:tc>
        <w:tc>
          <w:tcPr>
            <w:tcW w:type="dxa" w:w="2268"/>
            <w:shd w:val="clear" w:color="auto" w:fill="17324D"/>
          </w:tcPr>
          <w:p>
            <w:pPr>
              <w:spacing w:after="0" w:line="240" w:lineRule="auto"/>
              <w:jc w:val="right"/>
            </w:pPr>
            <w:r/>
            <w:r>
              <w:rPr>
                <w:b/>
                <w:color w:val="FFFFFF"/>
                <w:sz w:val="17"/>
              </w:rPr>
              <w:t>Net cash flow before payout (EGP m)</w:t>
            </w:r>
          </w:p>
        </w:tc>
        <w:tc>
          <w:tcPr>
            <w:tcW w:type="dxa" w:w="1701"/>
            <w:shd w:val="clear" w:color="auto" w:fill="17324D"/>
          </w:tcPr>
          <w:p>
            <w:pPr>
              <w:spacing w:after="0" w:line="240" w:lineRule="auto"/>
              <w:jc w:val="right"/>
            </w:pPr>
            <w:r/>
            <w:r>
              <w:rPr>
                <w:b/>
                <w:color w:val="FFFFFF"/>
                <w:sz w:val="17"/>
              </w:rPr>
              <w:t>Instalment (EGP m)</w:t>
            </w:r>
          </w:p>
        </w:tc>
        <w:tc>
          <w:tcPr>
            <w:tcW w:type="dxa" w:w="2098"/>
            <w:shd w:val="clear" w:color="auto" w:fill="17324D"/>
          </w:tcPr>
          <w:p>
            <w:pPr>
              <w:spacing w:after="0" w:line="240" w:lineRule="auto"/>
              <w:jc w:val="right"/>
            </w:pPr>
            <w:r/>
            <w:r>
              <w:rPr>
                <w:b/>
                <w:color w:val="FFFFFF"/>
                <w:sz w:val="17"/>
              </w:rPr>
              <w:t>Coverage: net cash flow / instalment</w:t>
            </w:r>
          </w:p>
        </w:tc>
        <w:tc>
          <w:tcPr>
            <w:tcW w:type="dxa" w:w="2041"/>
            <w:shd w:val="clear" w:color="auto" w:fill="17324D"/>
          </w:tcPr>
          <w:p>
            <w:pPr>
              <w:spacing w:after="0" w:line="240" w:lineRule="auto"/>
              <w:jc w:val="right"/>
            </w:pPr>
            <w:r/>
            <w:r>
              <w:rPr>
                <w:b/>
                <w:color w:val="FFFFFF"/>
                <w:sz w:val="17"/>
              </w:rPr>
              <w:t>Coverage: cash available / instalment</w:t>
            </w:r>
          </w:p>
        </w:tc>
      </w:tr>
      <w:tr>
        <w:trPr>
          <w:cantSplit/>
        </w:trPr>
        <w:tc>
          <w:tcPr>
            <w:tcW w:type="dxa" w:w="1134"/>
          </w:tcPr>
          <w:p>
            <w:pPr>
              <w:spacing w:after="0" w:line="240" w:lineRule="auto"/>
            </w:pPr>
            <w:r/>
            <w:r>
              <w:rPr>
                <w:sz w:val="17"/>
              </w:rPr>
              <w:t>24</w:t>
            </w:r>
          </w:p>
        </w:tc>
        <w:tc>
          <w:tcPr>
            <w:tcW w:type="dxa" w:w="2268"/>
          </w:tcPr>
          <w:p>
            <w:pPr>
              <w:spacing w:after="0" w:line="240" w:lineRule="auto"/>
              <w:jc w:val="right"/>
            </w:pPr>
            <w:r/>
            <w:r>
              <w:rPr>
                <w:sz w:val="17"/>
              </w:rPr>
              <w:t>421.6</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35.2x</w:t>
            </w:r>
          </w:p>
        </w:tc>
        <w:tc>
          <w:tcPr>
            <w:tcW w:type="dxa" w:w="2041"/>
          </w:tcPr>
          <w:p>
            <w:pPr>
              <w:spacing w:after="0" w:line="240" w:lineRule="auto"/>
              <w:jc w:val="right"/>
            </w:pPr>
            <w:r/>
            <w:r>
              <w:rPr>
                <w:sz w:val="17"/>
              </w:rPr>
              <w:t>33.6x</w:t>
            </w:r>
          </w:p>
        </w:tc>
      </w:tr>
      <w:tr>
        <w:trPr>
          <w:cantSplit/>
        </w:trPr>
        <w:tc>
          <w:tcPr>
            <w:tcW w:type="dxa" w:w="1134"/>
            <w:shd w:val="clear" w:color="auto" w:fill="F2F4F7"/>
          </w:tcPr>
          <w:p>
            <w:pPr>
              <w:spacing w:after="0" w:line="240" w:lineRule="auto"/>
            </w:pPr>
            <w:r/>
            <w:r>
              <w:rPr>
                <w:sz w:val="17"/>
              </w:rPr>
              <w:t>27</w:t>
            </w:r>
          </w:p>
        </w:tc>
        <w:tc>
          <w:tcPr>
            <w:tcW w:type="dxa" w:w="2268"/>
            <w:shd w:val="clear" w:color="auto" w:fill="F2F4F7"/>
          </w:tcPr>
          <w:p>
            <w:pPr>
              <w:spacing w:after="0" w:line="240" w:lineRule="auto"/>
              <w:jc w:val="right"/>
            </w:pPr>
            <w:r/>
            <w:r>
              <w:rPr>
                <w:sz w:val="17"/>
              </w:rPr>
              <w:t>138.8</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11.6x</w:t>
            </w:r>
          </w:p>
        </w:tc>
        <w:tc>
          <w:tcPr>
            <w:tcW w:type="dxa" w:w="2041"/>
            <w:shd w:val="clear" w:color="auto" w:fill="F2F4F7"/>
          </w:tcPr>
          <w:p>
            <w:pPr>
              <w:spacing w:after="0" w:line="240" w:lineRule="auto"/>
              <w:jc w:val="right"/>
            </w:pPr>
            <w:r/>
            <w:r>
              <w:rPr>
                <w:sz w:val="17"/>
              </w:rPr>
              <w:t>44.2x</w:t>
            </w:r>
          </w:p>
        </w:tc>
      </w:tr>
      <w:tr>
        <w:trPr>
          <w:cantSplit/>
        </w:trPr>
        <w:tc>
          <w:tcPr>
            <w:tcW w:type="dxa" w:w="1134"/>
          </w:tcPr>
          <w:p>
            <w:pPr>
              <w:spacing w:after="0" w:line="240" w:lineRule="auto"/>
            </w:pPr>
            <w:r/>
            <w:r>
              <w:rPr>
                <w:sz w:val="17"/>
              </w:rPr>
              <w:t>30</w:t>
            </w:r>
          </w:p>
        </w:tc>
        <w:tc>
          <w:tcPr>
            <w:tcW w:type="dxa" w:w="2268"/>
          </w:tcPr>
          <w:p>
            <w:pPr>
              <w:spacing w:after="0" w:line="240" w:lineRule="auto"/>
              <w:jc w:val="right"/>
            </w:pPr>
            <w:r/>
            <w:r>
              <w:rPr>
                <w:sz w:val="17"/>
              </w:rPr>
              <w:t>129.7</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10.8x</w:t>
            </w:r>
          </w:p>
        </w:tc>
        <w:tc>
          <w:tcPr>
            <w:tcW w:type="dxa" w:w="2041"/>
          </w:tcPr>
          <w:p>
            <w:pPr>
              <w:spacing w:after="0" w:line="240" w:lineRule="auto"/>
              <w:jc w:val="right"/>
            </w:pPr>
            <w:r/>
            <w:r>
              <w:rPr>
                <w:sz w:val="17"/>
              </w:rPr>
              <w:t>54.0x</w:t>
            </w:r>
          </w:p>
        </w:tc>
      </w:tr>
      <w:tr>
        <w:trPr>
          <w:cantSplit/>
        </w:trPr>
        <w:tc>
          <w:tcPr>
            <w:tcW w:type="dxa" w:w="1134"/>
            <w:shd w:val="clear" w:color="auto" w:fill="F2F4F7"/>
          </w:tcPr>
          <w:p>
            <w:pPr>
              <w:spacing w:after="0" w:line="240" w:lineRule="auto"/>
            </w:pPr>
            <w:r/>
            <w:r>
              <w:rPr>
                <w:sz w:val="17"/>
              </w:rPr>
              <w:t>33</w:t>
            </w:r>
          </w:p>
        </w:tc>
        <w:tc>
          <w:tcPr>
            <w:tcW w:type="dxa" w:w="2268"/>
            <w:shd w:val="clear" w:color="auto" w:fill="F2F4F7"/>
          </w:tcPr>
          <w:p>
            <w:pPr>
              <w:spacing w:after="0" w:line="240" w:lineRule="auto"/>
              <w:jc w:val="right"/>
            </w:pPr>
            <w:r/>
            <w:r>
              <w:rPr>
                <w:sz w:val="17"/>
              </w:rPr>
              <w:t>-93.4</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-7.8x</w:t>
            </w:r>
          </w:p>
        </w:tc>
        <w:tc>
          <w:tcPr>
            <w:tcW w:type="dxa" w:w="2041"/>
            <w:shd w:val="clear" w:color="auto" w:fill="F2F4F7"/>
          </w:tcPr>
          <w:p>
            <w:pPr>
              <w:spacing w:after="0" w:line="240" w:lineRule="auto"/>
              <w:jc w:val="right"/>
            </w:pPr>
            <w:r/>
            <w:r>
              <w:rPr>
                <w:sz w:val="17"/>
              </w:rPr>
              <w:t>45.2x</w:t>
            </w:r>
          </w:p>
        </w:tc>
      </w:tr>
      <w:tr>
        <w:trPr>
          <w:cantSplit/>
        </w:trPr>
        <w:tc>
          <w:tcPr>
            <w:tcW w:type="dxa" w:w="1134"/>
          </w:tcPr>
          <w:p>
            <w:pPr>
              <w:spacing w:after="0" w:line="240" w:lineRule="auto"/>
            </w:pPr>
            <w:r/>
            <w:r>
              <w:rPr>
                <w:sz w:val="17"/>
              </w:rPr>
              <w:t>36</w:t>
            </w:r>
          </w:p>
        </w:tc>
        <w:tc>
          <w:tcPr>
            <w:tcW w:type="dxa" w:w="2268"/>
          </w:tcPr>
          <w:p>
            <w:pPr>
              <w:spacing w:after="0" w:line="240" w:lineRule="auto"/>
              <w:jc w:val="right"/>
            </w:pPr>
            <w:r/>
            <w:r>
              <w:rPr>
                <w:sz w:val="17"/>
              </w:rPr>
              <w:t>-121.0</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-10.1x</w:t>
            </w:r>
          </w:p>
        </w:tc>
        <w:tc>
          <w:tcPr>
            <w:tcW w:type="dxa" w:w="2041"/>
          </w:tcPr>
          <w:p>
            <w:pPr>
              <w:spacing w:after="0" w:line="240" w:lineRule="auto"/>
              <w:jc w:val="right"/>
            </w:pPr>
            <w:r/>
            <w:r>
              <w:rPr>
                <w:sz w:val="17"/>
              </w:rPr>
              <w:t>34.1x</w:t>
            </w:r>
          </w:p>
        </w:tc>
      </w:tr>
      <w:tr>
        <w:trPr>
          <w:cantSplit/>
        </w:trPr>
        <w:tc>
          <w:tcPr>
            <w:tcW w:type="dxa" w:w="1134"/>
            <w:shd w:val="clear" w:color="auto" w:fill="F2F4F7"/>
          </w:tcPr>
          <w:p>
            <w:pPr>
              <w:spacing w:after="0" w:line="240" w:lineRule="auto"/>
            </w:pPr>
            <w:r/>
            <w:r>
              <w:rPr>
                <w:sz w:val="17"/>
              </w:rPr>
              <w:t>39</w:t>
            </w:r>
          </w:p>
        </w:tc>
        <w:tc>
          <w:tcPr>
            <w:tcW w:type="dxa" w:w="2268"/>
            <w:shd w:val="clear" w:color="auto" w:fill="F2F4F7"/>
          </w:tcPr>
          <w:p>
            <w:pPr>
              <w:spacing w:after="0" w:line="240" w:lineRule="auto"/>
              <w:jc w:val="right"/>
            </w:pPr>
            <w:r/>
            <w:r>
              <w:rPr>
                <w:sz w:val="17"/>
              </w:rPr>
              <w:t>-171.6</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-14.3x</w:t>
            </w:r>
          </w:p>
        </w:tc>
        <w:tc>
          <w:tcPr>
            <w:tcW w:type="dxa" w:w="2041"/>
            <w:shd w:val="clear" w:color="auto" w:fill="F2F4F7"/>
          </w:tcPr>
          <w:p>
            <w:pPr>
              <w:spacing w:after="0" w:line="240" w:lineRule="auto"/>
              <w:jc w:val="right"/>
            </w:pPr>
            <w:r/>
            <w:r>
              <w:rPr>
                <w:sz w:val="17"/>
              </w:rPr>
              <w:t>18.8x</w:t>
            </w:r>
          </w:p>
        </w:tc>
      </w:tr>
      <w:tr>
        <w:trPr>
          <w:cantSplit/>
        </w:trPr>
        <w:tc>
          <w:tcPr>
            <w:tcW w:type="dxa" w:w="1134"/>
          </w:tcPr>
          <w:p>
            <w:pPr>
              <w:spacing w:after="0" w:line="240" w:lineRule="auto"/>
            </w:pPr>
            <w:r/>
            <w:r>
              <w:rPr>
                <w:sz w:val="17"/>
              </w:rPr>
              <w:t>42</w:t>
            </w:r>
          </w:p>
        </w:tc>
        <w:tc>
          <w:tcPr>
            <w:tcW w:type="dxa" w:w="2268"/>
          </w:tcPr>
          <w:p>
            <w:pPr>
              <w:spacing w:after="0" w:line="240" w:lineRule="auto"/>
              <w:jc w:val="right"/>
            </w:pPr>
            <w:r/>
            <w:r>
              <w:rPr>
                <w:sz w:val="17"/>
              </w:rPr>
              <w:t>-118.2</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-9.9x</w:t>
            </w:r>
          </w:p>
        </w:tc>
        <w:tc>
          <w:tcPr>
            <w:tcW w:type="dxa" w:w="2041"/>
          </w:tcPr>
          <w:p>
            <w:pPr>
              <w:spacing w:after="0" w:line="240" w:lineRule="auto"/>
              <w:jc w:val="right"/>
            </w:pPr>
            <w:r/>
            <w:r>
              <w:rPr>
                <w:sz w:val="17"/>
              </w:rPr>
              <w:t>7.9x</w:t>
            </w:r>
          </w:p>
        </w:tc>
      </w:tr>
      <w:tr>
        <w:trPr>
          <w:cantSplit/>
        </w:trPr>
        <w:tc>
          <w:tcPr>
            <w:tcW w:type="dxa" w:w="1134"/>
            <w:shd w:val="clear" w:color="auto" w:fill="F2F4F7"/>
          </w:tcPr>
          <w:p>
            <w:pPr>
              <w:spacing w:after="0" w:line="240" w:lineRule="auto"/>
            </w:pPr>
            <w:r/>
            <w:r>
              <w:rPr>
                <w:sz w:val="17"/>
              </w:rPr>
              <w:t>45</w:t>
            </w:r>
          </w:p>
        </w:tc>
        <w:tc>
          <w:tcPr>
            <w:tcW w:type="dxa" w:w="2268"/>
            <w:shd w:val="clear" w:color="auto" w:fill="F2F4F7"/>
          </w:tcPr>
          <w:p>
            <w:pPr>
              <w:spacing w:after="0" w:line="240" w:lineRule="auto"/>
              <w:jc w:val="right"/>
            </w:pPr>
            <w:r/>
            <w:r>
              <w:rPr>
                <w:sz w:val="17"/>
              </w:rPr>
              <w:t>16.2</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1.4x</w:t>
            </w:r>
          </w:p>
        </w:tc>
        <w:tc>
          <w:tcPr>
            <w:tcW w:type="dxa" w:w="2041"/>
            <w:shd w:val="clear" w:color="auto" w:fill="F2F4F7"/>
          </w:tcPr>
          <w:p>
            <w:pPr>
              <w:spacing w:after="0" w:line="240" w:lineRule="auto"/>
              <w:jc w:val="right"/>
            </w:pPr>
            <w:r/>
            <w:r>
              <w:rPr>
                <w:sz w:val="17"/>
              </w:rPr>
              <w:t>8.3x</w:t>
            </w:r>
          </w:p>
        </w:tc>
      </w:tr>
      <w:tr>
        <w:trPr>
          <w:cantSplit/>
        </w:trPr>
        <w:tc>
          <w:tcPr>
            <w:tcW w:type="dxa" w:w="1134"/>
          </w:tcPr>
          <w:p>
            <w:pPr>
              <w:spacing w:after="0" w:line="240" w:lineRule="auto"/>
            </w:pPr>
            <w:r/>
            <w:r>
              <w:rPr>
                <w:sz w:val="17"/>
              </w:rPr>
              <w:t>48</w:t>
            </w:r>
          </w:p>
        </w:tc>
        <w:tc>
          <w:tcPr>
            <w:tcW w:type="dxa" w:w="2268"/>
          </w:tcPr>
          <w:p>
            <w:pPr>
              <w:spacing w:after="0" w:line="240" w:lineRule="auto"/>
              <w:jc w:val="right"/>
            </w:pPr>
            <w:r/>
            <w:r>
              <w:rPr>
                <w:sz w:val="17"/>
              </w:rPr>
              <w:t>14.7</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1.2x</w:t>
            </w:r>
          </w:p>
        </w:tc>
        <w:tc>
          <w:tcPr>
            <w:tcW w:type="dxa" w:w="2041"/>
          </w:tcPr>
          <w:p>
            <w:pPr>
              <w:spacing w:after="0" w:line="240" w:lineRule="auto"/>
              <w:jc w:val="right"/>
            </w:pPr>
            <w:r/>
            <w:r>
              <w:rPr>
                <w:sz w:val="17"/>
              </w:rPr>
              <w:t>8.5x</w:t>
            </w:r>
          </w:p>
        </w:tc>
      </w:tr>
      <w:tr>
        <w:trPr>
          <w:cantSplit/>
        </w:trPr>
        <w:tc>
          <w:tcPr>
            <w:tcW w:type="dxa" w:w="1134"/>
            <w:shd w:val="clear" w:color="auto" w:fill="F2F4F7"/>
          </w:tcPr>
          <w:p>
            <w:pPr>
              <w:spacing w:after="0" w:line="240" w:lineRule="auto"/>
            </w:pPr>
            <w:r/>
            <w:r>
              <w:rPr>
                <w:sz w:val="17"/>
              </w:rPr>
              <w:t>51</w:t>
            </w:r>
          </w:p>
        </w:tc>
        <w:tc>
          <w:tcPr>
            <w:tcW w:type="dxa" w:w="2268"/>
            <w:shd w:val="clear" w:color="auto" w:fill="F2F4F7"/>
          </w:tcPr>
          <w:p>
            <w:pPr>
              <w:spacing w:after="0" w:line="240" w:lineRule="auto"/>
              <w:jc w:val="right"/>
            </w:pPr>
            <w:r/>
            <w:r>
              <w:rPr>
                <w:sz w:val="17"/>
              </w:rPr>
              <w:t>8.7</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0.7x</w:t>
            </w:r>
          </w:p>
        </w:tc>
        <w:tc>
          <w:tcPr>
            <w:tcW w:type="dxa" w:w="2041"/>
            <w:shd w:val="clear" w:color="auto" w:fill="F2F4F7"/>
          </w:tcPr>
          <w:p>
            <w:pPr>
              <w:spacing w:after="0" w:line="240" w:lineRule="auto"/>
              <w:jc w:val="right"/>
            </w:pPr>
            <w:r/>
            <w:r>
              <w:rPr>
                <w:sz w:val="17"/>
              </w:rPr>
              <w:t>8.2x</w:t>
            </w:r>
          </w:p>
        </w:tc>
      </w:tr>
      <w:tr>
        <w:trPr>
          <w:cantSplit/>
        </w:trPr>
        <w:tc>
          <w:tcPr>
            <w:tcW w:type="dxa" w:w="1134"/>
          </w:tcPr>
          <w:p>
            <w:pPr>
              <w:spacing w:after="0" w:line="240" w:lineRule="auto"/>
            </w:pPr>
            <w:r/>
            <w:r>
              <w:rPr>
                <w:sz w:val="17"/>
              </w:rPr>
              <w:t>54</w:t>
            </w:r>
          </w:p>
        </w:tc>
        <w:tc>
          <w:tcPr>
            <w:tcW w:type="dxa" w:w="2268"/>
          </w:tcPr>
          <w:p>
            <w:pPr>
              <w:spacing w:after="0" w:line="240" w:lineRule="auto"/>
              <w:jc w:val="right"/>
            </w:pPr>
            <w:r/>
            <w:r>
              <w:rPr>
                <w:sz w:val="17"/>
              </w:rPr>
              <w:t>4.4</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0.4x</w:t>
            </w:r>
          </w:p>
        </w:tc>
        <w:tc>
          <w:tcPr>
            <w:tcW w:type="dxa" w:w="2041"/>
          </w:tcPr>
          <w:p>
            <w:pPr>
              <w:spacing w:after="0" w:line="240" w:lineRule="auto"/>
              <w:jc w:val="right"/>
            </w:pPr>
            <w:r/>
            <w:r>
              <w:rPr>
                <w:sz w:val="17"/>
              </w:rPr>
              <w:t>7.6x</w:t>
            </w:r>
          </w:p>
        </w:tc>
      </w:tr>
      <w:tr>
        <w:trPr>
          <w:cantSplit/>
        </w:trPr>
        <w:tc>
          <w:tcPr>
            <w:tcW w:type="dxa" w:w="1134"/>
            <w:shd w:val="clear" w:color="auto" w:fill="F2F4F7"/>
          </w:tcPr>
          <w:p>
            <w:pPr>
              <w:spacing w:after="0" w:line="240" w:lineRule="auto"/>
            </w:pPr>
            <w:r/>
            <w:r>
              <w:rPr>
                <w:sz w:val="17"/>
              </w:rPr>
              <w:t>57</w:t>
            </w:r>
          </w:p>
        </w:tc>
        <w:tc>
          <w:tcPr>
            <w:tcW w:type="dxa" w:w="2268"/>
            <w:shd w:val="clear" w:color="auto" w:fill="F2F4F7"/>
          </w:tcPr>
          <w:p>
            <w:pPr>
              <w:spacing w:after="0" w:line="240" w:lineRule="auto"/>
              <w:jc w:val="right"/>
            </w:pPr>
            <w:r/>
            <w:r>
              <w:rPr>
                <w:sz w:val="17"/>
              </w:rPr>
              <w:t>26.9</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2.2x</w:t>
            </w:r>
          </w:p>
        </w:tc>
        <w:tc>
          <w:tcPr>
            <w:tcW w:type="dxa" w:w="2041"/>
            <w:shd w:val="clear" w:color="auto" w:fill="F2F4F7"/>
          </w:tcPr>
          <w:p>
            <w:pPr>
              <w:spacing w:after="0" w:line="240" w:lineRule="auto"/>
              <w:jc w:val="right"/>
            </w:pPr>
            <w:r/>
            <w:r>
              <w:rPr>
                <w:sz w:val="17"/>
              </w:rPr>
              <w:t>8.8x</w:t>
            </w:r>
          </w:p>
        </w:tc>
      </w:tr>
    </w:tbl>
    <w:p>
      <w:pPr>
        <w:spacing w:after="80"/>
      </w:pPr>
    </w:p>
    <w:p>
      <w:pPr>
        <w:keepNext/>
        <w:spacing w:after="60"/>
      </w:pPr>
      <w:r>
        <w:rPr>
          <w:b/>
          <w:color w:val="17324D"/>
          <w:sz w:val="19"/>
        </w:rPr>
        <w:t>Table 31: L'avenir: payout coverage by instalment, base case</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1860"/>
        <w:gridCol w:w="1860"/>
        <w:gridCol w:w="1860"/>
        <w:gridCol w:w="1860"/>
        <w:gridCol w:w="1860"/>
      </w:tblGrid>
      <w:tr>
        <w:trPr>
          <w:cantSplit/>
          <w:tblHeader/>
        </w:trPr>
        <w:tc>
          <w:tcPr>
            <w:tcW w:type="dxa" w:w="1134"/>
            <w:shd w:val="clear" w:color="auto" w:fill="17324D"/>
          </w:tcPr>
          <w:p>
            <w:pPr>
              <w:spacing w:after="0" w:line="240" w:lineRule="auto"/>
            </w:pPr>
            <w:r/>
            <w:r>
              <w:rPr>
                <w:b/>
                <w:color w:val="FFFFFF"/>
                <w:sz w:val="17"/>
              </w:rPr>
              <w:t>Month</w:t>
            </w:r>
          </w:p>
        </w:tc>
        <w:tc>
          <w:tcPr>
            <w:tcW w:type="dxa" w:w="2268"/>
            <w:shd w:val="clear" w:color="auto" w:fill="17324D"/>
          </w:tcPr>
          <w:p>
            <w:pPr>
              <w:spacing w:after="0" w:line="240" w:lineRule="auto"/>
              <w:jc w:val="right"/>
            </w:pPr>
            <w:r/>
            <w:r>
              <w:rPr>
                <w:b/>
                <w:color w:val="FFFFFF"/>
                <w:sz w:val="17"/>
              </w:rPr>
              <w:t>Net cash flow before payout (EGP m)</w:t>
            </w:r>
          </w:p>
        </w:tc>
        <w:tc>
          <w:tcPr>
            <w:tcW w:type="dxa" w:w="1701"/>
            <w:shd w:val="clear" w:color="auto" w:fill="17324D"/>
          </w:tcPr>
          <w:p>
            <w:pPr>
              <w:spacing w:after="0" w:line="240" w:lineRule="auto"/>
              <w:jc w:val="right"/>
            </w:pPr>
            <w:r/>
            <w:r>
              <w:rPr>
                <w:b/>
                <w:color w:val="FFFFFF"/>
                <w:sz w:val="17"/>
              </w:rPr>
              <w:t>Instalment (EGP m)</w:t>
            </w:r>
          </w:p>
        </w:tc>
        <w:tc>
          <w:tcPr>
            <w:tcW w:type="dxa" w:w="2098"/>
            <w:shd w:val="clear" w:color="auto" w:fill="17324D"/>
          </w:tcPr>
          <w:p>
            <w:pPr>
              <w:spacing w:after="0" w:line="240" w:lineRule="auto"/>
              <w:jc w:val="right"/>
            </w:pPr>
            <w:r/>
            <w:r>
              <w:rPr>
                <w:b/>
                <w:color w:val="FFFFFF"/>
                <w:sz w:val="17"/>
              </w:rPr>
              <w:t>Coverage: net cash flow / instalment</w:t>
            </w:r>
          </w:p>
        </w:tc>
        <w:tc>
          <w:tcPr>
            <w:tcW w:type="dxa" w:w="2041"/>
            <w:shd w:val="clear" w:color="auto" w:fill="17324D"/>
          </w:tcPr>
          <w:p>
            <w:pPr>
              <w:spacing w:after="0" w:line="240" w:lineRule="auto"/>
              <w:jc w:val="right"/>
            </w:pPr>
            <w:r/>
            <w:r>
              <w:rPr>
                <w:b/>
                <w:color w:val="FFFFFF"/>
                <w:sz w:val="17"/>
              </w:rPr>
              <w:t>Coverage: cash available / instalment</w:t>
            </w:r>
          </w:p>
        </w:tc>
      </w:tr>
      <w:tr>
        <w:trPr>
          <w:cantSplit/>
        </w:trPr>
        <w:tc>
          <w:tcPr>
            <w:tcW w:type="dxa" w:w="1134"/>
          </w:tcPr>
          <w:p>
            <w:pPr>
              <w:spacing w:after="0" w:line="240" w:lineRule="auto"/>
            </w:pPr>
            <w:r/>
            <w:r>
              <w:rPr>
                <w:sz w:val="17"/>
              </w:rPr>
              <w:t>27</w:t>
            </w:r>
          </w:p>
        </w:tc>
        <w:tc>
          <w:tcPr>
            <w:tcW w:type="dxa" w:w="2268"/>
          </w:tcPr>
          <w:p>
            <w:pPr>
              <w:spacing w:after="0" w:line="240" w:lineRule="auto"/>
              <w:jc w:val="right"/>
            </w:pPr>
            <w:r/>
            <w:r>
              <w:rPr>
                <w:sz w:val="17"/>
              </w:rPr>
              <w:t>45.0</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3.8x</w:t>
            </w:r>
          </w:p>
        </w:tc>
        <w:tc>
          <w:tcPr>
            <w:tcW w:type="dxa" w:w="2041"/>
          </w:tcPr>
          <w:p>
            <w:pPr>
              <w:spacing w:after="0" w:line="240" w:lineRule="auto"/>
              <w:jc w:val="right"/>
            </w:pPr>
            <w:r/>
            <w:r>
              <w:rPr>
                <w:sz w:val="17"/>
              </w:rPr>
              <w:t>2.5x</w:t>
            </w:r>
          </w:p>
        </w:tc>
      </w:tr>
      <w:tr>
        <w:trPr>
          <w:cantSplit/>
        </w:trPr>
        <w:tc>
          <w:tcPr>
            <w:tcW w:type="dxa" w:w="1134"/>
            <w:shd w:val="clear" w:color="auto" w:fill="F2F4F7"/>
          </w:tcPr>
          <w:p>
            <w:pPr>
              <w:spacing w:after="0" w:line="240" w:lineRule="auto"/>
            </w:pPr>
            <w:r/>
            <w:r>
              <w:rPr>
                <w:sz w:val="17"/>
              </w:rPr>
              <w:t>30</w:t>
            </w:r>
          </w:p>
        </w:tc>
        <w:tc>
          <w:tcPr>
            <w:tcW w:type="dxa" w:w="2268"/>
            <w:shd w:val="clear" w:color="auto" w:fill="F2F4F7"/>
          </w:tcPr>
          <w:p>
            <w:pPr>
              <w:spacing w:after="0" w:line="240" w:lineRule="auto"/>
              <w:jc w:val="right"/>
            </w:pPr>
            <w:r/>
            <w:r>
              <w:rPr>
                <w:sz w:val="17"/>
              </w:rPr>
              <w:t>55.2</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4.6x</w:t>
            </w:r>
          </w:p>
        </w:tc>
        <w:tc>
          <w:tcPr>
            <w:tcW w:type="dxa" w:w="2041"/>
            <w:shd w:val="clear" w:color="auto" w:fill="F2F4F7"/>
          </w:tcPr>
          <w:p>
            <w:pPr>
              <w:spacing w:after="0" w:line="240" w:lineRule="auto"/>
              <w:jc w:val="right"/>
            </w:pPr>
            <w:r/>
            <w:r>
              <w:rPr>
                <w:sz w:val="17"/>
              </w:rPr>
              <w:t>6.1x</w:t>
            </w:r>
          </w:p>
        </w:tc>
      </w:tr>
      <w:tr>
        <w:trPr>
          <w:cantSplit/>
        </w:trPr>
        <w:tc>
          <w:tcPr>
            <w:tcW w:type="dxa" w:w="1134"/>
          </w:tcPr>
          <w:p>
            <w:pPr>
              <w:spacing w:after="0" w:line="240" w:lineRule="auto"/>
            </w:pPr>
            <w:r/>
            <w:r>
              <w:rPr>
                <w:sz w:val="17"/>
              </w:rPr>
              <w:t>33</w:t>
            </w:r>
          </w:p>
        </w:tc>
        <w:tc>
          <w:tcPr>
            <w:tcW w:type="dxa" w:w="2268"/>
          </w:tcPr>
          <w:p>
            <w:pPr>
              <w:spacing w:after="0" w:line="240" w:lineRule="auto"/>
              <w:jc w:val="right"/>
            </w:pPr>
            <w:r/>
            <w:r>
              <w:rPr>
                <w:sz w:val="17"/>
              </w:rPr>
              <w:t>481.3</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40.2x</w:t>
            </w:r>
          </w:p>
        </w:tc>
        <w:tc>
          <w:tcPr>
            <w:tcW w:type="dxa" w:w="2041"/>
          </w:tcPr>
          <w:p>
            <w:pPr>
              <w:spacing w:after="0" w:line="240" w:lineRule="auto"/>
              <w:jc w:val="right"/>
            </w:pPr>
            <w:r/>
            <w:r>
              <w:rPr>
                <w:sz w:val="17"/>
              </w:rPr>
              <w:t>45.3x</w:t>
            </w:r>
          </w:p>
        </w:tc>
      </w:tr>
      <w:tr>
        <w:trPr>
          <w:cantSplit/>
        </w:trPr>
        <w:tc>
          <w:tcPr>
            <w:tcW w:type="dxa" w:w="1134"/>
            <w:shd w:val="clear" w:color="auto" w:fill="F2F4F7"/>
          </w:tcPr>
          <w:p>
            <w:pPr>
              <w:spacing w:after="0" w:line="240" w:lineRule="auto"/>
            </w:pPr>
            <w:r/>
            <w:r>
              <w:rPr>
                <w:sz w:val="17"/>
              </w:rPr>
              <w:t>36</w:t>
            </w:r>
          </w:p>
        </w:tc>
        <w:tc>
          <w:tcPr>
            <w:tcW w:type="dxa" w:w="2268"/>
            <w:shd w:val="clear" w:color="auto" w:fill="F2F4F7"/>
          </w:tcPr>
          <w:p>
            <w:pPr>
              <w:spacing w:after="0" w:line="240" w:lineRule="auto"/>
              <w:jc w:val="right"/>
            </w:pPr>
            <w:r/>
            <w:r>
              <w:rPr>
                <w:sz w:val="17"/>
              </w:rPr>
              <w:t>-30.2</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-2.5x</w:t>
            </w:r>
          </w:p>
        </w:tc>
        <w:tc>
          <w:tcPr>
            <w:tcW w:type="dxa" w:w="2041"/>
            <w:shd w:val="clear" w:color="auto" w:fill="F2F4F7"/>
          </w:tcPr>
          <w:p>
            <w:pPr>
              <w:spacing w:after="0" w:line="240" w:lineRule="auto"/>
              <w:jc w:val="right"/>
            </w:pPr>
            <w:r/>
            <w:r>
              <w:rPr>
                <w:sz w:val="17"/>
              </w:rPr>
              <w:t>41.7x</w:t>
            </w:r>
          </w:p>
        </w:tc>
      </w:tr>
      <w:tr>
        <w:trPr>
          <w:cantSplit/>
        </w:trPr>
        <w:tc>
          <w:tcPr>
            <w:tcW w:type="dxa" w:w="1134"/>
          </w:tcPr>
          <w:p>
            <w:pPr>
              <w:spacing w:after="0" w:line="240" w:lineRule="auto"/>
            </w:pPr>
            <w:r/>
            <w:r>
              <w:rPr>
                <w:sz w:val="17"/>
              </w:rPr>
              <w:t>39</w:t>
            </w:r>
          </w:p>
        </w:tc>
        <w:tc>
          <w:tcPr>
            <w:tcW w:type="dxa" w:w="2268"/>
          </w:tcPr>
          <w:p>
            <w:pPr>
              <w:spacing w:after="0" w:line="240" w:lineRule="auto"/>
              <w:jc w:val="right"/>
            </w:pPr>
            <w:r/>
            <w:r>
              <w:rPr>
                <w:sz w:val="17"/>
              </w:rPr>
              <w:t>-129.2</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-10.8x</w:t>
            </w:r>
          </w:p>
        </w:tc>
        <w:tc>
          <w:tcPr>
            <w:tcW w:type="dxa" w:w="2041"/>
          </w:tcPr>
          <w:p>
            <w:pPr>
              <w:spacing w:after="0" w:line="240" w:lineRule="auto"/>
              <w:jc w:val="right"/>
            </w:pPr>
            <w:r/>
            <w:r>
              <w:rPr>
                <w:sz w:val="17"/>
              </w:rPr>
              <w:t>29.9x</w:t>
            </w:r>
          </w:p>
        </w:tc>
      </w:tr>
      <w:tr>
        <w:trPr>
          <w:cantSplit/>
        </w:trPr>
        <w:tc>
          <w:tcPr>
            <w:tcW w:type="dxa" w:w="1134"/>
            <w:shd w:val="clear" w:color="auto" w:fill="F2F4F7"/>
          </w:tcPr>
          <w:p>
            <w:pPr>
              <w:spacing w:after="0" w:line="240" w:lineRule="auto"/>
            </w:pPr>
            <w:r/>
            <w:r>
              <w:rPr>
                <w:sz w:val="17"/>
              </w:rPr>
              <w:t>42</w:t>
            </w:r>
          </w:p>
        </w:tc>
        <w:tc>
          <w:tcPr>
            <w:tcW w:type="dxa" w:w="2268"/>
            <w:shd w:val="clear" w:color="auto" w:fill="F2F4F7"/>
          </w:tcPr>
          <w:p>
            <w:pPr>
              <w:spacing w:after="0" w:line="240" w:lineRule="auto"/>
              <w:jc w:val="right"/>
            </w:pPr>
            <w:r/>
            <w:r>
              <w:rPr>
                <w:sz w:val="17"/>
              </w:rPr>
              <w:t>-98.4</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-8.2x</w:t>
            </w:r>
          </w:p>
        </w:tc>
        <w:tc>
          <w:tcPr>
            <w:tcW w:type="dxa" w:w="2041"/>
            <w:shd w:val="clear" w:color="auto" w:fill="F2F4F7"/>
          </w:tcPr>
          <w:p>
            <w:pPr>
              <w:spacing w:after="0" w:line="240" w:lineRule="auto"/>
              <w:jc w:val="right"/>
            </w:pPr>
            <w:r/>
            <w:r>
              <w:rPr>
                <w:sz w:val="17"/>
              </w:rPr>
              <w:t>20.7x</w:t>
            </w:r>
          </w:p>
        </w:tc>
      </w:tr>
      <w:tr>
        <w:trPr>
          <w:cantSplit/>
        </w:trPr>
        <w:tc>
          <w:tcPr>
            <w:tcW w:type="dxa" w:w="1134"/>
          </w:tcPr>
          <w:p>
            <w:pPr>
              <w:spacing w:after="0" w:line="240" w:lineRule="auto"/>
            </w:pPr>
            <w:r/>
            <w:r>
              <w:rPr>
                <w:sz w:val="17"/>
              </w:rPr>
              <w:t>45</w:t>
            </w:r>
          </w:p>
        </w:tc>
        <w:tc>
          <w:tcPr>
            <w:tcW w:type="dxa" w:w="2268"/>
          </w:tcPr>
          <w:p>
            <w:pPr>
              <w:spacing w:after="0" w:line="240" w:lineRule="auto"/>
              <w:jc w:val="right"/>
            </w:pPr>
            <w:r/>
            <w:r>
              <w:rPr>
                <w:sz w:val="17"/>
              </w:rPr>
              <w:t>36.8</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3.1x</w:t>
            </w:r>
          </w:p>
        </w:tc>
        <w:tc>
          <w:tcPr>
            <w:tcW w:type="dxa" w:w="2041"/>
          </w:tcPr>
          <w:p>
            <w:pPr>
              <w:spacing w:after="0" w:line="240" w:lineRule="auto"/>
              <w:jc w:val="right"/>
            </w:pPr>
            <w:r/>
            <w:r>
              <w:rPr>
                <w:sz w:val="17"/>
              </w:rPr>
              <w:t>22.8x</w:t>
            </w:r>
          </w:p>
        </w:tc>
      </w:tr>
      <w:tr>
        <w:trPr>
          <w:cantSplit/>
        </w:trPr>
        <w:tc>
          <w:tcPr>
            <w:tcW w:type="dxa" w:w="1134"/>
            <w:shd w:val="clear" w:color="auto" w:fill="F2F4F7"/>
          </w:tcPr>
          <w:p>
            <w:pPr>
              <w:spacing w:after="0" w:line="240" w:lineRule="auto"/>
            </w:pPr>
            <w:r/>
            <w:r>
              <w:rPr>
                <w:sz w:val="17"/>
              </w:rPr>
              <w:t>48</w:t>
            </w:r>
          </w:p>
        </w:tc>
        <w:tc>
          <w:tcPr>
            <w:tcW w:type="dxa" w:w="2268"/>
            <w:shd w:val="clear" w:color="auto" w:fill="F2F4F7"/>
          </w:tcPr>
          <w:p>
            <w:pPr>
              <w:spacing w:after="0" w:line="240" w:lineRule="auto"/>
              <w:jc w:val="right"/>
            </w:pPr>
            <w:r/>
            <w:r>
              <w:rPr>
                <w:sz w:val="17"/>
              </w:rPr>
              <w:t>35.0</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2.9x</w:t>
            </w:r>
          </w:p>
        </w:tc>
        <w:tc>
          <w:tcPr>
            <w:tcW w:type="dxa" w:w="2041"/>
            <w:shd w:val="clear" w:color="auto" w:fill="F2F4F7"/>
          </w:tcPr>
          <w:p>
            <w:pPr>
              <w:spacing w:after="0" w:line="240" w:lineRule="auto"/>
              <w:jc w:val="right"/>
            </w:pPr>
            <w:r/>
            <w:r>
              <w:rPr>
                <w:sz w:val="17"/>
              </w:rPr>
              <w:t>24.7x</w:t>
            </w:r>
          </w:p>
        </w:tc>
      </w:tr>
      <w:tr>
        <w:trPr>
          <w:cantSplit/>
        </w:trPr>
        <w:tc>
          <w:tcPr>
            <w:tcW w:type="dxa" w:w="1134"/>
          </w:tcPr>
          <w:p>
            <w:pPr>
              <w:spacing w:after="0" w:line="240" w:lineRule="auto"/>
            </w:pPr>
            <w:r/>
            <w:r>
              <w:rPr>
                <w:sz w:val="17"/>
              </w:rPr>
              <w:t>51</w:t>
            </w:r>
          </w:p>
        </w:tc>
        <w:tc>
          <w:tcPr>
            <w:tcW w:type="dxa" w:w="2268"/>
          </w:tcPr>
          <w:p>
            <w:pPr>
              <w:spacing w:after="0" w:line="240" w:lineRule="auto"/>
              <w:jc w:val="right"/>
            </w:pPr>
            <w:r/>
            <w:r>
              <w:rPr>
                <w:sz w:val="17"/>
              </w:rPr>
              <w:t>54.8</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4.6x</w:t>
            </w:r>
          </w:p>
        </w:tc>
        <w:tc>
          <w:tcPr>
            <w:tcW w:type="dxa" w:w="2041"/>
          </w:tcPr>
          <w:p>
            <w:pPr>
              <w:spacing w:after="0" w:line="240" w:lineRule="auto"/>
              <w:jc w:val="right"/>
            </w:pPr>
            <w:r/>
            <w:r>
              <w:rPr>
                <w:sz w:val="17"/>
              </w:rPr>
              <w:t>28.3x</w:t>
            </w:r>
          </w:p>
        </w:tc>
      </w:tr>
      <w:tr>
        <w:trPr>
          <w:cantSplit/>
        </w:trPr>
        <w:tc>
          <w:tcPr>
            <w:tcW w:type="dxa" w:w="1134"/>
            <w:shd w:val="clear" w:color="auto" w:fill="F2F4F7"/>
          </w:tcPr>
          <w:p>
            <w:pPr>
              <w:spacing w:after="0" w:line="240" w:lineRule="auto"/>
            </w:pPr>
            <w:r/>
            <w:r>
              <w:rPr>
                <w:sz w:val="17"/>
              </w:rPr>
              <w:t>54</w:t>
            </w:r>
          </w:p>
        </w:tc>
        <w:tc>
          <w:tcPr>
            <w:tcW w:type="dxa" w:w="2268"/>
            <w:shd w:val="clear" w:color="auto" w:fill="F2F4F7"/>
          </w:tcPr>
          <w:p>
            <w:pPr>
              <w:spacing w:after="0" w:line="240" w:lineRule="auto"/>
              <w:jc w:val="right"/>
            </w:pPr>
            <w:r/>
            <w:r>
              <w:rPr>
                <w:sz w:val="17"/>
              </w:rPr>
              <w:t>47.7</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4.0x</w:t>
            </w:r>
          </w:p>
        </w:tc>
        <w:tc>
          <w:tcPr>
            <w:tcW w:type="dxa" w:w="2041"/>
            <w:shd w:val="clear" w:color="auto" w:fill="F2F4F7"/>
          </w:tcPr>
          <w:p>
            <w:pPr>
              <w:spacing w:after="0" w:line="240" w:lineRule="auto"/>
              <w:jc w:val="right"/>
            </w:pPr>
            <w:r/>
            <w:r>
              <w:rPr>
                <w:sz w:val="17"/>
              </w:rPr>
              <w:t>31.3x</w:t>
            </w:r>
          </w:p>
        </w:tc>
      </w:tr>
      <w:tr>
        <w:trPr>
          <w:cantSplit/>
        </w:trPr>
        <w:tc>
          <w:tcPr>
            <w:tcW w:type="dxa" w:w="1134"/>
          </w:tcPr>
          <w:p>
            <w:pPr>
              <w:spacing w:after="0" w:line="240" w:lineRule="auto"/>
            </w:pPr>
            <w:r/>
            <w:r>
              <w:rPr>
                <w:sz w:val="17"/>
              </w:rPr>
              <w:t>57</w:t>
            </w:r>
          </w:p>
        </w:tc>
        <w:tc>
          <w:tcPr>
            <w:tcW w:type="dxa" w:w="2268"/>
          </w:tcPr>
          <w:p>
            <w:pPr>
              <w:spacing w:after="0" w:line="240" w:lineRule="auto"/>
              <w:jc w:val="right"/>
            </w:pPr>
            <w:r/>
            <w:r>
              <w:rPr>
                <w:sz w:val="17"/>
              </w:rPr>
              <w:t>38.8</w:t>
            </w:r>
          </w:p>
        </w:tc>
        <w:tc>
          <w:tcPr>
            <w:tcW w:type="dxa" w:w="1701"/>
          </w:tcPr>
          <w:p>
            <w:pPr>
              <w:spacing w:after="0" w:line="240" w:lineRule="auto"/>
              <w:jc w:val="right"/>
            </w:pPr>
            <w:r/>
            <w:r>
              <w:rPr>
                <w:sz w:val="17"/>
              </w:rPr>
              <w:t>11.98</w:t>
            </w:r>
          </w:p>
        </w:tc>
        <w:tc>
          <w:tcPr>
            <w:tcW w:type="dxa" w:w="2098"/>
          </w:tcPr>
          <w:p>
            <w:pPr>
              <w:spacing w:after="0" w:line="240" w:lineRule="auto"/>
              <w:jc w:val="right"/>
            </w:pPr>
            <w:r/>
            <w:r>
              <w:rPr>
                <w:sz w:val="17"/>
              </w:rPr>
              <w:t>3.2x</w:t>
            </w:r>
          </w:p>
        </w:tc>
        <w:tc>
          <w:tcPr>
            <w:tcW w:type="dxa" w:w="2041"/>
          </w:tcPr>
          <w:p>
            <w:pPr>
              <w:spacing w:after="0" w:line="240" w:lineRule="auto"/>
              <w:jc w:val="right"/>
            </w:pPr>
            <w:r/>
            <w:r>
              <w:rPr>
                <w:sz w:val="17"/>
              </w:rPr>
              <w:t>33.5x</w:t>
            </w:r>
          </w:p>
        </w:tc>
      </w:tr>
      <w:tr>
        <w:trPr>
          <w:cantSplit/>
        </w:trPr>
        <w:tc>
          <w:tcPr>
            <w:tcW w:type="dxa" w:w="1134"/>
            <w:shd w:val="clear" w:color="auto" w:fill="F2F4F7"/>
          </w:tcPr>
          <w:p>
            <w:pPr>
              <w:spacing w:after="0" w:line="240" w:lineRule="auto"/>
            </w:pPr>
            <w:r/>
            <w:r>
              <w:rPr>
                <w:sz w:val="17"/>
              </w:rPr>
              <w:t>60</w:t>
            </w:r>
          </w:p>
        </w:tc>
        <w:tc>
          <w:tcPr>
            <w:tcW w:type="dxa" w:w="2268"/>
            <w:shd w:val="clear" w:color="auto" w:fill="F2F4F7"/>
          </w:tcPr>
          <w:p>
            <w:pPr>
              <w:spacing w:after="0" w:line="240" w:lineRule="auto"/>
              <w:jc w:val="right"/>
            </w:pPr>
            <w:r/>
            <w:r>
              <w:rPr>
                <w:sz w:val="17"/>
              </w:rPr>
              <w:t>28.5</w:t>
            </w:r>
          </w:p>
        </w:tc>
        <w:tc>
          <w:tcPr>
            <w:tcW w:type="dxa" w:w="1701"/>
            <w:shd w:val="clear" w:color="auto" w:fill="F2F4F7"/>
          </w:tcPr>
          <w:p>
            <w:pPr>
              <w:spacing w:after="0" w:line="240" w:lineRule="auto"/>
              <w:jc w:val="right"/>
            </w:pPr>
            <w:r/>
            <w:r>
              <w:rPr>
                <w:sz w:val="17"/>
              </w:rPr>
              <w:t>11.98</w:t>
            </w:r>
          </w:p>
        </w:tc>
        <w:tc>
          <w:tcPr>
            <w:tcW w:type="dxa" w:w="2098"/>
            <w:shd w:val="clear" w:color="auto" w:fill="F2F4F7"/>
          </w:tcPr>
          <w:p>
            <w:pPr>
              <w:spacing w:after="0" w:line="240" w:lineRule="auto"/>
              <w:jc w:val="right"/>
            </w:pPr>
            <w:r/>
            <w:r>
              <w:rPr>
                <w:sz w:val="17"/>
              </w:rPr>
              <w:t>2.4x</w:t>
            </w:r>
          </w:p>
        </w:tc>
        <w:tc>
          <w:tcPr>
            <w:tcW w:type="dxa" w:w="2041"/>
            <w:shd w:val="clear" w:color="auto" w:fill="F2F4F7"/>
          </w:tcPr>
          <w:p>
            <w:pPr>
              <w:spacing w:after="0" w:line="240" w:lineRule="auto"/>
              <w:jc w:val="right"/>
            </w:pPr>
            <w:r/>
            <w:r>
              <w:rPr>
                <w:sz w:val="17"/>
              </w:rPr>
              <w:t>34.9x</w:t>
            </w:r>
          </w:p>
        </w:tc>
      </w:tr>
    </w:tbl>
    <w:p>
      <w:pPr>
        <w:spacing w:after="80"/>
      </w:pPr>
    </w:p>
    <w:p>
      <w:r>
        <w:rPr>
          <w:b w:val="0"/>
          <w:i w:val="0"/>
        </w:rPr>
        <w:t>Coverage on net cash flow alone is below the 1.5x threshold in some quarters of each project, because instalments fall in the construction peak and in the quarters after handover when collections are thin. "Cash available" adds pooled project cash, including the ticket and earlier collections. Because nothing is ring-fenced, pooled cash is available to the project company but is also exposed to construction spending and to Jalour's own funding capacity. The investor should read the net-cash-flow measure as the stricter test.</w:t>
      </w:r>
    </w:p>
    <w:p>
      <w:pPr>
        <w:pStyle w:val="Heading2"/>
      </w:pPr>
      <w:r>
        <w:t>13.4 Alternatives considered</w:t>
      </w:r>
    </w:p>
    <w:p>
      <w:pPr>
        <w:keepNext/>
        <w:spacing w:after="60"/>
      </w:pPr>
      <w:r>
        <w:rPr>
          <w:b/>
          <w:color w:val="17324D"/>
          <w:sz w:val="19"/>
        </w:rPr>
        <w:t>Table 32: Option B structures compared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855"/>
            <w:shd w:val="clear" w:color="auto" w:fill="17324D"/>
          </w:tcPr>
          <w:p>
            <w:pPr>
              <w:spacing w:after="0" w:line="240" w:lineRule="auto"/>
            </w:pPr>
            <w:r/>
            <w:r>
              <w:rPr>
                <w:b/>
                <w:color w:val="FFFFFF"/>
                <w:sz w:val="18"/>
              </w:rPr>
              <w:t>Structure (combined)</w:t>
            </w:r>
          </w:p>
        </w:tc>
        <w:tc>
          <w:tcPr>
            <w:tcW w:type="dxa" w:w="1701"/>
            <w:shd w:val="clear" w:color="auto" w:fill="17324D"/>
          </w:tcPr>
          <w:p>
            <w:pPr>
              <w:spacing w:after="0" w:line="240" w:lineRule="auto"/>
              <w:jc w:val="right"/>
            </w:pPr>
            <w:r/>
            <w:r>
              <w:rPr>
                <w:b/>
                <w:color w:val="FFFFFF"/>
                <w:sz w:val="18"/>
              </w:rPr>
              <w:t>Investor IRR (base)</w:t>
            </w:r>
          </w:p>
        </w:tc>
        <w:tc>
          <w:tcPr>
            <w:tcW w:type="dxa" w:w="1871"/>
            <w:shd w:val="clear" w:color="auto" w:fill="17324D"/>
          </w:tcPr>
          <w:p>
            <w:pPr>
              <w:spacing w:after="0" w:line="240" w:lineRule="auto"/>
              <w:jc w:val="right"/>
            </w:pPr>
            <w:r/>
            <w:r>
              <w:rPr>
                <w:b/>
                <w:color w:val="FFFFFF"/>
                <w:sz w:val="18"/>
              </w:rPr>
              <w:t>Lowest pooled cash, downside (EGP m)</w:t>
            </w:r>
          </w:p>
        </w:tc>
        <w:tc>
          <w:tcPr>
            <w:tcW w:type="dxa" w:w="1814"/>
            <w:shd w:val="clear" w:color="auto" w:fill="17324D"/>
          </w:tcPr>
          <w:p>
            <w:pPr>
              <w:spacing w:after="0" w:line="240" w:lineRule="auto"/>
              <w:jc w:val="right"/>
            </w:pPr>
            <w:r/>
            <w:r>
              <w:rPr>
                <w:b/>
                <w:color w:val="FFFFFF"/>
                <w:sz w:val="18"/>
              </w:rPr>
              <w:t>Lowest pooled cash, handover stress (EGP m)</w:t>
            </w:r>
          </w:p>
        </w:tc>
      </w:tr>
      <w:tr>
        <w:trPr>
          <w:cantSplit/>
        </w:trPr>
        <w:tc>
          <w:tcPr>
            <w:tcW w:type="dxa" w:w="3855"/>
          </w:tcPr>
          <w:p>
            <w:pPr>
              <w:spacing w:after="0" w:line="240" w:lineRule="auto"/>
            </w:pPr>
            <w:r/>
            <w:r>
              <w:rPr>
                <w:sz w:val="18"/>
              </w:rPr>
              <w:t>S1 Fixed multiple, equal instalments (recommended)</w:t>
            </w:r>
          </w:p>
        </w:tc>
        <w:tc>
          <w:tcPr>
            <w:tcW w:type="dxa" w:w="1701"/>
          </w:tcPr>
          <w:p>
            <w:pPr>
              <w:spacing w:after="0" w:line="240" w:lineRule="auto"/>
              <w:jc w:val="right"/>
            </w:pPr>
            <w:r/>
            <w:r>
              <w:rPr>
                <w:sz w:val="18"/>
              </w:rPr>
              <w:t>26.5%</w:t>
            </w:r>
          </w:p>
        </w:tc>
        <w:tc>
          <w:tcPr>
            <w:tcW w:type="dxa" w:w="1871"/>
          </w:tcPr>
          <w:p>
            <w:pPr>
              <w:spacing w:after="0" w:line="240" w:lineRule="auto"/>
              <w:jc w:val="right"/>
            </w:pPr>
            <w:r/>
            <w:r>
              <w:rPr>
                <w:sz w:val="18"/>
              </w:rPr>
              <w:t>-1,144</w:t>
            </w:r>
          </w:p>
        </w:tc>
        <w:tc>
          <w:tcPr>
            <w:tcW w:type="dxa" w:w="1814"/>
          </w:tcPr>
          <w:p>
            <w:pPr>
              <w:spacing w:after="0" w:line="240" w:lineRule="auto"/>
              <w:jc w:val="right"/>
            </w:pPr>
            <w:r/>
            <w:r>
              <w:rPr>
                <w:sz w:val="18"/>
              </w:rPr>
              <w:t>-301</w:t>
            </w:r>
          </w:p>
        </w:tc>
      </w:tr>
      <w:tr>
        <w:trPr>
          <w:cantSplit/>
        </w:trPr>
        <w:tc>
          <w:tcPr>
            <w:tcW w:type="dxa" w:w="3855"/>
            <w:shd w:val="clear" w:color="auto" w:fill="F2F4F7"/>
          </w:tcPr>
          <w:p>
            <w:pPr>
              <w:spacing w:after="0" w:line="240" w:lineRule="auto"/>
            </w:pPr>
            <w:r/>
            <w:r>
              <w:rPr>
                <w:sz w:val="18"/>
              </w:rPr>
              <w:t>S2 Share of collections, with floor and cap</w:t>
            </w:r>
          </w:p>
        </w:tc>
        <w:tc>
          <w:tcPr>
            <w:tcW w:type="dxa" w:w="1701"/>
            <w:shd w:val="clear" w:color="auto" w:fill="F2F4F7"/>
          </w:tcPr>
          <w:p>
            <w:pPr>
              <w:spacing w:after="0" w:line="240" w:lineRule="auto"/>
              <w:jc w:val="right"/>
            </w:pPr>
            <w:r/>
            <w:r>
              <w:rPr>
                <w:sz w:val="18"/>
              </w:rPr>
              <w:t>28.9%</w:t>
            </w:r>
          </w:p>
        </w:tc>
        <w:tc>
          <w:tcPr>
            <w:tcW w:type="dxa" w:w="1871"/>
            <w:shd w:val="clear" w:color="auto" w:fill="F2F4F7"/>
          </w:tcPr>
          <w:p>
            <w:pPr>
              <w:spacing w:after="0" w:line="240" w:lineRule="auto"/>
              <w:jc w:val="right"/>
            </w:pPr>
            <w:r/>
            <w:r>
              <w:rPr>
                <w:sz w:val="18"/>
              </w:rPr>
              <w:t>-1,142</w:t>
            </w:r>
          </w:p>
        </w:tc>
        <w:tc>
          <w:tcPr>
            <w:tcW w:type="dxa" w:w="1814"/>
            <w:shd w:val="clear" w:color="auto" w:fill="F2F4F7"/>
          </w:tcPr>
          <w:p>
            <w:pPr>
              <w:spacing w:after="0" w:line="240" w:lineRule="auto"/>
              <w:jc w:val="right"/>
            </w:pPr>
            <w:r/>
            <w:r>
              <w:rPr>
                <w:sz w:val="18"/>
              </w:rPr>
              <w:t>-328</w:t>
            </w:r>
          </w:p>
        </w:tc>
      </w:tr>
      <w:tr>
        <w:trPr>
          <w:cantSplit/>
        </w:trPr>
        <w:tc>
          <w:tcPr>
            <w:tcW w:type="dxa" w:w="3855"/>
          </w:tcPr>
          <w:p>
            <w:pPr>
              <w:spacing w:after="0" w:line="240" w:lineRule="auto"/>
            </w:pPr>
            <w:r/>
            <w:r>
              <w:rPr>
                <w:sz w:val="18"/>
              </w:rPr>
              <w:t>S3 Fixed 1.8x plus share of collections, cap 2.8x</w:t>
            </w:r>
          </w:p>
        </w:tc>
        <w:tc>
          <w:tcPr>
            <w:tcW w:type="dxa" w:w="1701"/>
          </w:tcPr>
          <w:p>
            <w:pPr>
              <w:spacing w:after="0" w:line="240" w:lineRule="auto"/>
              <w:jc w:val="right"/>
            </w:pPr>
            <w:r/>
            <w:r>
              <w:rPr>
                <w:sz w:val="18"/>
              </w:rPr>
              <w:t>27.6%</w:t>
            </w:r>
          </w:p>
        </w:tc>
        <w:tc>
          <w:tcPr>
            <w:tcW w:type="dxa" w:w="1871"/>
          </w:tcPr>
          <w:p>
            <w:pPr>
              <w:spacing w:after="0" w:line="240" w:lineRule="auto"/>
              <w:jc w:val="right"/>
            </w:pPr>
            <w:r/>
            <w:r>
              <w:rPr>
                <w:sz w:val="18"/>
              </w:rPr>
              <w:t>-1,139</w:t>
            </w:r>
          </w:p>
        </w:tc>
        <w:tc>
          <w:tcPr>
            <w:tcW w:type="dxa" w:w="1814"/>
          </w:tcPr>
          <w:p>
            <w:pPr>
              <w:spacing w:after="0" w:line="240" w:lineRule="auto"/>
              <w:jc w:val="right"/>
            </w:pPr>
            <w:r/>
            <w:r>
              <w:rPr>
                <w:sz w:val="18"/>
              </w:rPr>
              <w:t>-298</w:t>
            </w:r>
          </w:p>
        </w:tc>
      </w:tr>
    </w:tbl>
    <w:p>
      <w:pPr>
        <w:spacing w:after="80"/>
      </w:pPr>
    </w:p>
    <w:p>
      <w:r>
        <w:rPr>
          <w:b w:val="0"/>
          <w:i w:val="0"/>
        </w:rPr>
        <w:t>S2 and S3 front-load payments into the large delivery-payment quarters and so show a higher IRR, but they pay by taking a share of collections that are themselves needed for construction, and they do not improve coverage in the construction peak. S1 is recommended for simplicity and certainty of the schedule. None of the three meets a 1.5x net-cash-flow test in every quarter; this is disclosed rather than cured by reducing the return, and it is the reason for Jalour's funding undertaking and the payment priority covenant.</w:t>
      </w:r>
    </w:p>
    <w:p>
      <w:pPr>
        <w:pStyle w:val="Heading2"/>
      </w:pPr>
      <w:r>
        <w:t>13.5 Project sensitivities</w:t>
      </w:r>
    </w:p>
    <w:p>
      <w:pPr>
        <w:keepNext/>
        <w:spacing w:after="60"/>
      </w:pPr>
      <w:r>
        <w:rPr>
          <w:b/>
          <w:color w:val="17324D"/>
          <w:sz w:val="19"/>
        </w:rPr>
        <w:t>Table 33: Green Square: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7"/>
              </w:rPr>
              <w:t>Case</w:t>
            </w:r>
          </w:p>
        </w:tc>
        <w:tc>
          <w:tcPr>
            <w:tcW w:type="dxa" w:w="1928"/>
            <w:shd w:val="clear" w:color="auto" w:fill="17324D"/>
          </w:tcPr>
          <w:p>
            <w:pPr>
              <w:spacing w:after="0" w:line="240" w:lineRule="auto"/>
              <w:jc w:val="right"/>
            </w:pPr>
            <w:r/>
            <w:r>
              <w:rPr>
                <w:b/>
                <w:color w:val="FFFFFF"/>
                <w:sz w:val="17"/>
              </w:rPr>
              <w:t>Net cash flow (EGP m)</w:t>
            </w:r>
          </w:p>
        </w:tc>
        <w:tc>
          <w:tcPr>
            <w:tcW w:type="dxa" w:w="1984"/>
            <w:shd w:val="clear" w:color="auto" w:fill="17324D"/>
          </w:tcPr>
          <w:p>
            <w:pPr>
              <w:spacing w:after="0" w:line="240" w:lineRule="auto"/>
              <w:jc w:val="right"/>
            </w:pPr>
            <w:r/>
            <w:r>
              <w:rPr>
                <w:b/>
                <w:color w:val="FFFFFF"/>
                <w:sz w:val="17"/>
              </w:rPr>
              <w:t>NPV at 14% (EGP m)</w:t>
            </w:r>
          </w:p>
        </w:tc>
        <w:tc>
          <w:tcPr>
            <w:tcW w:type="dxa" w:w="1928"/>
            <w:shd w:val="clear" w:color="auto" w:fill="17324D"/>
          </w:tcPr>
          <w:p>
            <w:pPr>
              <w:spacing w:after="0" w:line="240" w:lineRule="auto"/>
              <w:jc w:val="right"/>
            </w:pPr>
            <w:r/>
            <w:r>
              <w:rPr>
                <w:b/>
                <w:color w:val="FFFFFF"/>
                <w:sz w:val="17"/>
              </w:rPr>
              <w:t>Peak shortage (EGP m)</w:t>
            </w:r>
          </w:p>
        </w:tc>
      </w:tr>
      <w:tr>
        <w:trPr>
          <w:cantSplit/>
        </w:trPr>
        <w:tc>
          <w:tcPr>
            <w:tcW w:type="dxa" w:w="3402"/>
          </w:tcPr>
          <w:p>
            <w:pPr>
              <w:spacing w:after="0" w:line="240" w:lineRule="auto"/>
            </w:pPr>
            <w:r/>
            <w:r>
              <w:rPr>
                <w:sz w:val="17"/>
              </w:rPr>
              <w:t>Base</w:t>
            </w:r>
          </w:p>
        </w:tc>
        <w:tc>
          <w:tcPr>
            <w:tcW w:type="dxa" w:w="1928"/>
          </w:tcPr>
          <w:p>
            <w:pPr>
              <w:spacing w:after="0" w:line="240" w:lineRule="auto"/>
              <w:jc w:val="right"/>
            </w:pPr>
            <w:r/>
            <w:r>
              <w:rPr>
                <w:sz w:val="17"/>
              </w:rPr>
              <w:t>375</w:t>
            </w:r>
          </w:p>
        </w:tc>
        <w:tc>
          <w:tcPr>
            <w:tcW w:type="dxa" w:w="1984"/>
          </w:tcPr>
          <w:p>
            <w:pPr>
              <w:spacing w:after="0" w:line="240" w:lineRule="auto"/>
              <w:jc w:val="right"/>
            </w:pPr>
            <w:r/>
            <w:r>
              <w:rPr>
                <w:sz w:val="17"/>
              </w:rPr>
              <w:t>230</w:t>
            </w:r>
          </w:p>
        </w:tc>
        <w:tc>
          <w:tcPr>
            <w:tcW w:type="dxa" w:w="1928"/>
          </w:tcPr>
          <w:p>
            <w:pPr>
              <w:spacing w:after="0" w:line="240" w:lineRule="auto"/>
              <w:jc w:val="right"/>
            </w:pPr>
            <w:r/>
            <w:r>
              <w:rPr>
                <w:sz w:val="17"/>
              </w:rPr>
              <w:t>102</w:t>
            </w:r>
          </w:p>
        </w:tc>
      </w:tr>
      <w:tr>
        <w:trPr>
          <w:cantSplit/>
        </w:trPr>
        <w:tc>
          <w:tcPr>
            <w:tcW w:type="dxa" w:w="3402"/>
            <w:shd w:val="clear" w:color="auto" w:fill="F2F4F7"/>
          </w:tcPr>
          <w:p>
            <w:pPr>
              <w:spacing w:after="0" w:line="240" w:lineRule="auto"/>
            </w:pPr>
            <w:r/>
            <w:r>
              <w:rPr>
                <w:sz w:val="17"/>
              </w:rPr>
              <w:t>Prices -19%</w:t>
            </w:r>
          </w:p>
        </w:tc>
        <w:tc>
          <w:tcPr>
            <w:tcW w:type="dxa" w:w="1928"/>
            <w:shd w:val="clear" w:color="auto" w:fill="F2F4F7"/>
          </w:tcPr>
          <w:p>
            <w:pPr>
              <w:spacing w:after="0" w:line="240" w:lineRule="auto"/>
              <w:jc w:val="right"/>
            </w:pPr>
            <w:r/>
            <w:r>
              <w:rPr>
                <w:sz w:val="17"/>
              </w:rPr>
              <w:t>129</w:t>
            </w:r>
          </w:p>
        </w:tc>
        <w:tc>
          <w:tcPr>
            <w:tcW w:type="dxa" w:w="1984"/>
            <w:shd w:val="clear" w:color="auto" w:fill="F2F4F7"/>
          </w:tcPr>
          <w:p>
            <w:pPr>
              <w:spacing w:after="0" w:line="240" w:lineRule="auto"/>
              <w:jc w:val="right"/>
            </w:pPr>
            <w:r/>
            <w:r>
              <w:rPr>
                <w:sz w:val="17"/>
              </w:rPr>
              <w:t>13</w:t>
            </w:r>
          </w:p>
        </w:tc>
        <w:tc>
          <w:tcPr>
            <w:tcW w:type="dxa" w:w="1928"/>
            <w:shd w:val="clear" w:color="auto" w:fill="F2F4F7"/>
          </w:tcPr>
          <w:p>
            <w:pPr>
              <w:spacing w:after="0" w:line="240" w:lineRule="auto"/>
              <w:jc w:val="right"/>
            </w:pPr>
            <w:r/>
            <w:r>
              <w:rPr>
                <w:sz w:val="17"/>
              </w:rPr>
              <w:t>184</w:t>
            </w:r>
          </w:p>
        </w:tc>
      </w:tr>
      <w:tr>
        <w:trPr>
          <w:cantSplit/>
        </w:trPr>
        <w:tc>
          <w:tcPr>
            <w:tcW w:type="dxa" w:w="3402"/>
          </w:tcPr>
          <w:p>
            <w:pPr>
              <w:spacing w:after="0" w:line="240" w:lineRule="auto"/>
            </w:pPr>
            <w:r/>
            <w:r>
              <w:rPr>
                <w:sz w:val="17"/>
              </w:rPr>
              <w:t>Prices -9%</w:t>
            </w:r>
          </w:p>
        </w:tc>
        <w:tc>
          <w:tcPr>
            <w:tcW w:type="dxa" w:w="1928"/>
          </w:tcPr>
          <w:p>
            <w:pPr>
              <w:spacing w:after="0" w:line="240" w:lineRule="auto"/>
              <w:jc w:val="right"/>
            </w:pPr>
            <w:r/>
            <w:r>
              <w:rPr>
                <w:sz w:val="17"/>
              </w:rPr>
              <w:t>258</w:t>
            </w:r>
          </w:p>
        </w:tc>
        <w:tc>
          <w:tcPr>
            <w:tcW w:type="dxa" w:w="1984"/>
          </w:tcPr>
          <w:p>
            <w:pPr>
              <w:spacing w:after="0" w:line="240" w:lineRule="auto"/>
              <w:jc w:val="right"/>
            </w:pPr>
            <w:r/>
            <w:r>
              <w:rPr>
                <w:sz w:val="17"/>
              </w:rPr>
              <w:t>124</w:t>
            </w:r>
          </w:p>
        </w:tc>
        <w:tc>
          <w:tcPr>
            <w:tcW w:type="dxa" w:w="1928"/>
          </w:tcPr>
          <w:p>
            <w:pPr>
              <w:spacing w:after="0" w:line="240" w:lineRule="auto"/>
              <w:jc w:val="right"/>
            </w:pPr>
            <w:r/>
            <w:r>
              <w:rPr>
                <w:sz w:val="17"/>
              </w:rPr>
              <w:t>114</w:t>
            </w:r>
          </w:p>
        </w:tc>
      </w:tr>
      <w:tr>
        <w:trPr>
          <w:cantSplit/>
        </w:trPr>
        <w:tc>
          <w:tcPr>
            <w:tcW w:type="dxa" w:w="3402"/>
            <w:shd w:val="clear" w:color="auto" w:fill="F2F4F7"/>
          </w:tcPr>
          <w:p>
            <w:pPr>
              <w:spacing w:after="0" w:line="240" w:lineRule="auto"/>
            </w:pPr>
            <w:r/>
            <w:r>
              <w:rPr>
                <w:sz w:val="17"/>
              </w:rPr>
              <w:t>Prices +10%</w:t>
            </w:r>
          </w:p>
        </w:tc>
        <w:tc>
          <w:tcPr>
            <w:tcW w:type="dxa" w:w="1928"/>
            <w:shd w:val="clear" w:color="auto" w:fill="F2F4F7"/>
          </w:tcPr>
          <w:p>
            <w:pPr>
              <w:spacing w:after="0" w:line="240" w:lineRule="auto"/>
              <w:jc w:val="right"/>
            </w:pPr>
            <w:r/>
            <w:r>
              <w:rPr>
                <w:sz w:val="17"/>
              </w:rPr>
              <w:t>493</w:t>
            </w:r>
          </w:p>
        </w:tc>
        <w:tc>
          <w:tcPr>
            <w:tcW w:type="dxa" w:w="1984"/>
            <w:shd w:val="clear" w:color="auto" w:fill="F2F4F7"/>
          </w:tcPr>
          <w:p>
            <w:pPr>
              <w:spacing w:after="0" w:line="240" w:lineRule="auto"/>
              <w:jc w:val="right"/>
            </w:pPr>
            <w:r/>
            <w:r>
              <w:rPr>
                <w:sz w:val="17"/>
              </w:rPr>
              <w:t>336</w:t>
            </w:r>
          </w:p>
        </w:tc>
        <w:tc>
          <w:tcPr>
            <w:tcW w:type="dxa" w:w="1928"/>
            <w:shd w:val="clear" w:color="auto" w:fill="F2F4F7"/>
          </w:tcPr>
          <w:p>
            <w:pPr>
              <w:spacing w:after="0" w:line="240" w:lineRule="auto"/>
              <w:jc w:val="right"/>
            </w:pPr>
            <w:r/>
            <w:r>
              <w:rPr>
                <w:sz w:val="17"/>
              </w:rPr>
              <w:t>102</w:t>
            </w:r>
          </w:p>
        </w:tc>
      </w:tr>
      <w:tr>
        <w:trPr>
          <w:cantSplit/>
        </w:trPr>
        <w:tc>
          <w:tcPr>
            <w:tcW w:type="dxa" w:w="3402"/>
          </w:tcPr>
          <w:p>
            <w:pPr>
              <w:spacing w:after="0" w:line="240" w:lineRule="auto"/>
            </w:pPr>
            <w:r/>
            <w:r>
              <w:rPr>
                <w:sz w:val="17"/>
              </w:rPr>
              <w:t>Prices +19%</w:t>
            </w:r>
          </w:p>
        </w:tc>
        <w:tc>
          <w:tcPr>
            <w:tcW w:type="dxa" w:w="1928"/>
          </w:tcPr>
          <w:p>
            <w:pPr>
              <w:spacing w:after="0" w:line="240" w:lineRule="auto"/>
              <w:jc w:val="right"/>
            </w:pPr>
            <w:r/>
            <w:r>
              <w:rPr>
                <w:sz w:val="17"/>
              </w:rPr>
              <w:t>611</w:t>
            </w:r>
          </w:p>
        </w:tc>
        <w:tc>
          <w:tcPr>
            <w:tcW w:type="dxa" w:w="1984"/>
          </w:tcPr>
          <w:p>
            <w:pPr>
              <w:spacing w:after="0" w:line="240" w:lineRule="auto"/>
              <w:jc w:val="right"/>
            </w:pPr>
            <w:r/>
            <w:r>
              <w:rPr>
                <w:sz w:val="17"/>
              </w:rPr>
              <w:t>442</w:t>
            </w:r>
          </w:p>
        </w:tc>
        <w:tc>
          <w:tcPr>
            <w:tcW w:type="dxa" w:w="1928"/>
          </w:tcPr>
          <w:p>
            <w:pPr>
              <w:spacing w:after="0" w:line="240" w:lineRule="auto"/>
              <w:jc w:val="right"/>
            </w:pPr>
            <w:r/>
            <w:r>
              <w:rPr>
                <w:sz w:val="17"/>
              </w:rPr>
              <w:t>102</w:t>
            </w:r>
          </w:p>
        </w:tc>
      </w:tr>
      <w:tr>
        <w:trPr>
          <w:cantSplit/>
        </w:trPr>
        <w:tc>
          <w:tcPr>
            <w:tcW w:type="dxa" w:w="3402"/>
            <w:shd w:val="clear" w:color="auto" w:fill="F2F4F7"/>
          </w:tcPr>
          <w:p>
            <w:pPr>
              <w:spacing w:after="0" w:line="240" w:lineRule="auto"/>
            </w:pPr>
            <w:r/>
            <w:r>
              <w:rPr>
                <w:sz w:val="17"/>
              </w:rPr>
              <w:t>Sales delayed 6 months</w:t>
            </w:r>
          </w:p>
        </w:tc>
        <w:tc>
          <w:tcPr>
            <w:tcW w:type="dxa" w:w="1928"/>
            <w:shd w:val="clear" w:color="auto" w:fill="F2F4F7"/>
          </w:tcPr>
          <w:p>
            <w:pPr>
              <w:spacing w:after="0" w:line="240" w:lineRule="auto"/>
              <w:jc w:val="right"/>
            </w:pPr>
            <w:r/>
            <w:r>
              <w:rPr>
                <w:sz w:val="17"/>
              </w:rPr>
              <w:t>375</w:t>
            </w:r>
          </w:p>
        </w:tc>
        <w:tc>
          <w:tcPr>
            <w:tcW w:type="dxa" w:w="1984"/>
            <w:shd w:val="clear" w:color="auto" w:fill="F2F4F7"/>
          </w:tcPr>
          <w:p>
            <w:pPr>
              <w:spacing w:after="0" w:line="240" w:lineRule="auto"/>
              <w:jc w:val="right"/>
            </w:pPr>
            <w:r/>
            <w:r>
              <w:rPr>
                <w:sz w:val="17"/>
              </w:rPr>
              <w:t>138</w:t>
            </w:r>
          </w:p>
        </w:tc>
        <w:tc>
          <w:tcPr>
            <w:tcW w:type="dxa" w:w="1928"/>
            <w:shd w:val="clear" w:color="auto" w:fill="F2F4F7"/>
          </w:tcPr>
          <w:p>
            <w:pPr>
              <w:spacing w:after="0" w:line="240" w:lineRule="auto"/>
              <w:jc w:val="right"/>
            </w:pPr>
            <w:r/>
            <w:r>
              <w:rPr>
                <w:sz w:val="17"/>
              </w:rPr>
              <w:t>217</w:t>
            </w:r>
          </w:p>
        </w:tc>
      </w:tr>
      <w:tr>
        <w:trPr>
          <w:cantSplit/>
        </w:trPr>
        <w:tc>
          <w:tcPr>
            <w:tcW w:type="dxa" w:w="3402"/>
          </w:tcPr>
          <w:p>
            <w:pPr>
              <w:spacing w:after="0" w:line="240" w:lineRule="auto"/>
            </w:pPr>
            <w:r/>
            <w:r>
              <w:rPr>
                <w:sz w:val="17"/>
              </w:rPr>
              <w:t>Sales delayed 12 months</w:t>
            </w:r>
          </w:p>
        </w:tc>
        <w:tc>
          <w:tcPr>
            <w:tcW w:type="dxa" w:w="1928"/>
          </w:tcPr>
          <w:p>
            <w:pPr>
              <w:spacing w:after="0" w:line="240" w:lineRule="auto"/>
              <w:jc w:val="right"/>
            </w:pPr>
            <w:r/>
            <w:r>
              <w:rPr>
                <w:sz w:val="17"/>
              </w:rPr>
              <w:t>375</w:t>
            </w:r>
          </w:p>
        </w:tc>
        <w:tc>
          <w:tcPr>
            <w:tcW w:type="dxa" w:w="1984"/>
          </w:tcPr>
          <w:p>
            <w:pPr>
              <w:spacing w:after="0" w:line="240" w:lineRule="auto"/>
              <w:jc w:val="right"/>
            </w:pPr>
            <w:r/>
            <w:r>
              <w:rPr>
                <w:sz w:val="17"/>
              </w:rPr>
              <w:t>52</w:t>
            </w:r>
          </w:p>
        </w:tc>
        <w:tc>
          <w:tcPr>
            <w:tcW w:type="dxa" w:w="1928"/>
          </w:tcPr>
          <w:p>
            <w:pPr>
              <w:spacing w:after="0" w:line="240" w:lineRule="auto"/>
              <w:jc w:val="right"/>
            </w:pPr>
            <w:r/>
            <w:r>
              <w:rPr>
                <w:sz w:val="17"/>
              </w:rPr>
              <w:t>408</w:t>
            </w:r>
          </w:p>
        </w:tc>
      </w:tr>
      <w:tr>
        <w:trPr>
          <w:cantSplit/>
        </w:trPr>
        <w:tc>
          <w:tcPr>
            <w:tcW w:type="dxa" w:w="3402"/>
            <w:shd w:val="clear" w:color="auto" w:fill="F2F4F7"/>
          </w:tcPr>
          <w:p>
            <w:pPr>
              <w:spacing w:after="0" w:line="240" w:lineRule="auto"/>
            </w:pPr>
            <w:r/>
            <w:r>
              <w:rPr>
                <w:sz w:val="17"/>
              </w:rPr>
              <w:t>Sales delayed 18 months</w:t>
            </w:r>
          </w:p>
        </w:tc>
        <w:tc>
          <w:tcPr>
            <w:tcW w:type="dxa" w:w="1928"/>
            <w:shd w:val="clear" w:color="auto" w:fill="F2F4F7"/>
          </w:tcPr>
          <w:p>
            <w:pPr>
              <w:spacing w:after="0" w:line="240" w:lineRule="auto"/>
              <w:jc w:val="right"/>
            </w:pPr>
            <w:r/>
            <w:r>
              <w:rPr>
                <w:sz w:val="17"/>
              </w:rPr>
              <w:t>375</w:t>
            </w:r>
          </w:p>
        </w:tc>
        <w:tc>
          <w:tcPr>
            <w:tcW w:type="dxa" w:w="1984"/>
            <w:shd w:val="clear" w:color="auto" w:fill="F2F4F7"/>
          </w:tcPr>
          <w:p>
            <w:pPr>
              <w:spacing w:after="0" w:line="240" w:lineRule="auto"/>
              <w:jc w:val="right"/>
            </w:pPr>
            <w:r/>
            <w:r>
              <w:rPr>
                <w:sz w:val="17"/>
              </w:rPr>
              <w:t>-28</w:t>
            </w:r>
          </w:p>
        </w:tc>
        <w:tc>
          <w:tcPr>
            <w:tcW w:type="dxa" w:w="1928"/>
            <w:shd w:val="clear" w:color="auto" w:fill="F2F4F7"/>
          </w:tcPr>
          <w:p>
            <w:pPr>
              <w:spacing w:after="0" w:line="240" w:lineRule="auto"/>
              <w:jc w:val="right"/>
            </w:pPr>
            <w:r/>
            <w:r>
              <w:rPr>
                <w:sz w:val="17"/>
              </w:rPr>
              <w:t>825</w:t>
            </w:r>
          </w:p>
        </w:tc>
      </w:tr>
      <w:tr>
        <w:trPr>
          <w:cantSplit/>
        </w:trPr>
        <w:tc>
          <w:tcPr>
            <w:tcW w:type="dxa" w:w="3402"/>
          </w:tcPr>
          <w:p>
            <w:pPr>
              <w:spacing w:after="0" w:line="240" w:lineRule="auto"/>
            </w:pPr>
            <w:r/>
            <w:r>
              <w:rPr>
                <w:sz w:val="17"/>
              </w:rPr>
              <w:t>Sales delayed 24 months</w:t>
            </w:r>
          </w:p>
        </w:tc>
        <w:tc>
          <w:tcPr>
            <w:tcW w:type="dxa" w:w="1928"/>
          </w:tcPr>
          <w:p>
            <w:pPr>
              <w:spacing w:after="0" w:line="240" w:lineRule="auto"/>
              <w:jc w:val="right"/>
            </w:pPr>
            <w:r/>
            <w:r>
              <w:rPr>
                <w:sz w:val="17"/>
              </w:rPr>
              <w:t>375</w:t>
            </w:r>
          </w:p>
        </w:tc>
        <w:tc>
          <w:tcPr>
            <w:tcW w:type="dxa" w:w="1984"/>
          </w:tcPr>
          <w:p>
            <w:pPr>
              <w:spacing w:after="0" w:line="240" w:lineRule="auto"/>
              <w:jc w:val="right"/>
            </w:pPr>
            <w:r/>
            <w:r>
              <w:rPr>
                <w:sz w:val="17"/>
              </w:rPr>
              <w:t>-103</w:t>
            </w:r>
          </w:p>
        </w:tc>
        <w:tc>
          <w:tcPr>
            <w:tcW w:type="dxa" w:w="1928"/>
          </w:tcPr>
          <w:p>
            <w:pPr>
              <w:spacing w:after="0" w:line="240" w:lineRule="auto"/>
              <w:jc w:val="right"/>
            </w:pPr>
            <w:r/>
            <w:r>
              <w:rPr>
                <w:sz w:val="17"/>
              </w:rPr>
              <w:t>1,075</w:t>
            </w:r>
          </w:p>
        </w:tc>
      </w:tr>
      <w:tr>
        <w:trPr>
          <w:cantSplit/>
        </w:trPr>
        <w:tc>
          <w:tcPr>
            <w:tcW w:type="dxa" w:w="3402"/>
            <w:shd w:val="clear" w:color="auto" w:fill="F2F4F7"/>
          </w:tcPr>
          <w:p>
            <w:pPr>
              <w:spacing w:after="0" w:line="240" w:lineRule="auto"/>
            </w:pPr>
            <w:r/>
            <w:r>
              <w:rPr>
                <w:sz w:val="17"/>
              </w:rPr>
              <w:t>Construction cost +10%</w:t>
            </w:r>
          </w:p>
        </w:tc>
        <w:tc>
          <w:tcPr>
            <w:tcW w:type="dxa" w:w="1928"/>
            <w:shd w:val="clear" w:color="auto" w:fill="F2F4F7"/>
          </w:tcPr>
          <w:p>
            <w:pPr>
              <w:spacing w:after="0" w:line="240" w:lineRule="auto"/>
              <w:jc w:val="right"/>
            </w:pPr>
            <w:r/>
            <w:r>
              <w:rPr>
                <w:sz w:val="17"/>
              </w:rPr>
              <w:t>295</w:t>
            </w:r>
          </w:p>
        </w:tc>
        <w:tc>
          <w:tcPr>
            <w:tcW w:type="dxa" w:w="1984"/>
            <w:shd w:val="clear" w:color="auto" w:fill="F2F4F7"/>
          </w:tcPr>
          <w:p>
            <w:pPr>
              <w:spacing w:after="0" w:line="240" w:lineRule="auto"/>
              <w:jc w:val="right"/>
            </w:pPr>
            <w:r/>
            <w:r>
              <w:rPr>
                <w:sz w:val="17"/>
              </w:rPr>
              <w:t>173</w:t>
            </w:r>
          </w:p>
        </w:tc>
        <w:tc>
          <w:tcPr>
            <w:tcW w:type="dxa" w:w="1928"/>
            <w:shd w:val="clear" w:color="auto" w:fill="F2F4F7"/>
          </w:tcPr>
          <w:p>
            <w:pPr>
              <w:spacing w:after="0" w:line="240" w:lineRule="auto"/>
              <w:jc w:val="right"/>
            </w:pPr>
            <w:r/>
            <w:r>
              <w:rPr>
                <w:sz w:val="17"/>
              </w:rPr>
              <w:t>102</w:t>
            </w:r>
          </w:p>
        </w:tc>
      </w:tr>
      <w:tr>
        <w:trPr>
          <w:cantSplit/>
        </w:trPr>
        <w:tc>
          <w:tcPr>
            <w:tcW w:type="dxa" w:w="3402"/>
          </w:tcPr>
          <w:p>
            <w:pPr>
              <w:spacing w:after="0" w:line="240" w:lineRule="auto"/>
            </w:pPr>
            <w:r/>
            <w:r>
              <w:rPr>
                <w:sz w:val="17"/>
              </w:rPr>
              <w:t>Construction cost +19%</w:t>
            </w:r>
          </w:p>
        </w:tc>
        <w:tc>
          <w:tcPr>
            <w:tcW w:type="dxa" w:w="1928"/>
          </w:tcPr>
          <w:p>
            <w:pPr>
              <w:spacing w:after="0" w:line="240" w:lineRule="auto"/>
              <w:jc w:val="right"/>
            </w:pPr>
            <w:r/>
            <w:r>
              <w:rPr>
                <w:sz w:val="17"/>
              </w:rPr>
              <w:t>215</w:t>
            </w:r>
          </w:p>
        </w:tc>
        <w:tc>
          <w:tcPr>
            <w:tcW w:type="dxa" w:w="1984"/>
          </w:tcPr>
          <w:p>
            <w:pPr>
              <w:spacing w:after="0" w:line="240" w:lineRule="auto"/>
              <w:jc w:val="right"/>
            </w:pPr>
            <w:r/>
            <w:r>
              <w:rPr>
                <w:sz w:val="17"/>
              </w:rPr>
              <w:t>117</w:t>
            </w:r>
          </w:p>
        </w:tc>
        <w:tc>
          <w:tcPr>
            <w:tcW w:type="dxa" w:w="1928"/>
          </w:tcPr>
          <w:p>
            <w:pPr>
              <w:spacing w:after="0" w:line="240" w:lineRule="auto"/>
              <w:jc w:val="right"/>
            </w:pPr>
            <w:r/>
            <w:r>
              <w:rPr>
                <w:sz w:val="17"/>
              </w:rPr>
              <w:t>114</w:t>
            </w:r>
          </w:p>
        </w:tc>
      </w:tr>
      <w:tr>
        <w:trPr>
          <w:cantSplit/>
        </w:trPr>
        <w:tc>
          <w:tcPr>
            <w:tcW w:type="dxa" w:w="3402"/>
            <w:shd w:val="clear" w:color="auto" w:fill="F2F4F7"/>
          </w:tcPr>
          <w:p>
            <w:pPr>
              <w:spacing w:after="0" w:line="240" w:lineRule="auto"/>
            </w:pPr>
            <w:r/>
            <w:r>
              <w:rPr>
                <w:sz w:val="17"/>
              </w:rPr>
              <w:t>Collections slip 1 quarter</w:t>
            </w:r>
          </w:p>
        </w:tc>
        <w:tc>
          <w:tcPr>
            <w:tcW w:type="dxa" w:w="1928"/>
            <w:shd w:val="clear" w:color="auto" w:fill="F2F4F7"/>
          </w:tcPr>
          <w:p>
            <w:pPr>
              <w:spacing w:after="0" w:line="240" w:lineRule="auto"/>
              <w:jc w:val="right"/>
            </w:pPr>
            <w:r/>
            <w:r>
              <w:rPr>
                <w:sz w:val="17"/>
              </w:rPr>
              <w:t>375</w:t>
            </w:r>
          </w:p>
        </w:tc>
        <w:tc>
          <w:tcPr>
            <w:tcW w:type="dxa" w:w="1984"/>
            <w:shd w:val="clear" w:color="auto" w:fill="F2F4F7"/>
          </w:tcPr>
          <w:p>
            <w:pPr>
              <w:spacing w:after="0" w:line="240" w:lineRule="auto"/>
              <w:jc w:val="right"/>
            </w:pPr>
            <w:r/>
            <w:r>
              <w:rPr>
                <w:sz w:val="17"/>
              </w:rPr>
              <w:t>181</w:t>
            </w:r>
          </w:p>
        </w:tc>
        <w:tc>
          <w:tcPr>
            <w:tcW w:type="dxa" w:w="1928"/>
            <w:shd w:val="clear" w:color="auto" w:fill="F2F4F7"/>
          </w:tcPr>
          <w:p>
            <w:pPr>
              <w:spacing w:after="0" w:line="240" w:lineRule="auto"/>
              <w:jc w:val="right"/>
            </w:pPr>
            <w:r/>
            <w:r>
              <w:rPr>
                <w:sz w:val="17"/>
              </w:rPr>
              <w:t>162</w:t>
            </w:r>
          </w:p>
        </w:tc>
      </w:tr>
      <w:tr>
        <w:trPr>
          <w:cantSplit/>
        </w:trPr>
        <w:tc>
          <w:tcPr>
            <w:tcW w:type="dxa" w:w="3402"/>
          </w:tcPr>
          <w:p>
            <w:pPr>
              <w:spacing w:after="0" w:line="240" w:lineRule="auto"/>
            </w:pPr>
            <w:r/>
            <w:r>
              <w:rPr>
                <w:sz w:val="17"/>
              </w:rPr>
              <w:t>Collections slip 2 quarters</w:t>
            </w:r>
          </w:p>
        </w:tc>
        <w:tc>
          <w:tcPr>
            <w:tcW w:type="dxa" w:w="1928"/>
          </w:tcPr>
          <w:p>
            <w:pPr>
              <w:spacing w:after="0" w:line="240" w:lineRule="auto"/>
              <w:jc w:val="right"/>
            </w:pPr>
            <w:r/>
            <w:r>
              <w:rPr>
                <w:sz w:val="17"/>
              </w:rPr>
              <w:t>375</w:t>
            </w:r>
          </w:p>
        </w:tc>
        <w:tc>
          <w:tcPr>
            <w:tcW w:type="dxa" w:w="1984"/>
          </w:tcPr>
          <w:p>
            <w:pPr>
              <w:spacing w:after="0" w:line="240" w:lineRule="auto"/>
              <w:jc w:val="right"/>
            </w:pPr>
            <w:r/>
            <w:r>
              <w:rPr>
                <w:sz w:val="17"/>
              </w:rPr>
              <w:t>134</w:t>
            </w:r>
          </w:p>
        </w:tc>
        <w:tc>
          <w:tcPr>
            <w:tcW w:type="dxa" w:w="1928"/>
          </w:tcPr>
          <w:p>
            <w:pPr>
              <w:spacing w:after="0" w:line="240" w:lineRule="auto"/>
              <w:jc w:val="right"/>
            </w:pPr>
            <w:r/>
            <w:r>
              <w:rPr>
                <w:sz w:val="17"/>
              </w:rPr>
              <w:t>236</w:t>
            </w:r>
          </w:p>
        </w:tc>
      </w:tr>
      <w:tr>
        <w:trPr>
          <w:cantSplit/>
        </w:trPr>
        <w:tc>
          <w:tcPr>
            <w:tcW w:type="dxa" w:w="3402"/>
            <w:shd w:val="clear" w:color="auto" w:fill="F2F4F7"/>
          </w:tcPr>
          <w:p>
            <w:pPr>
              <w:spacing w:after="0" w:line="240" w:lineRule="auto"/>
            </w:pPr>
            <w:r/>
            <w:r>
              <w:rPr>
                <w:sz w:val="17"/>
              </w:rPr>
              <w:t>Collections slip 4 quarters</w:t>
            </w:r>
          </w:p>
        </w:tc>
        <w:tc>
          <w:tcPr>
            <w:tcW w:type="dxa" w:w="1928"/>
            <w:shd w:val="clear" w:color="auto" w:fill="F2F4F7"/>
          </w:tcPr>
          <w:p>
            <w:pPr>
              <w:spacing w:after="0" w:line="240" w:lineRule="auto"/>
              <w:jc w:val="right"/>
            </w:pPr>
            <w:r/>
            <w:r>
              <w:rPr>
                <w:sz w:val="17"/>
              </w:rPr>
              <w:t>375</w:t>
            </w:r>
          </w:p>
        </w:tc>
        <w:tc>
          <w:tcPr>
            <w:tcW w:type="dxa" w:w="1984"/>
            <w:shd w:val="clear" w:color="auto" w:fill="F2F4F7"/>
          </w:tcPr>
          <w:p>
            <w:pPr>
              <w:spacing w:after="0" w:line="240" w:lineRule="auto"/>
              <w:jc w:val="right"/>
            </w:pPr>
            <w:r/>
            <w:r>
              <w:rPr>
                <w:sz w:val="17"/>
              </w:rPr>
              <w:t>44</w:t>
            </w:r>
          </w:p>
        </w:tc>
        <w:tc>
          <w:tcPr>
            <w:tcW w:type="dxa" w:w="1928"/>
            <w:shd w:val="clear" w:color="auto" w:fill="F2F4F7"/>
          </w:tcPr>
          <w:p>
            <w:pPr>
              <w:spacing w:after="0" w:line="240" w:lineRule="auto"/>
              <w:jc w:val="right"/>
            </w:pPr>
            <w:r/>
            <w:r>
              <w:rPr>
                <w:sz w:val="17"/>
              </w:rPr>
              <w:t>440</w:t>
            </w:r>
          </w:p>
        </w:tc>
      </w:tr>
    </w:tbl>
    <w:p>
      <w:pPr>
        <w:spacing w:after="80"/>
      </w:pPr>
    </w:p>
    <w:p>
      <w:pPr>
        <w:keepNext/>
        <w:jc w:val="center"/>
      </w:pPr>
      <w:r>
        <w:drawing>
          <wp:inline xmlns:a="http://schemas.openxmlformats.org/drawingml/2006/main" xmlns:pic="http://schemas.openxmlformats.org/drawingml/2006/picture">
            <wp:extent cx="5580000" cy="2557500"/>
            <wp:docPr id="5" name="Picture 5"/>
            <wp:cNvGraphicFramePr>
              <a:graphicFrameLocks noChangeAspect="1"/>
            </wp:cNvGraphicFramePr>
            <a:graphic>
              <a:graphicData uri="http://schemas.openxmlformats.org/drawingml/2006/picture">
                <pic:pic>
                  <pic:nvPicPr>
                    <pic:cNvPr id="0" name="fig_sens.png"/>
                    <pic:cNvPicPr/>
                  </pic:nvPicPr>
                  <pic:blipFill>
                    <a:blip r:embed="rId15"/>
                    <a:stretch>
                      <a:fillRect/>
                    </a:stretch>
                  </pic:blipFill>
                  <pic:spPr>
                    <a:xfrm>
                      <a:off x="0" y="0"/>
                      <a:ext cx="5580000" cy="2557500"/>
                    </a:xfrm>
                    <a:prstGeom prst="rect"/>
                  </pic:spPr>
                </pic:pic>
              </a:graphicData>
            </a:graphic>
          </wp:inline>
        </w:drawing>
      </w:r>
    </w:p>
    <w:p>
      <w:pPr>
        <w:jc w:val="center"/>
      </w:pPr>
      <w:r>
        <w:rPr>
          <w:b/>
          <w:color w:val="17324D"/>
          <w:sz w:val="18"/>
        </w:rPr>
        <w:t xml:space="preserve">Figure 5: Green Square: project NPV by case. </w:t>
      </w:r>
      <w:r>
        <w:rPr>
          <w:i/>
          <w:color w:val="6B7280"/>
          <w:sz w:val="18"/>
        </w:rPr>
        <w:t>Source: Financial Annex, Scenarios and Sensitivity sheets</w:t>
      </w:r>
    </w:p>
    <w:p>
      <w:pPr>
        <w:keepNext/>
        <w:spacing w:after="60"/>
      </w:pPr>
      <w:r>
        <w:rPr>
          <w:b/>
          <w:color w:val="17324D"/>
          <w:sz w:val="19"/>
        </w:rPr>
        <w:t>Table 34: L'avenir: project sensitivities (Jalour net cash flow before any investor instrument)</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2324"/>
        <w:gridCol w:w="2324"/>
        <w:gridCol w:w="2324"/>
        <w:gridCol w:w="2324"/>
      </w:tblGrid>
      <w:tr>
        <w:trPr>
          <w:cantSplit/>
          <w:tblHeader/>
        </w:trPr>
        <w:tc>
          <w:tcPr>
            <w:tcW w:type="dxa" w:w="3402"/>
            <w:shd w:val="clear" w:color="auto" w:fill="17324D"/>
          </w:tcPr>
          <w:p>
            <w:pPr>
              <w:spacing w:after="0" w:line="240" w:lineRule="auto"/>
            </w:pPr>
            <w:r/>
            <w:r>
              <w:rPr>
                <w:b/>
                <w:color w:val="FFFFFF"/>
                <w:sz w:val="17"/>
              </w:rPr>
              <w:t>Case</w:t>
            </w:r>
          </w:p>
        </w:tc>
        <w:tc>
          <w:tcPr>
            <w:tcW w:type="dxa" w:w="1928"/>
            <w:shd w:val="clear" w:color="auto" w:fill="17324D"/>
          </w:tcPr>
          <w:p>
            <w:pPr>
              <w:spacing w:after="0" w:line="240" w:lineRule="auto"/>
              <w:jc w:val="right"/>
            </w:pPr>
            <w:r/>
            <w:r>
              <w:rPr>
                <w:b/>
                <w:color w:val="FFFFFF"/>
                <w:sz w:val="17"/>
              </w:rPr>
              <w:t>Net cash flow (EGP m)</w:t>
            </w:r>
          </w:p>
        </w:tc>
        <w:tc>
          <w:tcPr>
            <w:tcW w:type="dxa" w:w="1984"/>
            <w:shd w:val="clear" w:color="auto" w:fill="17324D"/>
          </w:tcPr>
          <w:p>
            <w:pPr>
              <w:spacing w:after="0" w:line="240" w:lineRule="auto"/>
              <w:jc w:val="right"/>
            </w:pPr>
            <w:r/>
            <w:r>
              <w:rPr>
                <w:b/>
                <w:color w:val="FFFFFF"/>
                <w:sz w:val="17"/>
              </w:rPr>
              <w:t>NPV at 14% (EGP m)</w:t>
            </w:r>
          </w:p>
        </w:tc>
        <w:tc>
          <w:tcPr>
            <w:tcW w:type="dxa" w:w="1928"/>
            <w:shd w:val="clear" w:color="auto" w:fill="17324D"/>
          </w:tcPr>
          <w:p>
            <w:pPr>
              <w:spacing w:after="0" w:line="240" w:lineRule="auto"/>
              <w:jc w:val="right"/>
            </w:pPr>
            <w:r/>
            <w:r>
              <w:rPr>
                <w:b/>
                <w:color w:val="FFFFFF"/>
                <w:sz w:val="17"/>
              </w:rPr>
              <w:t>Peak shortage (EGP m)</w:t>
            </w:r>
          </w:p>
        </w:tc>
      </w:tr>
      <w:tr>
        <w:trPr>
          <w:cantSplit/>
        </w:trPr>
        <w:tc>
          <w:tcPr>
            <w:tcW w:type="dxa" w:w="3402"/>
          </w:tcPr>
          <w:p>
            <w:pPr>
              <w:spacing w:after="0" w:line="240" w:lineRule="auto"/>
            </w:pPr>
            <w:r/>
            <w:r>
              <w:rPr>
                <w:sz w:val="17"/>
              </w:rPr>
              <w:t>Base</w:t>
            </w:r>
          </w:p>
        </w:tc>
        <w:tc>
          <w:tcPr>
            <w:tcW w:type="dxa" w:w="1928"/>
          </w:tcPr>
          <w:p>
            <w:pPr>
              <w:spacing w:after="0" w:line="240" w:lineRule="auto"/>
              <w:jc w:val="right"/>
            </w:pPr>
            <w:r/>
            <w:r>
              <w:rPr>
                <w:sz w:val="17"/>
              </w:rPr>
              <w:t>595</w:t>
            </w:r>
          </w:p>
        </w:tc>
        <w:tc>
          <w:tcPr>
            <w:tcW w:type="dxa" w:w="1984"/>
          </w:tcPr>
          <w:p>
            <w:pPr>
              <w:spacing w:after="0" w:line="240" w:lineRule="auto"/>
              <w:jc w:val="right"/>
            </w:pPr>
            <w:r/>
            <w:r>
              <w:rPr>
                <w:sz w:val="17"/>
              </w:rPr>
              <w:t>351</w:t>
            </w:r>
          </w:p>
        </w:tc>
        <w:tc>
          <w:tcPr>
            <w:tcW w:type="dxa" w:w="1928"/>
          </w:tcPr>
          <w:p>
            <w:pPr>
              <w:spacing w:after="0" w:line="240" w:lineRule="auto"/>
              <w:jc w:val="right"/>
            </w:pPr>
            <w:r/>
            <w:r>
              <w:rPr>
                <w:sz w:val="17"/>
              </w:rPr>
              <w:t>102</w:t>
            </w:r>
          </w:p>
        </w:tc>
      </w:tr>
      <w:tr>
        <w:trPr>
          <w:cantSplit/>
        </w:trPr>
        <w:tc>
          <w:tcPr>
            <w:tcW w:type="dxa" w:w="3402"/>
            <w:shd w:val="clear" w:color="auto" w:fill="F2F4F7"/>
          </w:tcPr>
          <w:p>
            <w:pPr>
              <w:spacing w:after="0" w:line="240" w:lineRule="auto"/>
            </w:pPr>
            <w:r/>
            <w:r>
              <w:rPr>
                <w:sz w:val="17"/>
              </w:rPr>
              <w:t>Prices -19%</w:t>
            </w:r>
          </w:p>
        </w:tc>
        <w:tc>
          <w:tcPr>
            <w:tcW w:type="dxa" w:w="1928"/>
            <w:shd w:val="clear" w:color="auto" w:fill="F2F4F7"/>
          </w:tcPr>
          <w:p>
            <w:pPr>
              <w:spacing w:after="0" w:line="240" w:lineRule="auto"/>
              <w:jc w:val="right"/>
            </w:pPr>
            <w:r/>
            <w:r>
              <w:rPr>
                <w:sz w:val="17"/>
              </w:rPr>
              <w:t>316</w:t>
            </w:r>
          </w:p>
        </w:tc>
        <w:tc>
          <w:tcPr>
            <w:tcW w:type="dxa" w:w="1984"/>
            <w:shd w:val="clear" w:color="auto" w:fill="F2F4F7"/>
          </w:tcPr>
          <w:p>
            <w:pPr>
              <w:spacing w:after="0" w:line="240" w:lineRule="auto"/>
              <w:jc w:val="right"/>
            </w:pPr>
            <w:r/>
            <w:r>
              <w:rPr>
                <w:sz w:val="17"/>
              </w:rPr>
              <w:t>113</w:t>
            </w:r>
          </w:p>
        </w:tc>
        <w:tc>
          <w:tcPr>
            <w:tcW w:type="dxa" w:w="1928"/>
            <w:shd w:val="clear" w:color="auto" w:fill="F2F4F7"/>
          </w:tcPr>
          <w:p>
            <w:pPr>
              <w:spacing w:after="0" w:line="240" w:lineRule="auto"/>
              <w:jc w:val="right"/>
            </w:pPr>
            <w:r/>
            <w:r>
              <w:rPr>
                <w:sz w:val="17"/>
              </w:rPr>
              <w:t>175</w:t>
            </w:r>
          </w:p>
        </w:tc>
      </w:tr>
      <w:tr>
        <w:trPr>
          <w:cantSplit/>
        </w:trPr>
        <w:tc>
          <w:tcPr>
            <w:tcW w:type="dxa" w:w="3402"/>
          </w:tcPr>
          <w:p>
            <w:pPr>
              <w:spacing w:after="0" w:line="240" w:lineRule="auto"/>
            </w:pPr>
            <w:r/>
            <w:r>
              <w:rPr>
                <w:sz w:val="17"/>
              </w:rPr>
              <w:t>Prices -9%</w:t>
            </w:r>
          </w:p>
        </w:tc>
        <w:tc>
          <w:tcPr>
            <w:tcW w:type="dxa" w:w="1928"/>
          </w:tcPr>
          <w:p>
            <w:pPr>
              <w:spacing w:after="0" w:line="240" w:lineRule="auto"/>
              <w:jc w:val="right"/>
            </w:pPr>
            <w:r/>
            <w:r>
              <w:rPr>
                <w:sz w:val="17"/>
              </w:rPr>
              <w:t>456</w:t>
            </w:r>
          </w:p>
        </w:tc>
        <w:tc>
          <w:tcPr>
            <w:tcW w:type="dxa" w:w="1984"/>
          </w:tcPr>
          <w:p>
            <w:pPr>
              <w:spacing w:after="0" w:line="240" w:lineRule="auto"/>
              <w:jc w:val="right"/>
            </w:pPr>
            <w:r/>
            <w:r>
              <w:rPr>
                <w:sz w:val="17"/>
              </w:rPr>
              <w:t>232</w:t>
            </w:r>
          </w:p>
        </w:tc>
        <w:tc>
          <w:tcPr>
            <w:tcW w:type="dxa" w:w="1928"/>
          </w:tcPr>
          <w:p>
            <w:pPr>
              <w:spacing w:after="0" w:line="240" w:lineRule="auto"/>
              <w:jc w:val="right"/>
            </w:pPr>
            <w:r/>
            <w:r>
              <w:rPr>
                <w:sz w:val="17"/>
              </w:rPr>
              <w:t>138</w:t>
            </w:r>
          </w:p>
        </w:tc>
      </w:tr>
      <w:tr>
        <w:trPr>
          <w:cantSplit/>
        </w:trPr>
        <w:tc>
          <w:tcPr>
            <w:tcW w:type="dxa" w:w="3402"/>
            <w:shd w:val="clear" w:color="auto" w:fill="F2F4F7"/>
          </w:tcPr>
          <w:p>
            <w:pPr>
              <w:spacing w:after="0" w:line="240" w:lineRule="auto"/>
            </w:pPr>
            <w:r/>
            <w:r>
              <w:rPr>
                <w:sz w:val="17"/>
              </w:rPr>
              <w:t>Prices +10%</w:t>
            </w:r>
          </w:p>
        </w:tc>
        <w:tc>
          <w:tcPr>
            <w:tcW w:type="dxa" w:w="1928"/>
            <w:shd w:val="clear" w:color="auto" w:fill="F2F4F7"/>
          </w:tcPr>
          <w:p>
            <w:pPr>
              <w:spacing w:after="0" w:line="240" w:lineRule="auto"/>
              <w:jc w:val="right"/>
            </w:pPr>
            <w:r/>
            <w:r>
              <w:rPr>
                <w:sz w:val="17"/>
              </w:rPr>
              <w:t>735</w:t>
            </w:r>
          </w:p>
        </w:tc>
        <w:tc>
          <w:tcPr>
            <w:tcW w:type="dxa" w:w="1984"/>
            <w:shd w:val="clear" w:color="auto" w:fill="F2F4F7"/>
          </w:tcPr>
          <w:p>
            <w:pPr>
              <w:spacing w:after="0" w:line="240" w:lineRule="auto"/>
              <w:jc w:val="right"/>
            </w:pPr>
            <w:r/>
            <w:r>
              <w:rPr>
                <w:sz w:val="17"/>
              </w:rPr>
              <w:t>469</w:t>
            </w:r>
          </w:p>
        </w:tc>
        <w:tc>
          <w:tcPr>
            <w:tcW w:type="dxa" w:w="1928"/>
            <w:shd w:val="clear" w:color="auto" w:fill="F2F4F7"/>
          </w:tcPr>
          <w:p>
            <w:pPr>
              <w:spacing w:after="0" w:line="240" w:lineRule="auto"/>
              <w:jc w:val="right"/>
            </w:pPr>
            <w:r/>
            <w:r>
              <w:rPr>
                <w:sz w:val="17"/>
              </w:rPr>
              <w:t>88</w:t>
            </w:r>
          </w:p>
        </w:tc>
      </w:tr>
      <w:tr>
        <w:trPr>
          <w:cantSplit/>
        </w:trPr>
        <w:tc>
          <w:tcPr>
            <w:tcW w:type="dxa" w:w="3402"/>
          </w:tcPr>
          <w:p>
            <w:pPr>
              <w:spacing w:after="0" w:line="240" w:lineRule="auto"/>
            </w:pPr>
            <w:r/>
            <w:r>
              <w:rPr>
                <w:sz w:val="17"/>
              </w:rPr>
              <w:t>Prices +19%</w:t>
            </w:r>
          </w:p>
        </w:tc>
        <w:tc>
          <w:tcPr>
            <w:tcW w:type="dxa" w:w="1928"/>
          </w:tcPr>
          <w:p>
            <w:pPr>
              <w:spacing w:after="0" w:line="240" w:lineRule="auto"/>
              <w:jc w:val="right"/>
            </w:pPr>
            <w:r/>
            <w:r>
              <w:rPr>
                <w:sz w:val="17"/>
              </w:rPr>
              <w:t>875</w:t>
            </w:r>
          </w:p>
        </w:tc>
        <w:tc>
          <w:tcPr>
            <w:tcW w:type="dxa" w:w="1984"/>
          </w:tcPr>
          <w:p>
            <w:pPr>
              <w:spacing w:after="0" w:line="240" w:lineRule="auto"/>
              <w:jc w:val="right"/>
            </w:pPr>
            <w:r/>
            <w:r>
              <w:rPr>
                <w:sz w:val="17"/>
              </w:rPr>
              <w:t>588</w:t>
            </w:r>
          </w:p>
        </w:tc>
        <w:tc>
          <w:tcPr>
            <w:tcW w:type="dxa" w:w="1928"/>
          </w:tcPr>
          <w:p>
            <w:pPr>
              <w:spacing w:after="0" w:line="240" w:lineRule="auto"/>
              <w:jc w:val="right"/>
            </w:pPr>
            <w:r/>
            <w:r>
              <w:rPr>
                <w:sz w:val="17"/>
              </w:rPr>
              <w:t>86</w:t>
            </w:r>
          </w:p>
        </w:tc>
      </w:tr>
      <w:tr>
        <w:trPr>
          <w:cantSplit/>
        </w:trPr>
        <w:tc>
          <w:tcPr>
            <w:tcW w:type="dxa" w:w="3402"/>
            <w:shd w:val="clear" w:color="auto" w:fill="F2F4F7"/>
          </w:tcPr>
          <w:p>
            <w:pPr>
              <w:spacing w:after="0" w:line="240" w:lineRule="auto"/>
            </w:pPr>
            <w:r/>
            <w:r>
              <w:rPr>
                <w:sz w:val="17"/>
              </w:rPr>
              <w:t>Sales delayed 6 months</w:t>
            </w:r>
          </w:p>
        </w:tc>
        <w:tc>
          <w:tcPr>
            <w:tcW w:type="dxa" w:w="1928"/>
            <w:shd w:val="clear" w:color="auto" w:fill="F2F4F7"/>
          </w:tcPr>
          <w:p>
            <w:pPr>
              <w:spacing w:after="0" w:line="240" w:lineRule="auto"/>
              <w:jc w:val="right"/>
            </w:pPr>
            <w:r/>
            <w:r>
              <w:rPr>
                <w:sz w:val="17"/>
              </w:rPr>
              <w:t>595</w:t>
            </w:r>
          </w:p>
        </w:tc>
        <w:tc>
          <w:tcPr>
            <w:tcW w:type="dxa" w:w="1984"/>
            <w:shd w:val="clear" w:color="auto" w:fill="F2F4F7"/>
          </w:tcPr>
          <w:p>
            <w:pPr>
              <w:spacing w:after="0" w:line="240" w:lineRule="auto"/>
              <w:jc w:val="right"/>
            </w:pPr>
            <w:r/>
            <w:r>
              <w:rPr>
                <w:sz w:val="17"/>
              </w:rPr>
              <w:t>244</w:t>
            </w:r>
          </w:p>
        </w:tc>
        <w:tc>
          <w:tcPr>
            <w:tcW w:type="dxa" w:w="1928"/>
            <w:shd w:val="clear" w:color="auto" w:fill="F2F4F7"/>
          </w:tcPr>
          <w:p>
            <w:pPr>
              <w:spacing w:after="0" w:line="240" w:lineRule="auto"/>
              <w:jc w:val="right"/>
            </w:pPr>
            <w:r/>
            <w:r>
              <w:rPr>
                <w:sz w:val="17"/>
              </w:rPr>
              <w:t>366</w:t>
            </w:r>
          </w:p>
        </w:tc>
      </w:tr>
      <w:tr>
        <w:trPr>
          <w:cantSplit/>
        </w:trPr>
        <w:tc>
          <w:tcPr>
            <w:tcW w:type="dxa" w:w="3402"/>
          </w:tcPr>
          <w:p>
            <w:pPr>
              <w:spacing w:after="0" w:line="240" w:lineRule="auto"/>
            </w:pPr>
            <w:r/>
            <w:r>
              <w:rPr>
                <w:sz w:val="17"/>
              </w:rPr>
              <w:t>Sales delayed 12 months</w:t>
            </w:r>
          </w:p>
        </w:tc>
        <w:tc>
          <w:tcPr>
            <w:tcW w:type="dxa" w:w="1928"/>
          </w:tcPr>
          <w:p>
            <w:pPr>
              <w:spacing w:after="0" w:line="240" w:lineRule="auto"/>
              <w:jc w:val="right"/>
            </w:pPr>
            <w:r/>
            <w:r>
              <w:rPr>
                <w:sz w:val="17"/>
              </w:rPr>
              <w:t>595</w:t>
            </w:r>
          </w:p>
        </w:tc>
        <w:tc>
          <w:tcPr>
            <w:tcW w:type="dxa" w:w="1984"/>
          </w:tcPr>
          <w:p>
            <w:pPr>
              <w:spacing w:after="0" w:line="240" w:lineRule="auto"/>
              <w:jc w:val="right"/>
            </w:pPr>
            <w:r/>
            <w:r>
              <w:rPr>
                <w:sz w:val="17"/>
              </w:rPr>
              <w:t>143</w:t>
            </w:r>
          </w:p>
        </w:tc>
        <w:tc>
          <w:tcPr>
            <w:tcW w:type="dxa" w:w="1928"/>
          </w:tcPr>
          <w:p>
            <w:pPr>
              <w:spacing w:after="0" w:line="240" w:lineRule="auto"/>
              <w:jc w:val="right"/>
            </w:pPr>
            <w:r/>
            <w:r>
              <w:rPr>
                <w:sz w:val="17"/>
              </w:rPr>
              <w:t>779</w:t>
            </w:r>
          </w:p>
        </w:tc>
      </w:tr>
      <w:tr>
        <w:trPr>
          <w:cantSplit/>
        </w:trPr>
        <w:tc>
          <w:tcPr>
            <w:tcW w:type="dxa" w:w="3402"/>
            <w:shd w:val="clear" w:color="auto" w:fill="F2F4F7"/>
          </w:tcPr>
          <w:p>
            <w:pPr>
              <w:spacing w:after="0" w:line="240" w:lineRule="auto"/>
            </w:pPr>
            <w:r/>
            <w:r>
              <w:rPr>
                <w:sz w:val="17"/>
              </w:rPr>
              <w:t>Sales delayed 18 months</w:t>
            </w:r>
          </w:p>
        </w:tc>
        <w:tc>
          <w:tcPr>
            <w:tcW w:type="dxa" w:w="1928"/>
            <w:shd w:val="clear" w:color="auto" w:fill="F2F4F7"/>
          </w:tcPr>
          <w:p>
            <w:pPr>
              <w:spacing w:after="0" w:line="240" w:lineRule="auto"/>
              <w:jc w:val="right"/>
            </w:pPr>
            <w:r/>
            <w:r>
              <w:rPr>
                <w:sz w:val="17"/>
              </w:rPr>
              <w:t>595</w:t>
            </w:r>
          </w:p>
        </w:tc>
        <w:tc>
          <w:tcPr>
            <w:tcW w:type="dxa" w:w="1984"/>
            <w:shd w:val="clear" w:color="auto" w:fill="F2F4F7"/>
          </w:tcPr>
          <w:p>
            <w:pPr>
              <w:spacing w:after="0" w:line="240" w:lineRule="auto"/>
              <w:jc w:val="right"/>
            </w:pPr>
            <w:r/>
            <w:r>
              <w:rPr>
                <w:sz w:val="17"/>
              </w:rPr>
              <w:t>49</w:t>
            </w:r>
          </w:p>
        </w:tc>
        <w:tc>
          <w:tcPr>
            <w:tcW w:type="dxa" w:w="1928"/>
            <w:shd w:val="clear" w:color="auto" w:fill="F2F4F7"/>
          </w:tcPr>
          <w:p>
            <w:pPr>
              <w:spacing w:after="0" w:line="240" w:lineRule="auto"/>
              <w:jc w:val="right"/>
            </w:pPr>
            <w:r/>
            <w:r>
              <w:rPr>
                <w:sz w:val="17"/>
              </w:rPr>
              <w:t>1,004</w:t>
            </w:r>
          </w:p>
        </w:tc>
      </w:tr>
      <w:tr>
        <w:trPr>
          <w:cantSplit/>
        </w:trPr>
        <w:tc>
          <w:tcPr>
            <w:tcW w:type="dxa" w:w="3402"/>
          </w:tcPr>
          <w:p>
            <w:pPr>
              <w:spacing w:after="0" w:line="240" w:lineRule="auto"/>
            </w:pPr>
            <w:r/>
            <w:r>
              <w:rPr>
                <w:sz w:val="17"/>
              </w:rPr>
              <w:t>Sales delayed 24 months</w:t>
            </w:r>
          </w:p>
        </w:tc>
        <w:tc>
          <w:tcPr>
            <w:tcW w:type="dxa" w:w="1928"/>
          </w:tcPr>
          <w:p>
            <w:pPr>
              <w:spacing w:after="0" w:line="240" w:lineRule="auto"/>
              <w:jc w:val="right"/>
            </w:pPr>
            <w:r/>
            <w:r>
              <w:rPr>
                <w:sz w:val="17"/>
              </w:rPr>
              <w:t>595</w:t>
            </w:r>
          </w:p>
        </w:tc>
        <w:tc>
          <w:tcPr>
            <w:tcW w:type="dxa" w:w="1984"/>
          </w:tcPr>
          <w:p>
            <w:pPr>
              <w:spacing w:after="0" w:line="240" w:lineRule="auto"/>
              <w:jc w:val="right"/>
            </w:pPr>
            <w:r/>
            <w:r>
              <w:rPr>
                <w:sz w:val="17"/>
              </w:rPr>
              <w:t>-38</w:t>
            </w:r>
          </w:p>
        </w:tc>
        <w:tc>
          <w:tcPr>
            <w:tcW w:type="dxa" w:w="1928"/>
          </w:tcPr>
          <w:p>
            <w:pPr>
              <w:spacing w:after="0" w:line="240" w:lineRule="auto"/>
              <w:jc w:val="right"/>
            </w:pPr>
            <w:r/>
            <w:r>
              <w:rPr>
                <w:sz w:val="17"/>
              </w:rPr>
              <w:t>1,179</w:t>
            </w:r>
          </w:p>
        </w:tc>
      </w:tr>
      <w:tr>
        <w:trPr>
          <w:cantSplit/>
        </w:trPr>
        <w:tc>
          <w:tcPr>
            <w:tcW w:type="dxa" w:w="3402"/>
            <w:shd w:val="clear" w:color="auto" w:fill="F2F4F7"/>
          </w:tcPr>
          <w:p>
            <w:pPr>
              <w:spacing w:after="0" w:line="240" w:lineRule="auto"/>
            </w:pPr>
            <w:r/>
            <w:r>
              <w:rPr>
                <w:sz w:val="17"/>
              </w:rPr>
              <w:t>Construction cost +10%</w:t>
            </w:r>
          </w:p>
        </w:tc>
        <w:tc>
          <w:tcPr>
            <w:tcW w:type="dxa" w:w="1928"/>
            <w:shd w:val="clear" w:color="auto" w:fill="F2F4F7"/>
          </w:tcPr>
          <w:p>
            <w:pPr>
              <w:spacing w:after="0" w:line="240" w:lineRule="auto"/>
              <w:jc w:val="right"/>
            </w:pPr>
            <w:r/>
            <w:r>
              <w:rPr>
                <w:sz w:val="17"/>
              </w:rPr>
              <w:t>515</w:t>
            </w:r>
          </w:p>
        </w:tc>
        <w:tc>
          <w:tcPr>
            <w:tcW w:type="dxa" w:w="1984"/>
            <w:shd w:val="clear" w:color="auto" w:fill="F2F4F7"/>
          </w:tcPr>
          <w:p>
            <w:pPr>
              <w:spacing w:after="0" w:line="240" w:lineRule="auto"/>
              <w:jc w:val="right"/>
            </w:pPr>
            <w:r/>
            <w:r>
              <w:rPr>
                <w:sz w:val="17"/>
              </w:rPr>
              <w:t>294</w:t>
            </w:r>
          </w:p>
        </w:tc>
        <w:tc>
          <w:tcPr>
            <w:tcW w:type="dxa" w:w="1928"/>
            <w:shd w:val="clear" w:color="auto" w:fill="F2F4F7"/>
          </w:tcPr>
          <w:p>
            <w:pPr>
              <w:spacing w:after="0" w:line="240" w:lineRule="auto"/>
              <w:jc w:val="right"/>
            </w:pPr>
            <w:r/>
            <w:r>
              <w:rPr>
                <w:sz w:val="17"/>
              </w:rPr>
              <w:t>117</w:t>
            </w:r>
          </w:p>
        </w:tc>
      </w:tr>
      <w:tr>
        <w:trPr>
          <w:cantSplit/>
        </w:trPr>
        <w:tc>
          <w:tcPr>
            <w:tcW w:type="dxa" w:w="3402"/>
          </w:tcPr>
          <w:p>
            <w:pPr>
              <w:spacing w:after="0" w:line="240" w:lineRule="auto"/>
            </w:pPr>
            <w:r/>
            <w:r>
              <w:rPr>
                <w:sz w:val="17"/>
              </w:rPr>
              <w:t>Construction cost +19%</w:t>
            </w:r>
          </w:p>
        </w:tc>
        <w:tc>
          <w:tcPr>
            <w:tcW w:type="dxa" w:w="1928"/>
          </w:tcPr>
          <w:p>
            <w:pPr>
              <w:spacing w:after="0" w:line="240" w:lineRule="auto"/>
              <w:jc w:val="right"/>
            </w:pPr>
            <w:r/>
            <w:r>
              <w:rPr>
                <w:sz w:val="17"/>
              </w:rPr>
              <w:t>435</w:t>
            </w:r>
          </w:p>
        </w:tc>
        <w:tc>
          <w:tcPr>
            <w:tcW w:type="dxa" w:w="1984"/>
          </w:tcPr>
          <w:p>
            <w:pPr>
              <w:spacing w:after="0" w:line="240" w:lineRule="auto"/>
              <w:jc w:val="right"/>
            </w:pPr>
            <w:r/>
            <w:r>
              <w:rPr>
                <w:sz w:val="17"/>
              </w:rPr>
              <w:t>237</w:t>
            </w:r>
          </w:p>
        </w:tc>
        <w:tc>
          <w:tcPr>
            <w:tcW w:type="dxa" w:w="1928"/>
          </w:tcPr>
          <w:p>
            <w:pPr>
              <w:spacing w:after="0" w:line="240" w:lineRule="auto"/>
              <w:jc w:val="right"/>
            </w:pPr>
            <w:r/>
            <w:r>
              <w:rPr>
                <w:sz w:val="17"/>
              </w:rPr>
              <w:t>133</w:t>
            </w:r>
          </w:p>
        </w:tc>
      </w:tr>
      <w:tr>
        <w:trPr>
          <w:cantSplit/>
        </w:trPr>
        <w:tc>
          <w:tcPr>
            <w:tcW w:type="dxa" w:w="3402"/>
            <w:shd w:val="clear" w:color="auto" w:fill="F2F4F7"/>
          </w:tcPr>
          <w:p>
            <w:pPr>
              <w:spacing w:after="0" w:line="240" w:lineRule="auto"/>
            </w:pPr>
            <w:r/>
            <w:r>
              <w:rPr>
                <w:sz w:val="17"/>
              </w:rPr>
              <w:t>Collections slip 1 quarter</w:t>
            </w:r>
          </w:p>
        </w:tc>
        <w:tc>
          <w:tcPr>
            <w:tcW w:type="dxa" w:w="1928"/>
            <w:shd w:val="clear" w:color="auto" w:fill="F2F4F7"/>
          </w:tcPr>
          <w:p>
            <w:pPr>
              <w:spacing w:after="0" w:line="240" w:lineRule="auto"/>
              <w:jc w:val="right"/>
            </w:pPr>
            <w:r/>
            <w:r>
              <w:rPr>
                <w:sz w:val="17"/>
              </w:rPr>
              <w:t>595</w:t>
            </w:r>
          </w:p>
        </w:tc>
        <w:tc>
          <w:tcPr>
            <w:tcW w:type="dxa" w:w="1984"/>
            <w:shd w:val="clear" w:color="auto" w:fill="F2F4F7"/>
          </w:tcPr>
          <w:p>
            <w:pPr>
              <w:spacing w:after="0" w:line="240" w:lineRule="auto"/>
              <w:jc w:val="right"/>
            </w:pPr>
            <w:r/>
            <w:r>
              <w:rPr>
                <w:sz w:val="17"/>
              </w:rPr>
              <w:t>294</w:t>
            </w:r>
          </w:p>
        </w:tc>
        <w:tc>
          <w:tcPr>
            <w:tcW w:type="dxa" w:w="1928"/>
            <w:shd w:val="clear" w:color="auto" w:fill="F2F4F7"/>
          </w:tcPr>
          <w:p>
            <w:pPr>
              <w:spacing w:after="0" w:line="240" w:lineRule="auto"/>
              <w:jc w:val="right"/>
            </w:pPr>
            <w:r/>
            <w:r>
              <w:rPr>
                <w:sz w:val="17"/>
              </w:rPr>
              <w:t>190</w:t>
            </w:r>
          </w:p>
        </w:tc>
      </w:tr>
      <w:tr>
        <w:trPr>
          <w:cantSplit/>
        </w:trPr>
        <w:tc>
          <w:tcPr>
            <w:tcW w:type="dxa" w:w="3402"/>
          </w:tcPr>
          <w:p>
            <w:pPr>
              <w:spacing w:after="0" w:line="240" w:lineRule="auto"/>
            </w:pPr>
            <w:r/>
            <w:r>
              <w:rPr>
                <w:sz w:val="17"/>
              </w:rPr>
              <w:t>Collections slip 2 quarters</w:t>
            </w:r>
          </w:p>
        </w:tc>
        <w:tc>
          <w:tcPr>
            <w:tcW w:type="dxa" w:w="1928"/>
          </w:tcPr>
          <w:p>
            <w:pPr>
              <w:spacing w:after="0" w:line="240" w:lineRule="auto"/>
              <w:jc w:val="right"/>
            </w:pPr>
            <w:r/>
            <w:r>
              <w:rPr>
                <w:sz w:val="17"/>
              </w:rPr>
              <w:t>595</w:t>
            </w:r>
          </w:p>
        </w:tc>
        <w:tc>
          <w:tcPr>
            <w:tcW w:type="dxa" w:w="1984"/>
          </w:tcPr>
          <w:p>
            <w:pPr>
              <w:spacing w:after="0" w:line="240" w:lineRule="auto"/>
              <w:jc w:val="right"/>
            </w:pPr>
            <w:r/>
            <w:r>
              <w:rPr>
                <w:sz w:val="17"/>
              </w:rPr>
              <w:t>239</w:t>
            </w:r>
          </w:p>
        </w:tc>
        <w:tc>
          <w:tcPr>
            <w:tcW w:type="dxa" w:w="1928"/>
          </w:tcPr>
          <w:p>
            <w:pPr>
              <w:spacing w:after="0" w:line="240" w:lineRule="auto"/>
              <w:jc w:val="right"/>
            </w:pPr>
            <w:r/>
            <w:r>
              <w:rPr>
                <w:sz w:val="17"/>
              </w:rPr>
              <w:t>381</w:t>
            </w:r>
          </w:p>
        </w:tc>
      </w:tr>
      <w:tr>
        <w:trPr>
          <w:cantSplit/>
        </w:trPr>
        <w:tc>
          <w:tcPr>
            <w:tcW w:type="dxa" w:w="3402"/>
            <w:shd w:val="clear" w:color="auto" w:fill="F2F4F7"/>
          </w:tcPr>
          <w:p>
            <w:pPr>
              <w:spacing w:after="0" w:line="240" w:lineRule="auto"/>
            </w:pPr>
            <w:r/>
            <w:r>
              <w:rPr>
                <w:sz w:val="17"/>
              </w:rPr>
              <w:t>Collections slip 4 quarters</w:t>
            </w:r>
          </w:p>
        </w:tc>
        <w:tc>
          <w:tcPr>
            <w:tcW w:type="dxa" w:w="1928"/>
            <w:shd w:val="clear" w:color="auto" w:fill="F2F4F7"/>
          </w:tcPr>
          <w:p>
            <w:pPr>
              <w:spacing w:after="0" w:line="240" w:lineRule="auto"/>
              <w:jc w:val="right"/>
            </w:pPr>
            <w:r/>
            <w:r>
              <w:rPr>
                <w:sz w:val="17"/>
              </w:rPr>
              <w:t>595</w:t>
            </w:r>
          </w:p>
        </w:tc>
        <w:tc>
          <w:tcPr>
            <w:tcW w:type="dxa" w:w="1984"/>
            <w:shd w:val="clear" w:color="auto" w:fill="F2F4F7"/>
          </w:tcPr>
          <w:p>
            <w:pPr>
              <w:spacing w:after="0" w:line="240" w:lineRule="auto"/>
              <w:jc w:val="right"/>
            </w:pPr>
            <w:r/>
            <w:r>
              <w:rPr>
                <w:sz w:val="17"/>
              </w:rPr>
              <w:t>134</w:t>
            </w:r>
          </w:p>
        </w:tc>
        <w:tc>
          <w:tcPr>
            <w:tcW w:type="dxa" w:w="1928"/>
            <w:shd w:val="clear" w:color="auto" w:fill="F2F4F7"/>
          </w:tcPr>
          <w:p>
            <w:pPr>
              <w:spacing w:after="0" w:line="240" w:lineRule="auto"/>
              <w:jc w:val="right"/>
            </w:pPr>
            <w:r/>
            <w:r>
              <w:rPr>
                <w:sz w:val="17"/>
              </w:rPr>
              <w:t>811</w:t>
            </w:r>
          </w:p>
        </w:tc>
      </w:tr>
    </w:tbl>
    <w:p>
      <w:pPr>
        <w:spacing w:after="80"/>
      </w:pPr>
    </w:p>
    <w:p>
      <w:pPr>
        <w:keepNext/>
        <w:jc w:val="center"/>
      </w:pPr>
      <w:r>
        <w:drawing>
          <wp:inline xmlns:a="http://schemas.openxmlformats.org/drawingml/2006/main" xmlns:pic="http://schemas.openxmlformats.org/drawingml/2006/picture">
            <wp:extent cx="5580000" cy="2557500"/>
            <wp:docPr id="6" name="Picture 6"/>
            <wp:cNvGraphicFramePr>
              <a:graphicFrameLocks noChangeAspect="1"/>
            </wp:cNvGraphicFramePr>
            <a:graphic>
              <a:graphicData uri="http://schemas.openxmlformats.org/drawingml/2006/picture">
                <pic:pic>
                  <pic:nvPicPr>
                    <pic:cNvPr id="0" name="fig_sens.png"/>
                    <pic:cNvPicPr/>
                  </pic:nvPicPr>
                  <pic:blipFill>
                    <a:blip r:embed="rId16"/>
                    <a:stretch>
                      <a:fillRect/>
                    </a:stretch>
                  </pic:blipFill>
                  <pic:spPr>
                    <a:xfrm>
                      <a:off x="0" y="0"/>
                      <a:ext cx="5580000" cy="2557500"/>
                    </a:xfrm>
                    <a:prstGeom prst="rect"/>
                  </pic:spPr>
                </pic:pic>
              </a:graphicData>
            </a:graphic>
          </wp:inline>
        </w:drawing>
      </w:r>
    </w:p>
    <w:p>
      <w:pPr>
        <w:jc w:val="center"/>
      </w:pPr>
      <w:r>
        <w:rPr>
          <w:b/>
          <w:color w:val="17324D"/>
          <w:sz w:val="18"/>
        </w:rPr>
        <w:t xml:space="preserve">Figure 6: L'avenir: project NPV by case. </w:t>
      </w:r>
      <w:r>
        <w:rPr>
          <w:i/>
          <w:color w:val="6B7280"/>
          <w:sz w:val="18"/>
        </w:rPr>
        <w:t>Source: Financial Annex, Scenarios and Sensitivity sheets</w:t>
      </w:r>
    </w:p>
    <w:p>
      <w:pPr>
        <w:pStyle w:val="Heading1"/>
        <w:pageBreakBefore/>
      </w:pPr>
      <w:r>
        <w:t>14. Security and ranking</w:t>
      </w:r>
    </w:p>
    <w:p>
      <w:pPr>
        <w:keepNext/>
      </w:pPr>
      <w:r>
        <w:rPr>
          <w:b w:val="0"/>
          <w:i w:val="0"/>
        </w:rPr>
        <w:t>This is a proposal for review by Jalour's lawyers and the investor's counsel. Nothing in the structure is ring-fenced: there is no restricted account, escrow or segregated collection account, and security is contractual or over specific units. Each project has its own security; there is no cross-collateral and no cross-default.</w:t>
      </w:r>
    </w:p>
    <w:p>
      <w:pPr>
        <w:pStyle w:val="Heading2"/>
      </w:pPr>
      <w:r>
        <w:t>14.1 Base package, in each project</w:t>
      </w:r>
    </w:p>
    <w:p>
      <w:pPr>
        <w:keepNext/>
        <w:spacing w:after="60"/>
      </w:pPr>
      <w:r>
        <w:rPr>
          <w:b/>
          <w:color w:val="17324D"/>
          <w:sz w:val="19"/>
        </w:rPr>
        <w:t>Table 35: Security and protections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041"/>
            <w:shd w:val="clear" w:color="auto" w:fill="17324D"/>
          </w:tcPr>
          <w:p>
            <w:pPr>
              <w:spacing w:after="0" w:line="240" w:lineRule="auto"/>
            </w:pPr>
            <w:r/>
            <w:r>
              <w:rPr>
                <w:b/>
                <w:color w:val="FFFFFF"/>
                <w:sz w:val="18"/>
              </w:rPr>
              <w:t>Protection</w:t>
            </w:r>
          </w:p>
        </w:tc>
        <w:tc>
          <w:tcPr>
            <w:tcW w:type="dxa" w:w="3628"/>
            <w:shd w:val="clear" w:color="auto" w:fill="17324D"/>
          </w:tcPr>
          <w:p>
            <w:pPr>
              <w:spacing w:after="0" w:line="240" w:lineRule="auto"/>
            </w:pPr>
            <w:r/>
            <w:r>
              <w:rPr>
                <w:b/>
                <w:color w:val="FFFFFF"/>
                <w:sz w:val="18"/>
              </w:rPr>
              <w:t>Option A</w:t>
            </w:r>
          </w:p>
        </w:tc>
        <w:tc>
          <w:tcPr>
            <w:tcW w:type="dxa" w:w="3572"/>
            <w:shd w:val="clear" w:color="auto" w:fill="17324D"/>
          </w:tcPr>
          <w:p>
            <w:pPr>
              <w:spacing w:after="0" w:line="240" w:lineRule="auto"/>
            </w:pPr>
            <w:r/>
            <w:r>
              <w:rPr>
                <w:b/>
                <w:color w:val="FFFFFF"/>
                <w:sz w:val="18"/>
              </w:rPr>
              <w:t>Option B</w:t>
            </w:r>
          </w:p>
        </w:tc>
      </w:tr>
      <w:tr>
        <w:trPr>
          <w:cantSplit/>
        </w:trPr>
        <w:tc>
          <w:tcPr>
            <w:tcW w:type="dxa" w:w="2041"/>
          </w:tcPr>
          <w:p>
            <w:pPr>
              <w:spacing w:after="0" w:line="240" w:lineRule="auto"/>
            </w:pPr>
            <w:r/>
            <w:r>
              <w:rPr>
                <w:sz w:val="18"/>
              </w:rPr>
              <w:t>Specific units</w:t>
            </w:r>
          </w:p>
        </w:tc>
        <w:tc>
          <w:tcPr>
            <w:tcW w:type="dxa" w:w="3628"/>
          </w:tcPr>
          <w:p>
            <w:pPr>
              <w:spacing w:after="0" w:line="240" w:lineRule="auto"/>
            </w:pPr>
            <w:r/>
            <w:r>
              <w:rPr>
                <w:sz w:val="18"/>
              </w:rPr>
              <w:t>Registered allocation of identified units from the first two sales tranches; the units are the investor's asset</w:t>
            </w:r>
          </w:p>
        </w:tc>
        <w:tc>
          <w:tcPr>
            <w:tcW w:type="dxa" w:w="3572"/>
          </w:tcPr>
          <w:p>
            <w:pPr>
              <w:spacing w:after="0" w:line="240" w:lineRule="auto"/>
            </w:pPr>
            <w:r/>
            <w:r>
              <w:rPr>
                <w:sz w:val="18"/>
              </w:rPr>
              <w:t>Earmark of unsold units with a list value of at least the ticket (substitution of equal value allowed)</w:t>
            </w:r>
          </w:p>
        </w:tc>
      </w:tr>
      <w:tr>
        <w:trPr>
          <w:cantSplit/>
        </w:trPr>
        <w:tc>
          <w:tcPr>
            <w:tcW w:type="dxa" w:w="2041"/>
            <w:shd w:val="clear" w:color="auto" w:fill="F2F4F7"/>
          </w:tcPr>
          <w:p>
            <w:pPr>
              <w:spacing w:after="0" w:line="240" w:lineRule="auto"/>
            </w:pPr>
            <w:r/>
            <w:r>
              <w:rPr>
                <w:sz w:val="18"/>
              </w:rPr>
              <w:t>Payment priority covenant</w:t>
            </w:r>
          </w:p>
        </w:tc>
        <w:tc>
          <w:tcPr>
            <w:tcW w:type="dxa" w:w="3628"/>
            <w:shd w:val="clear" w:color="auto" w:fill="F2F4F7"/>
          </w:tcPr>
          <w:p>
            <w:pPr>
              <w:spacing w:after="0" w:line="240" w:lineRule="auto"/>
            </w:pPr>
            <w:r/>
            <w:r>
              <w:rPr>
                <w:sz w:val="18"/>
              </w:rPr>
              <w:t>Not applicable</w:t>
            </w:r>
          </w:p>
        </w:tc>
        <w:tc>
          <w:tcPr>
            <w:tcW w:type="dxa" w:w="3572"/>
            <w:shd w:val="clear" w:color="auto" w:fill="F2F4F7"/>
          </w:tcPr>
          <w:p>
            <w:pPr>
              <w:spacing w:after="0" w:line="240" w:lineRule="auto"/>
            </w:pPr>
            <w:r/>
            <w:r>
              <w:rPr>
                <w:sz w:val="18"/>
              </w:rPr>
              <w:t>No shareholder distributions or repayment of shareholder loans while an instalment is overdue</w:t>
            </w:r>
          </w:p>
        </w:tc>
      </w:tr>
      <w:tr>
        <w:trPr>
          <w:cantSplit/>
        </w:trPr>
        <w:tc>
          <w:tcPr>
            <w:tcW w:type="dxa" w:w="2041"/>
          </w:tcPr>
          <w:p>
            <w:pPr>
              <w:spacing w:after="0" w:line="240" w:lineRule="auto"/>
            </w:pPr>
            <w:r/>
            <w:r>
              <w:rPr>
                <w:sz w:val="18"/>
              </w:rPr>
              <w:t>Negative pledge</w:t>
            </w:r>
          </w:p>
        </w:tc>
        <w:tc>
          <w:tcPr>
            <w:tcW w:type="dxa" w:w="3628"/>
          </w:tcPr>
          <w:p>
            <w:pPr>
              <w:spacing w:after="0" w:line="240" w:lineRule="auto"/>
            </w:pPr>
            <w:r/>
            <w:r>
              <w:rPr>
                <w:sz w:val="18"/>
              </w:rPr>
              <w:t>On the allocated units</w:t>
            </w:r>
          </w:p>
        </w:tc>
        <w:tc>
          <w:tcPr>
            <w:tcW w:type="dxa" w:w="3572"/>
          </w:tcPr>
          <w:p>
            <w:pPr>
              <w:spacing w:after="0" w:line="240" w:lineRule="auto"/>
            </w:pPr>
            <w:r/>
            <w:r>
              <w:rPr>
                <w:sz w:val="18"/>
              </w:rPr>
              <w:t>On the earmarked units</w:t>
            </w:r>
          </w:p>
        </w:tc>
      </w:tr>
      <w:tr>
        <w:trPr>
          <w:cantSplit/>
        </w:trPr>
        <w:tc>
          <w:tcPr>
            <w:tcW w:type="dxa" w:w="2041"/>
            <w:shd w:val="clear" w:color="auto" w:fill="F2F4F7"/>
          </w:tcPr>
          <w:p>
            <w:pPr>
              <w:spacing w:after="0" w:line="240" w:lineRule="auto"/>
            </w:pPr>
            <w:r/>
            <w:r>
              <w:rPr>
                <w:sz w:val="18"/>
              </w:rPr>
              <w:t>Information rights</w:t>
            </w:r>
          </w:p>
        </w:tc>
        <w:tc>
          <w:tcPr>
            <w:tcW w:type="dxa" w:w="3628"/>
            <w:shd w:val="clear" w:color="auto" w:fill="F2F4F7"/>
          </w:tcPr>
          <w:p>
            <w:pPr>
              <w:spacing w:after="0" w:line="240" w:lineRule="auto"/>
            </w:pPr>
            <w:r/>
            <w:r>
              <w:rPr>
                <w:sz w:val="18"/>
              </w:rPr>
              <w:t>Monthly report, annual audited accounts, audit right</w:t>
            </w:r>
          </w:p>
        </w:tc>
        <w:tc>
          <w:tcPr>
            <w:tcW w:type="dxa" w:w="3572"/>
            <w:shd w:val="clear" w:color="auto" w:fill="F2F4F7"/>
          </w:tcPr>
          <w:p>
            <w:pPr>
              <w:spacing w:after="0" w:line="240" w:lineRule="auto"/>
            </w:pPr>
            <w:r/>
            <w:r>
              <w:rPr>
                <w:sz w:val="18"/>
              </w:rPr>
              <w:t>Same</w:t>
            </w:r>
          </w:p>
        </w:tc>
      </w:tr>
      <w:tr>
        <w:trPr>
          <w:cantSplit/>
        </w:trPr>
        <w:tc>
          <w:tcPr>
            <w:tcW w:type="dxa" w:w="2041"/>
          </w:tcPr>
          <w:p>
            <w:pPr>
              <w:spacing w:after="0" w:line="240" w:lineRule="auto"/>
            </w:pPr>
            <w:r/>
            <w:r>
              <w:rPr>
                <w:sz w:val="18"/>
              </w:rPr>
              <w:t>Sponsor funding undertaking</w:t>
            </w:r>
          </w:p>
        </w:tc>
        <w:tc>
          <w:tcPr>
            <w:tcW w:type="dxa" w:w="3628"/>
          </w:tcPr>
          <w:p>
            <w:pPr>
              <w:spacing w:after="0" w:line="240" w:lineRule="auto"/>
            </w:pPr>
            <w:r/>
            <w:r>
              <w:rPr>
                <w:sz w:val="18"/>
              </w:rPr>
              <w:t>Funds project funding gaps; supports delivery</w:t>
            </w:r>
          </w:p>
        </w:tc>
        <w:tc>
          <w:tcPr>
            <w:tcW w:type="dxa" w:w="3572"/>
          </w:tcPr>
          <w:p>
            <w:pPr>
              <w:spacing w:after="0" w:line="240" w:lineRule="auto"/>
            </w:pPr>
            <w:r/>
            <w:r>
              <w:rPr>
                <w:sz w:val="18"/>
              </w:rPr>
              <w:t>Same; not a guarantee of the return</w:t>
            </w:r>
          </w:p>
        </w:tc>
      </w:tr>
      <w:tr>
        <w:trPr>
          <w:cantSplit/>
        </w:trPr>
        <w:tc>
          <w:tcPr>
            <w:tcW w:type="dxa" w:w="2041"/>
            <w:shd w:val="clear" w:color="auto" w:fill="F2F4F7"/>
          </w:tcPr>
          <w:p>
            <w:pPr>
              <w:spacing w:after="0" w:line="240" w:lineRule="auto"/>
            </w:pPr>
            <w:r/>
            <w:r>
              <w:rPr>
                <w:sz w:val="18"/>
              </w:rPr>
              <w:t>Landlord acknowledgement</w:t>
            </w:r>
          </w:p>
        </w:tc>
        <w:tc>
          <w:tcPr>
            <w:tcW w:type="dxa" w:w="3628"/>
            <w:shd w:val="clear" w:color="auto" w:fill="F2F4F7"/>
          </w:tcPr>
          <w:p>
            <w:pPr>
              <w:spacing w:after="0" w:line="240" w:lineRule="auto"/>
            </w:pPr>
            <w:r/>
            <w:r>
              <w:rPr>
                <w:sz w:val="18"/>
              </w:rPr>
              <w:t>Of the allocation and assignment rights</w:t>
            </w:r>
          </w:p>
        </w:tc>
        <w:tc>
          <w:tcPr>
            <w:tcW w:type="dxa" w:w="3572"/>
            <w:shd w:val="clear" w:color="auto" w:fill="F2F4F7"/>
          </w:tcPr>
          <w:p>
            <w:pPr>
              <w:spacing w:after="0" w:line="240" w:lineRule="auto"/>
            </w:pPr>
            <w:r/>
            <w:r>
              <w:rPr>
                <w:sz w:val="18"/>
              </w:rPr>
              <w:t>Of the earmark</w:t>
            </w:r>
          </w:p>
        </w:tc>
      </w:tr>
    </w:tbl>
    <w:p>
      <w:pPr>
        <w:spacing w:after="80"/>
      </w:pPr>
    </w:p>
    <w:p>
      <w:pPr>
        <w:pStyle w:val="Heading2"/>
      </w:pPr>
      <w:r>
        <w:t>14.2 Optional protections (for counsel)</w:t>
      </w:r>
    </w:p>
    <w:p>
      <w:pPr>
        <w:pStyle w:val="ListBullet"/>
        <w:spacing w:after="60"/>
      </w:pPr>
      <w:r>
        <w:rPr>
          <w:b w:val="0"/>
          <w:i w:val="0"/>
        </w:rPr>
        <w:t>Promissory note or post-dated cheques for each Option B instalment, common in Egyptian practice.</w:t>
      </w:r>
    </w:p>
    <w:p>
      <w:pPr>
        <w:pStyle w:val="ListBullet"/>
        <w:spacing w:after="60"/>
      </w:pPr>
      <w:r>
        <w:rPr>
          <w:b w:val="0"/>
          <w:i w:val="0"/>
        </w:rPr>
        <w:t>Independent engineer reporting on construction progress and cost to complete.</w:t>
      </w:r>
    </w:p>
    <w:p>
      <w:pPr>
        <w:pStyle w:val="ListBullet"/>
        <w:spacing w:after="60"/>
      </w:pPr>
      <w:r>
        <w:rPr>
          <w:b w:val="0"/>
          <w:i w:val="0"/>
        </w:rPr>
        <w:t>Step-in right to market the earmarked units after a payment default.</w:t>
      </w:r>
    </w:p>
    <w:p>
      <w:pPr>
        <w:pStyle w:val="ListBullet"/>
        <w:spacing w:after="60"/>
      </w:pPr>
      <w:r>
        <w:rPr>
          <w:b w:val="0"/>
          <w:i w:val="0"/>
        </w:rPr>
        <w:t>Parent guarantee: not offered. Jalour has chosen not to guarantee the return; the investor should price this.</w:t>
      </w:r>
    </w:p>
    <w:p>
      <w:pPr>
        <w:pStyle w:val="Heading2"/>
      </w:pPr>
      <w:r>
        <w:t>14.3 Ranking</w:t>
      </w:r>
    </w:p>
    <w:p>
      <w:r>
        <w:rPr>
          <w:b w:val="0"/>
          <w:i w:val="0"/>
        </w:rPr>
        <w:t>Proposed ranking, for counsel: in each project the investor's entitlement ranks as an obligation of that project company. It ranks behind amounts owed to the landowner under its agreement (which are paid from collections and take the first 35%) and behind construction and operating creditors in the ordinary course, and ahead of distributions to shareholders only to the extent of the payment priority covenant. Further project-level financing, if any, requires the investor's consent where it would rank ahead of the investor or encumber the earmarked units.</w:t>
      </w:r>
    </w:p>
    <w:p>
      <w:pPr>
        <w:pStyle w:val="Heading1"/>
      </w:pPr>
      <w:r>
        <w:t>15. Governance and information rights</w:t>
      </w:r>
    </w:p>
    <w:p>
      <w:pPr>
        <w:pStyle w:val="ListBullet"/>
        <w:spacing w:after="60"/>
      </w:pPr>
      <w:r>
        <w:rPr>
          <w:b/>
          <w:i w:val="0"/>
        </w:rPr>
        <w:t>Monthly report</w:t>
      </w:r>
      <w:r>
        <w:rPr>
          <w:b w:val="0"/>
          <w:i w:val="0"/>
        </w:rPr>
        <w:t xml:space="preserve"> for each project within 15 days of month-end: units sold and value, collections against plan, costs against budget, construction progress against programme, cash position, any payment overdue to the landlord.</w:t>
      </w:r>
    </w:p>
    <w:p>
      <w:pPr>
        <w:pStyle w:val="ListBullet"/>
        <w:spacing w:after="60"/>
      </w:pPr>
      <w:r>
        <w:rPr>
          <w:b/>
          <w:i w:val="0"/>
        </w:rPr>
        <w:t>Quarterly review</w:t>
      </w:r>
      <w:r>
        <w:rPr>
          <w:b w:val="0"/>
          <w:i w:val="0"/>
        </w:rPr>
        <w:t xml:space="preserve"> with the investor, including cost to complete and the sales pipeline, and the combined position of the two projects.</w:t>
      </w:r>
    </w:p>
    <w:p>
      <w:pPr>
        <w:pStyle w:val="ListBullet"/>
        <w:spacing w:after="60"/>
      </w:pPr>
      <w:r>
        <w:rPr>
          <w:b/>
          <w:i w:val="0"/>
        </w:rPr>
        <w:t>Annual audited accounts</w:t>
      </w:r>
      <w:r>
        <w:rPr>
          <w:b w:val="0"/>
          <w:i w:val="0"/>
        </w:rPr>
        <w:t xml:space="preserve"> of each project company within 120 days of year-end.</w:t>
      </w:r>
    </w:p>
    <w:p>
      <w:pPr>
        <w:pStyle w:val="ListBullet"/>
        <w:spacing w:after="60"/>
      </w:pPr>
      <w:r>
        <w:rPr>
          <w:b/>
          <w:i w:val="0"/>
        </w:rPr>
        <w:t>Audit and inspection rights</w:t>
      </w:r>
      <w:r>
        <w:rPr>
          <w:b w:val="0"/>
          <w:i w:val="0"/>
        </w:rPr>
        <w:t xml:space="preserve"> on reasonable notice over books, the sales register and the sites.</w:t>
      </w:r>
    </w:p>
    <w:p>
      <w:pPr>
        <w:pStyle w:val="ListBullet"/>
        <w:spacing w:after="60"/>
      </w:pPr>
      <w:r>
        <w:rPr>
          <w:b/>
          <w:i w:val="0"/>
        </w:rPr>
        <w:t>Consent matters:</w:t>
      </w:r>
      <w:r>
        <w:rPr>
          <w:b w:val="0"/>
          <w:i w:val="0"/>
        </w:rPr>
        <w:t xml:space="preserve"> changes to the unit allocation or earmarked units, new project-level debt or security that would rank ahead, related-party transactions above an agreed threshold, and amendment of a landlord agreement that changes payments.</w:t>
      </w:r>
    </w:p>
    <w:p>
      <w:pPr>
        <w:pStyle w:val="ListBullet"/>
        <w:spacing w:after="60"/>
      </w:pPr>
      <w:r>
        <w:rPr>
          <w:b/>
          <w:i w:val="0"/>
        </w:rPr>
        <w:t>Notice events:</w:t>
      </w:r>
      <w:r>
        <w:rPr>
          <w:b w:val="0"/>
          <w:i w:val="0"/>
        </w:rPr>
        <w:t xml:space="preserve"> landlord dispute or default, loss or change of a permit, delay of more than three months to a construction programme, any payment overdue to the investor.</w:t>
      </w:r>
    </w:p>
    <w:p>
      <w:pPr>
        <w:pStyle w:val="ListBullet"/>
        <w:spacing w:after="60"/>
      </w:pPr>
      <w:r>
        <w:rPr>
          <w:b/>
          <w:i w:val="0"/>
        </w:rPr>
        <w:t>Confidentiality:</w:t>
      </w:r>
      <w:r>
        <w:rPr>
          <w:b w:val="0"/>
          <w:i w:val="0"/>
        </w:rPr>
        <w:t xml:space="preserve"> all reports and information are confidential under the non-disclosure agreement.</w:t>
      </w:r>
    </w:p>
    <w:p>
      <w:r>
        <w:rPr>
          <w:b w:val="0"/>
          <w:i w:val="0"/>
        </w:rPr>
        <w:t>Reporting thresholds and timings are indicative. Because there is no restricted account, the investor's monitoring rests on reporting and audit rather than on control of cash.</w:t>
      </w:r>
    </w:p>
    <w:p>
      <w:pPr>
        <w:pStyle w:val="Heading1"/>
      </w:pPr>
      <w:r>
        <w:t>16. Exit and liquidity</w:t>
      </w:r>
    </w:p>
    <w:p>
      <w:pPr>
        <w:pStyle w:val="Heading2"/>
      </w:pPr>
      <w:r>
        <w:t>16.1 Option A</w:t>
      </w:r>
    </w:p>
    <w:p>
      <w:pPr>
        <w:pStyle w:val="ListBullet"/>
        <w:spacing w:after="60"/>
      </w:pPr>
      <w:r>
        <w:rPr>
          <w:b w:val="0"/>
          <w:i w:val="0"/>
        </w:rPr>
        <w:t>Handover is in project month 42 (Green Square) and 42 (L'avenir); units can be registered and sold from handover. The base case assumes sale over four quarters from three months after handover.</w:t>
      </w:r>
    </w:p>
    <w:p>
      <w:pPr>
        <w:pStyle w:val="ListBullet"/>
        <w:spacing w:after="60"/>
      </w:pPr>
      <w:r>
        <w:rPr>
          <w:b w:val="0"/>
          <w:i w:val="0"/>
        </w:rPr>
        <w:t>Before handover the investor may assign the contract with Jalour's consent and the landlord's acknowledgement [transfer fee to be agreed]. The buyer takes handover risk and will price it.</w:t>
      </w:r>
    </w:p>
    <w:p>
      <w:pPr>
        <w:pStyle w:val="ListBullet"/>
        <w:spacing w:after="60"/>
      </w:pPr>
      <w:r>
        <w:rPr>
          <w:b w:val="0"/>
          <w:i w:val="0"/>
        </w:rPr>
        <w:t>Jalour continues to sell its own inventory; the investor's resale competes with it. The agreements may include an orderly-sales covenant.</w:t>
      </w:r>
    </w:p>
    <w:p>
      <w:pPr>
        <w:pStyle w:val="Heading2"/>
      </w:pPr>
      <w:r>
        <w:t>16.2 Option B</w:t>
      </w:r>
    </w:p>
    <w:p>
      <w:r>
        <w:rPr>
          <w:b w:val="0"/>
          <w:i w:val="0"/>
        </w:rPr>
        <w:t>Cash is returned through the instalments in section 12.2. There is no market for the entitlement. Transfer to a third party requires Jalour's consent. Combined payback (cumulative cash returned equals the combined tickets) occurs in month 42 for Option B and month 51 for Option A in the base case.</w:t>
      </w:r>
    </w:p>
    <w:p>
      <w:pPr>
        <w:pStyle w:val="Heading1"/>
        <w:pageBreakBefore/>
      </w:pPr>
      <w:r>
        <w:t>17. Risk factors</w:t>
      </w:r>
    </w:p>
    <w:p>
      <w:pPr>
        <w:keepNext/>
      </w:pPr>
      <w:r>
        <w:rPr>
          <w:b w:val="0"/>
          <w:i w:val="0"/>
        </w:rPr>
        <w:t>The following is not exhaustive. Each risk is stated with the main mitigant.</w:t>
      </w:r>
    </w:p>
    <w:p>
      <w:pPr>
        <w:pStyle w:val="Heading3"/>
      </w:pPr>
      <w:r>
        <w:t>Market and price risk</w:t>
      </w:r>
    </w:p>
    <w:p>
      <w:r>
        <w:rPr>
          <w:b w:val="0"/>
          <w:i w:val="0"/>
        </w:rPr>
        <w:t>Unit prices may rise less than the plans, or fall. Option A returns depend on resale value; with no appreciation the combined MOIC falls to 1.94x. Mitigant: downside case shown; Option B has no unit price exposure.</w:t>
      </w:r>
    </w:p>
    <w:p>
      <w:pPr>
        <w:pStyle w:val="Heading3"/>
      </w:pPr>
      <w:r>
        <w:t>Sales pace and absorption</w:t>
      </w:r>
    </w:p>
    <w:p>
      <w:r>
        <w:rPr>
          <w:b w:val="0"/>
          <w:i w:val="0"/>
        </w:rPr>
        <w:t>The pipeline of Cairo offices equals 82% of current stock by 2029 (Knight Frank). If sales are delayed 12 months project NPV falls to EGP 52 million (Green Square) and EGP 143 million (L'avenir), and peak funding needs rise to EGP 408 and 779 million. Mitigant: Jalour funding undertaking; phased sales.</w:t>
      </w:r>
    </w:p>
    <w:p>
      <w:pPr>
        <w:pStyle w:val="Heading3"/>
      </w:pPr>
      <w:r>
        <w:t>Both projects short at once</w:t>
      </w:r>
    </w:p>
    <w:p>
      <w:r>
        <w:rPr>
          <w:b w:val="0"/>
          <w:i w:val="0"/>
        </w:rPr>
        <w:t>In stress cases the two projects need funding at the same time: combined peak EGP 318 million with delivery payments at handover and EGP 1,089 million in the downside. Mitigant: combined view disclosed; Jalour's reserves and other projects' cash; evidence after the non-disclosure agreement.</w:t>
      </w:r>
    </w:p>
    <w:p>
      <w:pPr>
        <w:pStyle w:val="Heading3"/>
      </w:pPr>
      <w:r>
        <w:t>Inflation and cost risk</w:t>
      </w:r>
    </w:p>
    <w:p>
      <w:r>
        <w:rPr>
          <w:b w:val="0"/>
          <w:i w:val="0"/>
        </w:rPr>
        <w:t>Construction cost is flat in the models. A 10% overrun lowers combined NPV by EGP 113 million. Mitigant: 5% contingency; contractor pricing in the data room; fixed-price contracting to be sought.</w:t>
      </w:r>
    </w:p>
    <w:p>
      <w:pPr>
        <w:pStyle w:val="Heading3"/>
      </w:pPr>
      <w:r>
        <w:t>Currency risk</w:t>
      </w:r>
    </w:p>
    <w:p>
      <w:r>
        <w:rPr>
          <w:b w:val="0"/>
          <w:i w:val="0"/>
        </w:rPr>
        <w:t>Returns are in EGP. USD value falls if the pound weakens; foreign investors should assess FX and repatriation (section 18). The USD equivalents shown use EGP 48 per USD; the market rate in September 2026 was about EGP 50 to 51.</w:t>
      </w:r>
    </w:p>
    <w:p>
      <w:pPr>
        <w:pStyle w:val="Heading3"/>
      </w:pPr>
      <w:r>
        <w:t>Delivery and construction risk</w:t>
      </w:r>
    </w:p>
    <w:p>
      <w:r>
        <w:rPr>
          <w:b w:val="0"/>
          <w:i w:val="0"/>
        </w:rPr>
        <w:t>Each development must be built in 36 months. Delay delays resale of units and the collection of delivery payments. Mitigant: independent engineer (optional); reporting; Jalour funding undertaking.</w:t>
      </w:r>
    </w:p>
    <w:p>
      <w:pPr>
        <w:pStyle w:val="Heading3"/>
      </w:pPr>
      <w:r>
        <w:t>Delivery-payment timing</w:t>
      </w:r>
    </w:p>
    <w:p>
      <w:r>
        <w:rPr>
          <w:b w:val="0"/>
          <w:i w:val="0"/>
        </w:rPr>
        <w:t>The plans collect delivery payments ahead of handover under the sale contracts. If buyers do not pay until handover, peak funding needs are EGP 269 and 244 million. Mitigant: contractual milestone; Jalour funding.</w:t>
      </w:r>
    </w:p>
    <w:p>
      <w:pPr>
        <w:pStyle w:val="Heading3"/>
      </w:pPr>
      <w:r>
        <w:t>Landlord risk</w:t>
      </w:r>
    </w:p>
    <w:p>
      <w:r>
        <w:rPr>
          <w:b w:val="0"/>
          <w:i w:val="0"/>
        </w:rPr>
        <w:t>The landlord guarantees are payable regardless of sales and its consent is required for allocations and encumbrances. A dispute could delay or prevent the allocation. Mitigant: consent as a condition precedent; guarantee schedules funded in the plans.</w:t>
      </w:r>
    </w:p>
    <w:p>
      <w:pPr>
        <w:pStyle w:val="Heading3"/>
      </w:pPr>
      <w:r>
        <w:t>Legal and regulatory risk</w:t>
      </w:r>
    </w:p>
    <w:p>
      <w:r>
        <w:rPr>
          <w:b w:val="0"/>
          <w:i w:val="0"/>
        </w:rPr>
        <w:t>Rules on off-plan sales (Jalour's position is that the state-land rules in Decree 2184 of 2022 do not apply to these plots), on assignment of contracts, on private placements and on foreign ownership may affect structure, timing or cost. Mitigant: counsel review before signing.</w:t>
      </w:r>
    </w:p>
    <w:p>
      <w:pPr>
        <w:pStyle w:val="Heading3"/>
      </w:pPr>
      <w:r>
        <w:t>Counterparty and credit risk (Option B)</w:t>
      </w:r>
    </w:p>
    <w:p>
      <w:r>
        <w:rPr>
          <w:b w:val="0"/>
          <w:i w:val="0"/>
        </w:rPr>
        <w:t>Instalments are an obligation of each project company without a parent guarantee. In the downside case pooled cash is negative and payment depends on Jalour's support. Mitigant: payment priority covenant; earmarked units; funding undertaking; optional promissory notes.</w:t>
      </w:r>
    </w:p>
    <w:p>
      <w:pPr>
        <w:pStyle w:val="Heading3"/>
      </w:pPr>
      <w:r>
        <w:t>Concentration</w:t>
      </w:r>
    </w:p>
    <w:p>
      <w:r>
        <w:rPr>
          <w:b w:val="0"/>
          <w:i w:val="0"/>
        </w:rPr>
        <w:t>The investment is exposed to two projects in one city, on land of one landowner, in two property types. Each project has its own company, security and reporting, with no cross-collateral or cross-default.</w:t>
      </w:r>
    </w:p>
    <w:p>
      <w:pPr>
        <w:pStyle w:val="Heading3"/>
      </w:pPr>
      <w:r>
        <w:t>Model and information risk</w:t>
      </w:r>
    </w:p>
    <w:p>
      <w:r>
        <w:rPr>
          <w:b w:val="0"/>
          <w:i w:val="0"/>
        </w:rPr>
        <w:t>Figures derive from a Jalour model that has known simplifications: the admin sales area exceeds office built-up area, prices are stepped by assumption, costs are not inflated and pre-construction costs are not separately modelled. Mitigant: reconciliation and data room evidence.</w:t>
      </w:r>
    </w:p>
    <w:p>
      <w:pPr>
        <w:pStyle w:val="Heading3"/>
      </w:pPr>
      <w:r>
        <w:t>Liquidity risk</w:t>
      </w:r>
    </w:p>
    <w:p>
      <w:r>
        <w:rPr>
          <w:b w:val="0"/>
          <w:i w:val="0"/>
        </w:rPr>
        <w:t>There is no market for the Option B entitlement and Option A units cannot be sold in practice before handover without a discount.</w:t>
      </w:r>
    </w:p>
    <w:p>
      <w:pPr>
        <w:pStyle w:val="Heading3"/>
      </w:pPr>
      <w:r>
        <w:t>Confidentiality</w:t>
      </w:r>
    </w:p>
    <w:p>
      <w:r>
        <w:rPr>
          <w:b w:val="0"/>
          <w:i w:val="0"/>
        </w:rPr>
        <w:t>The pack contains the financial information of both projects. Disclosure outside the non-disclosure agreement is prohibited and may cause Jalour loss; the investor's own advisers must be bound by the same terms.</w:t>
      </w:r>
    </w:p>
    <w:p>
      <w:pPr>
        <w:pStyle w:val="Heading1"/>
      </w:pPr>
      <w:r>
        <w:t>18. Tax and legal considerations</w:t>
      </w:r>
    </w:p>
    <w:p>
      <w:pPr>
        <w:keepNext/>
      </w:pPr>
      <w:r>
        <w:rPr>
          <w:b w:val="0"/>
          <w:i w:val="0"/>
        </w:rPr>
        <w:t>The following are issues for counsel and tax advisers. Jalour gives no legal or tax conclusion.</w:t>
      </w:r>
    </w:p>
    <w:p>
      <w:pPr>
        <w:pStyle w:val="ListBullet"/>
        <w:spacing w:after="60"/>
      </w:pPr>
      <w:r>
        <w:rPr>
          <w:b w:val="0"/>
          <w:i w:val="0"/>
        </w:rPr>
        <w:t>Nature of the instrument (equity, loan or contractual entitlement) and its tax, regulatory and enforceability consequences in Egypt.</w:t>
      </w:r>
    </w:p>
    <w:p>
      <w:pPr>
        <w:pStyle w:val="ListBullet"/>
        <w:spacing w:after="60"/>
      </w:pPr>
      <w:r>
        <w:rPr>
          <w:b w:val="0"/>
          <w:i w:val="0"/>
        </w:rPr>
        <w:t>Regulatory position of a private placement of this kind (Financial Regulatory Authority and any other body), including investor eligibility.</w:t>
      </w:r>
    </w:p>
    <w:p>
      <w:pPr>
        <w:pStyle w:val="ListBullet"/>
        <w:spacing w:after="60"/>
      </w:pPr>
      <w:r>
        <w:rPr>
          <w:b w:val="0"/>
          <w:i w:val="0"/>
        </w:rPr>
        <w:t>Tax on the investor's return under each option: withholding tax, corporate or personal income tax, and VAT on supplies.</w:t>
      </w:r>
    </w:p>
    <w:p>
      <w:pPr>
        <w:pStyle w:val="ListBullet"/>
        <w:spacing w:after="60"/>
      </w:pPr>
      <w:r>
        <w:rPr>
          <w:b w:val="0"/>
          <w:i w:val="0"/>
        </w:rPr>
        <w:t>Taxes and registration fees on the transfer of units (including real estate disposal tax and stamp duty) and who bears them on resale.</w:t>
      </w:r>
    </w:p>
    <w:p>
      <w:pPr>
        <w:pStyle w:val="ListBullet"/>
        <w:spacing w:after="60"/>
      </w:pPr>
      <w:r>
        <w:rPr>
          <w:b w:val="0"/>
          <w:i w:val="0"/>
        </w:rPr>
        <w:t>The basis on which the separate project-account rule for developers on state-allocated land does not apply to these plots (Jalour's position).</w:t>
      </w:r>
    </w:p>
    <w:p>
      <w:pPr>
        <w:pStyle w:val="ListBullet"/>
        <w:spacing w:after="60"/>
      </w:pPr>
      <w:r>
        <w:rPr>
          <w:b w:val="0"/>
          <w:i w:val="0"/>
        </w:rPr>
        <w:t>Foreign investor treatment: ownership of units, repatriation of proceeds, foreign-exchange availability and any central bank requirements.</w:t>
      </w:r>
    </w:p>
    <w:p>
      <w:pPr>
        <w:pStyle w:val="ListBullet"/>
        <w:spacing w:after="60"/>
      </w:pPr>
      <w:r>
        <w:rPr>
          <w:b w:val="0"/>
          <w:i w:val="0"/>
        </w:rPr>
        <w:t>Enforceability of security over unsold units, the earmark, negative pledge and any promissory notes; stamp duty on security documents.</w:t>
      </w:r>
    </w:p>
    <w:p>
      <w:pPr>
        <w:pStyle w:val="ListBullet"/>
        <w:spacing w:after="60"/>
      </w:pPr>
      <w:r>
        <w:rPr>
          <w:b w:val="0"/>
          <w:i w:val="0"/>
        </w:rPr>
        <w:t>Anti-money-laundering and know-your-customer requirements for the investor and for unit buyers.</w:t>
      </w:r>
    </w:p>
    <w:p>
      <w:pPr>
        <w:pStyle w:val="ListBullet"/>
        <w:spacing w:after="60"/>
      </w:pPr>
      <w:r>
        <w:rPr>
          <w:b w:val="0"/>
          <w:i w:val="0"/>
        </w:rPr>
        <w:t>Corporate approvals, project company formation and the effect of Jalour or Al Jalal Holding insolvency on the project companies.</w:t>
      </w:r>
    </w:p>
    <w:p>
      <w:pPr>
        <w:pStyle w:val="ListBullet"/>
        <w:spacing w:after="60"/>
      </w:pPr>
      <w:r>
        <w:rPr>
          <w:b w:val="0"/>
          <w:i w:val="0"/>
        </w:rPr>
        <w:t>Terms, governing law and forum of the non-disclosure agreement.</w:t>
      </w:r>
    </w:p>
    <w:p>
      <w:pPr>
        <w:pStyle w:val="Heading1"/>
        <w:pageBreakBefore/>
      </w:pPr>
      <w:r>
        <w:t>Appendices</w:t>
      </w:r>
    </w:p>
    <w:p>
      <w:pPr>
        <w:pStyle w:val="Heading2"/>
      </w:pPr>
      <w:r>
        <w:t>Appendix A: Definitions</w:t>
      </w:r>
    </w:p>
    <w:p>
      <w:pPr>
        <w:keepNext/>
        <w:spacing w:after="60"/>
      </w:pPr>
      <w:r>
        <w:rPr>
          <w:b/>
          <w:color w:val="17324D"/>
          <w:sz w:val="19"/>
        </w:rPr>
        <w:t>Table 36: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551"/>
            <w:shd w:val="clear" w:color="auto" w:fill="17324D"/>
          </w:tcPr>
          <w:p>
            <w:pPr>
              <w:spacing w:after="0" w:line="240" w:lineRule="auto"/>
            </w:pPr>
            <w:r/>
            <w:r>
              <w:rPr>
                <w:b/>
                <w:color w:val="FFFFFF"/>
                <w:sz w:val="19"/>
              </w:rPr>
              <w:t>Term</w:t>
            </w:r>
          </w:p>
        </w:tc>
        <w:tc>
          <w:tcPr>
            <w:tcW w:type="dxa" w:w="6690"/>
            <w:shd w:val="clear" w:color="auto" w:fill="17324D"/>
          </w:tcPr>
          <w:p>
            <w:pPr>
              <w:spacing w:after="0" w:line="240" w:lineRule="auto"/>
            </w:pPr>
            <w:r/>
            <w:r>
              <w:rPr>
                <w:b/>
                <w:color w:val="FFFFFF"/>
                <w:sz w:val="19"/>
              </w:rPr>
              <w:t>Meaning</w:t>
            </w:r>
          </w:p>
        </w:tc>
      </w:tr>
      <w:tr>
        <w:trPr>
          <w:cantSplit/>
        </w:trPr>
        <w:tc>
          <w:tcPr>
            <w:tcW w:type="dxa" w:w="2551"/>
          </w:tcPr>
          <w:p>
            <w:pPr>
              <w:spacing w:after="0" w:line="240" w:lineRule="auto"/>
            </w:pPr>
            <w:r/>
            <w:r>
              <w:rPr>
                <w:b/>
                <w:sz w:val="19"/>
              </w:rPr>
              <w:t>Launch list</w:t>
            </w:r>
          </w:p>
        </w:tc>
        <w:tc>
          <w:tcPr>
            <w:tcW w:type="dxa" w:w="6690"/>
          </w:tcPr>
          <w:p>
            <w:pPr>
              <w:spacing w:after="0" w:line="240" w:lineRule="auto"/>
            </w:pPr>
            <w:r/>
            <w:r>
              <w:rPr>
                <w:sz w:val="19"/>
              </w:rPr>
              <w:t>Price list in force at the first sales tranche of each project</w:t>
            </w:r>
          </w:p>
        </w:tc>
      </w:tr>
      <w:tr>
        <w:trPr>
          <w:cantSplit/>
        </w:trPr>
        <w:tc>
          <w:tcPr>
            <w:tcW w:type="dxa" w:w="2551"/>
            <w:shd w:val="clear" w:color="auto" w:fill="F2F4F7"/>
          </w:tcPr>
          <w:p>
            <w:pPr>
              <w:spacing w:after="0" w:line="240" w:lineRule="auto"/>
            </w:pPr>
            <w:r/>
            <w:r>
              <w:rPr>
                <w:b/>
                <w:sz w:val="19"/>
              </w:rPr>
              <w:t>Face value</w:t>
            </w:r>
          </w:p>
        </w:tc>
        <w:tc>
          <w:tcPr>
            <w:tcW w:type="dxa" w:w="6690"/>
            <w:shd w:val="clear" w:color="auto" w:fill="F2F4F7"/>
          </w:tcPr>
          <w:p>
            <w:pPr>
              <w:spacing w:after="0" w:line="240" w:lineRule="auto"/>
            </w:pPr>
            <w:r/>
            <w:r>
              <w:rPr>
                <w:sz w:val="19"/>
              </w:rPr>
              <w:t>Units valued at the launch list</w:t>
            </w:r>
          </w:p>
        </w:tc>
      </w:tr>
      <w:tr>
        <w:trPr>
          <w:cantSplit/>
        </w:trPr>
        <w:tc>
          <w:tcPr>
            <w:tcW w:type="dxa" w:w="2551"/>
          </w:tcPr>
          <w:p>
            <w:pPr>
              <w:spacing w:after="0" w:line="240" w:lineRule="auto"/>
            </w:pPr>
            <w:r/>
            <w:r>
              <w:rPr>
                <w:b/>
                <w:sz w:val="19"/>
              </w:rPr>
              <w:t>Pooled cash</w:t>
            </w:r>
          </w:p>
        </w:tc>
        <w:tc>
          <w:tcPr>
            <w:tcW w:type="dxa" w:w="6690"/>
          </w:tcPr>
          <w:p>
            <w:pPr>
              <w:spacing w:after="0" w:line="240" w:lineRule="auto"/>
            </w:pPr>
            <w:r/>
            <w:r>
              <w:rPr>
                <w:sz w:val="19"/>
              </w:rPr>
              <w:t>Cumulative project net cash flow plus the ticket less payouts; not a restricted account</w:t>
            </w:r>
          </w:p>
        </w:tc>
      </w:tr>
      <w:tr>
        <w:trPr>
          <w:cantSplit/>
        </w:trPr>
        <w:tc>
          <w:tcPr>
            <w:tcW w:type="dxa" w:w="2551"/>
            <w:shd w:val="clear" w:color="auto" w:fill="F2F4F7"/>
          </w:tcPr>
          <w:p>
            <w:pPr>
              <w:spacing w:after="0" w:line="240" w:lineRule="auto"/>
            </w:pPr>
            <w:r/>
            <w:r>
              <w:rPr>
                <w:b/>
                <w:sz w:val="19"/>
              </w:rPr>
              <w:t>Coverage (net cash flow)</w:t>
            </w:r>
          </w:p>
        </w:tc>
        <w:tc>
          <w:tcPr>
            <w:tcW w:type="dxa" w:w="6690"/>
            <w:shd w:val="clear" w:color="auto" w:fill="F2F4F7"/>
          </w:tcPr>
          <w:p>
            <w:pPr>
              <w:spacing w:after="0" w:line="240" w:lineRule="auto"/>
            </w:pPr>
            <w:r/>
            <w:r>
              <w:rPr>
                <w:sz w:val="19"/>
              </w:rPr>
              <w:t>Quarterly project net cash flow before payouts divided by the instalment</w:t>
            </w:r>
          </w:p>
        </w:tc>
      </w:tr>
      <w:tr>
        <w:trPr>
          <w:cantSplit/>
        </w:trPr>
        <w:tc>
          <w:tcPr>
            <w:tcW w:type="dxa" w:w="2551"/>
          </w:tcPr>
          <w:p>
            <w:pPr>
              <w:spacing w:after="0" w:line="240" w:lineRule="auto"/>
            </w:pPr>
            <w:r/>
            <w:r>
              <w:rPr>
                <w:b/>
                <w:sz w:val="19"/>
              </w:rPr>
              <w:t>Coverage (cash available)</w:t>
            </w:r>
          </w:p>
        </w:tc>
        <w:tc>
          <w:tcPr>
            <w:tcW w:type="dxa" w:w="6690"/>
          </w:tcPr>
          <w:p>
            <w:pPr>
              <w:spacing w:after="0" w:line="240" w:lineRule="auto"/>
            </w:pPr>
            <w:r/>
            <w:r>
              <w:rPr>
                <w:sz w:val="19"/>
              </w:rPr>
              <w:t>Pooled cash at the start of the quarter plus the quarter's net cash flow, divided by the instalment</w:t>
            </w:r>
          </w:p>
        </w:tc>
      </w:tr>
      <w:tr>
        <w:trPr>
          <w:cantSplit/>
        </w:trPr>
        <w:tc>
          <w:tcPr>
            <w:tcW w:type="dxa" w:w="2551"/>
            <w:shd w:val="clear" w:color="auto" w:fill="F2F4F7"/>
          </w:tcPr>
          <w:p>
            <w:pPr>
              <w:spacing w:after="0" w:line="240" w:lineRule="auto"/>
            </w:pPr>
            <w:r/>
            <w:r>
              <w:rPr>
                <w:b/>
                <w:sz w:val="19"/>
              </w:rPr>
              <w:t>Peak shortage</w:t>
            </w:r>
          </w:p>
        </w:tc>
        <w:tc>
          <w:tcPr>
            <w:tcW w:type="dxa" w:w="6690"/>
            <w:shd w:val="clear" w:color="auto" w:fill="F2F4F7"/>
          </w:tcPr>
          <w:p>
            <w:pPr>
              <w:spacing w:after="0" w:line="240" w:lineRule="auto"/>
            </w:pPr>
            <w:r/>
            <w:r>
              <w:rPr>
                <w:sz w:val="19"/>
              </w:rPr>
              <w:t>Lowest cumulative net cash flow in the model, before the ticket</w:t>
            </w:r>
          </w:p>
        </w:tc>
      </w:tr>
      <w:tr>
        <w:trPr>
          <w:cantSplit/>
        </w:trPr>
        <w:tc>
          <w:tcPr>
            <w:tcW w:type="dxa" w:w="2551"/>
          </w:tcPr>
          <w:p>
            <w:pPr>
              <w:spacing w:after="0" w:line="240" w:lineRule="auto"/>
            </w:pPr>
            <w:r/>
            <w:r>
              <w:rPr>
                <w:b/>
                <w:sz w:val="19"/>
              </w:rPr>
              <w:t>MOIC</w:t>
            </w:r>
          </w:p>
        </w:tc>
        <w:tc>
          <w:tcPr>
            <w:tcW w:type="dxa" w:w="6690"/>
          </w:tcPr>
          <w:p>
            <w:pPr>
              <w:spacing w:after="0" w:line="240" w:lineRule="auto"/>
            </w:pPr>
            <w:r/>
            <w:r>
              <w:rPr>
                <w:sz w:val="19"/>
              </w:rPr>
              <w:t>Multiple of invested capital: cash received divided by cash invested</w:t>
            </w:r>
          </w:p>
        </w:tc>
      </w:tr>
    </w:tbl>
    <w:p>
      <w:pPr>
        <w:spacing w:after="80"/>
      </w:pPr>
    </w:p>
    <w:p>
      <w:pPr>
        <w:pStyle w:val="Heading2"/>
      </w:pPr>
      <w:r>
        <w:t>Appendix B: Reconciliation to the Financial Annex</w:t>
      </w:r>
    </w:p>
    <w:p>
      <w:r>
        <w:rPr>
          <w:b w:val="0"/>
          <w:i w:val="0"/>
        </w:rPr>
        <w:t>Each headline figure in this memorandum is computed in the Financial Annex (Combined_Summary and the project sheets prefixed GS_ and LA_). The Combined_Reconciliation sheet ties each project cash flow to the Jalour model and to an independent recomputation; all differences are zero.</w:t>
      </w:r>
    </w:p>
    <w:p>
      <w:pPr>
        <w:keepNext/>
        <w:spacing w:after="60"/>
      </w:pPr>
      <w:r>
        <w:rPr>
          <w:b/>
          <w:color w:val="17324D"/>
          <w:sz w:val="19"/>
        </w:rPr>
        <w:t>Table 37: Key figures and annex locations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4252"/>
            <w:shd w:val="clear" w:color="auto" w:fill="17324D"/>
          </w:tcPr>
          <w:p>
            <w:pPr>
              <w:spacing w:after="0" w:line="240" w:lineRule="auto"/>
            </w:pPr>
            <w:r/>
            <w:r>
              <w:rPr>
                <w:b/>
                <w:color w:val="FFFFFF"/>
                <w:sz w:val="19"/>
              </w:rPr>
              <w:t>Figure</w:t>
            </w:r>
          </w:p>
        </w:tc>
        <w:tc>
          <w:tcPr>
            <w:tcW w:type="dxa" w:w="2268"/>
            <w:shd w:val="clear" w:color="auto" w:fill="17324D"/>
          </w:tcPr>
          <w:p>
            <w:pPr>
              <w:spacing w:after="0" w:line="240" w:lineRule="auto"/>
              <w:jc w:val="right"/>
            </w:pPr>
            <w:r/>
            <w:r>
              <w:rPr>
                <w:b/>
                <w:color w:val="FFFFFF"/>
                <w:sz w:val="19"/>
              </w:rPr>
              <w:t>Value</w:t>
            </w:r>
          </w:p>
        </w:tc>
        <w:tc>
          <w:tcPr>
            <w:tcW w:type="dxa" w:w="2721"/>
            <w:shd w:val="clear" w:color="auto" w:fill="17324D"/>
          </w:tcPr>
          <w:p>
            <w:pPr>
              <w:spacing w:after="0" w:line="240" w:lineRule="auto"/>
              <w:jc w:val="right"/>
            </w:pPr>
            <w:r/>
            <w:r>
              <w:rPr>
                <w:b/>
                <w:color w:val="FFFFFF"/>
                <w:sz w:val="19"/>
              </w:rPr>
              <w:t>Annex location</w:t>
            </w:r>
          </w:p>
        </w:tc>
      </w:tr>
      <w:tr>
        <w:trPr>
          <w:cantSplit/>
        </w:trPr>
        <w:tc>
          <w:tcPr>
            <w:tcW w:type="dxa" w:w="4252"/>
          </w:tcPr>
          <w:p>
            <w:pPr>
              <w:spacing w:after="0" w:line="240" w:lineRule="auto"/>
            </w:pPr>
            <w:r/>
            <w:r>
              <w:rPr>
                <w:sz w:val="19"/>
              </w:rPr>
              <w:t>Net cash flow, nominal (EGP m), GS / LA</w:t>
            </w:r>
          </w:p>
        </w:tc>
        <w:tc>
          <w:tcPr>
            <w:tcW w:type="dxa" w:w="2268"/>
          </w:tcPr>
          <w:p>
            <w:pPr>
              <w:spacing w:after="0" w:line="240" w:lineRule="auto"/>
              <w:jc w:val="right"/>
            </w:pPr>
            <w:r/>
            <w:r>
              <w:rPr>
                <w:sz w:val="19"/>
              </w:rPr>
              <w:t>375.4 / 595.3</w:t>
            </w:r>
          </w:p>
        </w:tc>
        <w:tc>
          <w:tcPr>
            <w:tcW w:type="dxa" w:w="2721"/>
          </w:tcPr>
          <w:p>
            <w:pPr>
              <w:spacing w:after="0" w:line="240" w:lineRule="auto"/>
              <w:jc w:val="right"/>
            </w:pPr>
            <w:r/>
            <w:r>
              <w:rPr>
                <w:sz w:val="19"/>
              </w:rPr>
              <w:t>GS_Project_CF; LA_Project_CF</w:t>
            </w:r>
          </w:p>
        </w:tc>
      </w:tr>
      <w:tr>
        <w:trPr>
          <w:cantSplit/>
        </w:trPr>
        <w:tc>
          <w:tcPr>
            <w:tcW w:type="dxa" w:w="4252"/>
            <w:shd w:val="clear" w:color="auto" w:fill="F2F4F7"/>
          </w:tcPr>
          <w:p>
            <w:pPr>
              <w:spacing w:after="0" w:line="240" w:lineRule="auto"/>
            </w:pPr>
            <w:r/>
            <w:r>
              <w:rPr>
                <w:sz w:val="19"/>
              </w:rPr>
              <w:t>NPV at 14% (EGP m), GS / LA</w:t>
            </w:r>
          </w:p>
        </w:tc>
        <w:tc>
          <w:tcPr>
            <w:tcW w:type="dxa" w:w="2268"/>
            <w:shd w:val="clear" w:color="auto" w:fill="F2F4F7"/>
          </w:tcPr>
          <w:p>
            <w:pPr>
              <w:spacing w:after="0" w:line="240" w:lineRule="auto"/>
              <w:jc w:val="right"/>
            </w:pPr>
            <w:r/>
            <w:r>
              <w:rPr>
                <w:sz w:val="19"/>
              </w:rPr>
              <w:t>229.9 / 350.6</w:t>
            </w:r>
          </w:p>
        </w:tc>
        <w:tc>
          <w:tcPr>
            <w:tcW w:type="dxa" w:w="2721"/>
            <w:shd w:val="clear" w:color="auto" w:fill="F2F4F7"/>
          </w:tcPr>
          <w:p>
            <w:pPr>
              <w:spacing w:after="0" w:line="240" w:lineRule="auto"/>
              <w:jc w:val="right"/>
            </w:pPr>
            <w:r/>
            <w:r>
              <w:rPr>
                <w:sz w:val="19"/>
              </w:rPr>
              <w:t>GS_Project_CF; LA_Project_CF</w:t>
            </w:r>
          </w:p>
        </w:tc>
      </w:tr>
      <w:tr>
        <w:trPr>
          <w:cantSplit/>
        </w:trPr>
        <w:tc>
          <w:tcPr>
            <w:tcW w:type="dxa" w:w="4252"/>
          </w:tcPr>
          <w:p>
            <w:pPr>
              <w:spacing w:after="0" w:line="240" w:lineRule="auto"/>
            </w:pPr>
            <w:r/>
            <w:r>
              <w:rPr>
                <w:sz w:val="19"/>
              </w:rPr>
              <w:t>Peak shortage (EGP m), GS / LA</w:t>
            </w:r>
          </w:p>
        </w:tc>
        <w:tc>
          <w:tcPr>
            <w:tcW w:type="dxa" w:w="2268"/>
          </w:tcPr>
          <w:p>
            <w:pPr>
              <w:spacing w:after="0" w:line="240" w:lineRule="auto"/>
              <w:jc w:val="right"/>
            </w:pPr>
            <w:r/>
            <w:r>
              <w:rPr>
                <w:sz w:val="19"/>
              </w:rPr>
              <w:t>102.5 / 102.0</w:t>
            </w:r>
          </w:p>
        </w:tc>
        <w:tc>
          <w:tcPr>
            <w:tcW w:type="dxa" w:w="2721"/>
          </w:tcPr>
          <w:p>
            <w:pPr>
              <w:spacing w:after="0" w:line="240" w:lineRule="auto"/>
              <w:jc w:val="right"/>
            </w:pPr>
            <w:r/>
            <w:r>
              <w:rPr>
                <w:sz w:val="19"/>
              </w:rPr>
              <w:t>GS_Sources_Uses; LA_Sources_Uses</w:t>
            </w:r>
          </w:p>
        </w:tc>
      </w:tr>
      <w:tr>
        <w:trPr>
          <w:cantSplit/>
        </w:trPr>
        <w:tc>
          <w:tcPr>
            <w:tcW w:type="dxa" w:w="4252"/>
            <w:shd w:val="clear" w:color="auto" w:fill="F2F4F7"/>
          </w:tcPr>
          <w:p>
            <w:pPr>
              <w:spacing w:after="0" w:line="240" w:lineRule="auto"/>
            </w:pPr>
            <w:r/>
            <w:r>
              <w:rPr>
                <w:sz w:val="19"/>
              </w:rPr>
              <w:t>Combined lowest position, base (EGP m)</w:t>
            </w:r>
          </w:p>
        </w:tc>
        <w:tc>
          <w:tcPr>
            <w:tcW w:type="dxa" w:w="2268"/>
            <w:shd w:val="clear" w:color="auto" w:fill="F2F4F7"/>
          </w:tcPr>
          <w:p>
            <w:pPr>
              <w:spacing w:after="0" w:line="240" w:lineRule="auto"/>
              <w:jc w:val="right"/>
            </w:pPr>
            <w:r/>
            <w:r>
              <w:rPr>
                <w:sz w:val="19"/>
              </w:rPr>
              <w:t>-168.0</w:t>
            </w:r>
          </w:p>
        </w:tc>
        <w:tc>
          <w:tcPr>
            <w:tcW w:type="dxa" w:w="2721"/>
            <w:shd w:val="clear" w:color="auto" w:fill="F2F4F7"/>
          </w:tcPr>
          <w:p>
            <w:pPr>
              <w:spacing w:after="0" w:line="240" w:lineRule="auto"/>
              <w:jc w:val="right"/>
            </w:pPr>
            <w:r/>
            <w:r>
              <w:rPr>
                <w:sz w:val="19"/>
              </w:rPr>
              <w:t>Combined_Position</w:t>
            </w:r>
          </w:p>
        </w:tc>
      </w:tr>
      <w:tr>
        <w:trPr>
          <w:cantSplit/>
        </w:trPr>
        <w:tc>
          <w:tcPr>
            <w:tcW w:type="dxa" w:w="4252"/>
          </w:tcPr>
          <w:p>
            <w:pPr>
              <w:spacing w:after="0" w:line="240" w:lineRule="auto"/>
            </w:pPr>
            <w:r/>
            <w:r>
              <w:rPr>
                <w:sz w:val="19"/>
              </w:rPr>
              <w:t>Option A investor IRR / MOIC (combined)</w:t>
            </w:r>
          </w:p>
        </w:tc>
        <w:tc>
          <w:tcPr>
            <w:tcW w:type="dxa" w:w="2268"/>
          </w:tcPr>
          <w:p>
            <w:pPr>
              <w:spacing w:after="0" w:line="240" w:lineRule="auto"/>
              <w:jc w:val="right"/>
            </w:pPr>
            <w:r/>
            <w:r>
              <w:rPr>
                <w:sz w:val="19"/>
              </w:rPr>
              <w:t>27.7% / 2.83x</w:t>
            </w:r>
          </w:p>
        </w:tc>
        <w:tc>
          <w:tcPr>
            <w:tcW w:type="dxa" w:w="2721"/>
          </w:tcPr>
          <w:p>
            <w:pPr>
              <w:spacing w:after="0" w:line="240" w:lineRule="auto"/>
              <w:jc w:val="right"/>
            </w:pPr>
            <w:r/>
            <w:r>
              <w:rPr>
                <w:sz w:val="19"/>
              </w:rPr>
              <w:t>Combined_Summary</w:t>
            </w:r>
          </w:p>
        </w:tc>
      </w:tr>
      <w:tr>
        <w:trPr>
          <w:cantSplit/>
        </w:trPr>
        <w:tc>
          <w:tcPr>
            <w:tcW w:type="dxa" w:w="4252"/>
            <w:shd w:val="clear" w:color="auto" w:fill="F2F4F7"/>
          </w:tcPr>
          <w:p>
            <w:pPr>
              <w:spacing w:after="0" w:line="240" w:lineRule="auto"/>
            </w:pPr>
            <w:r/>
            <w:r>
              <w:rPr>
                <w:sz w:val="19"/>
              </w:rPr>
              <w:t>Option A Jalour cost of capital (combined)</w:t>
            </w:r>
          </w:p>
        </w:tc>
        <w:tc>
          <w:tcPr>
            <w:tcW w:type="dxa" w:w="2268"/>
            <w:shd w:val="clear" w:color="auto" w:fill="F2F4F7"/>
          </w:tcPr>
          <w:p>
            <w:pPr>
              <w:spacing w:after="0" w:line="240" w:lineRule="auto"/>
              <w:jc w:val="right"/>
            </w:pPr>
            <w:r/>
            <w:r>
              <w:rPr>
                <w:sz w:val="19"/>
              </w:rPr>
              <w:t>21.6%</w:t>
            </w:r>
          </w:p>
        </w:tc>
        <w:tc>
          <w:tcPr>
            <w:tcW w:type="dxa" w:w="2721"/>
            <w:shd w:val="clear" w:color="auto" w:fill="F2F4F7"/>
          </w:tcPr>
          <w:p>
            <w:pPr>
              <w:spacing w:after="0" w:line="240" w:lineRule="auto"/>
              <w:jc w:val="right"/>
            </w:pPr>
            <w:r/>
            <w:r>
              <w:rPr>
                <w:sz w:val="19"/>
              </w:rPr>
              <w:t>Combined_Summary</w:t>
            </w:r>
          </w:p>
        </w:tc>
      </w:tr>
      <w:tr>
        <w:trPr>
          <w:cantSplit/>
        </w:trPr>
        <w:tc>
          <w:tcPr>
            <w:tcW w:type="dxa" w:w="4252"/>
          </w:tcPr>
          <w:p>
            <w:pPr>
              <w:spacing w:after="0" w:line="240" w:lineRule="auto"/>
            </w:pPr>
            <w:r/>
            <w:r>
              <w:rPr>
                <w:sz w:val="19"/>
              </w:rPr>
              <w:t>Option B investor IRR / MOIC (combined)</w:t>
            </w:r>
          </w:p>
        </w:tc>
        <w:tc>
          <w:tcPr>
            <w:tcW w:type="dxa" w:w="2268"/>
          </w:tcPr>
          <w:p>
            <w:pPr>
              <w:spacing w:after="0" w:line="240" w:lineRule="auto"/>
              <w:jc w:val="right"/>
            </w:pPr>
            <w:r/>
            <w:r>
              <w:rPr>
                <w:sz w:val="19"/>
              </w:rPr>
              <w:t>26.5% / 2.30x</w:t>
            </w:r>
          </w:p>
        </w:tc>
        <w:tc>
          <w:tcPr>
            <w:tcW w:type="dxa" w:w="2721"/>
          </w:tcPr>
          <w:p>
            <w:pPr>
              <w:spacing w:after="0" w:line="240" w:lineRule="auto"/>
              <w:jc w:val="right"/>
            </w:pPr>
            <w:r/>
            <w:r>
              <w:rPr>
                <w:sz w:val="19"/>
              </w:rPr>
              <w:t>Combined_Summary</w:t>
            </w:r>
          </w:p>
        </w:tc>
      </w:tr>
      <w:tr>
        <w:trPr>
          <w:cantSplit/>
        </w:trPr>
        <w:tc>
          <w:tcPr>
            <w:tcW w:type="dxa" w:w="4252"/>
            <w:shd w:val="clear" w:color="auto" w:fill="F2F4F7"/>
          </w:tcPr>
          <w:p>
            <w:pPr>
              <w:spacing w:after="0" w:line="240" w:lineRule="auto"/>
            </w:pPr>
            <w:r/>
            <w:r>
              <w:rPr>
                <w:sz w:val="19"/>
              </w:rPr>
              <w:t>Option B lowest pooled cash, base (EGP m)</w:t>
            </w:r>
          </w:p>
        </w:tc>
        <w:tc>
          <w:tcPr>
            <w:tcW w:type="dxa" w:w="2268"/>
            <w:shd w:val="clear" w:color="auto" w:fill="F2F4F7"/>
          </w:tcPr>
          <w:p>
            <w:pPr>
              <w:spacing w:after="0" w:line="240" w:lineRule="auto"/>
              <w:jc w:val="right"/>
            </w:pPr>
            <w:r/>
            <w:r>
              <w:rPr>
                <w:sz w:val="19"/>
              </w:rPr>
              <w:t>-43.0</w:t>
            </w:r>
          </w:p>
        </w:tc>
        <w:tc>
          <w:tcPr>
            <w:tcW w:type="dxa" w:w="2721"/>
            <w:shd w:val="clear" w:color="auto" w:fill="F2F4F7"/>
          </w:tcPr>
          <w:p>
            <w:pPr>
              <w:spacing w:after="0" w:line="240" w:lineRule="auto"/>
              <w:jc w:val="right"/>
            </w:pPr>
            <w:r/>
            <w:r>
              <w:rPr>
                <w:sz w:val="19"/>
              </w:rPr>
              <w:t>Combined_Summary</w:t>
            </w:r>
          </w:p>
        </w:tc>
      </w:tr>
    </w:tbl>
    <w:p>
      <w:pPr>
        <w:spacing w:after="80"/>
      </w:pPr>
    </w:p>
    <w:p>
      <w:pPr>
        <w:pStyle w:val="Heading2"/>
      </w:pPr>
      <w:r>
        <w:t>Appendix C: Financial Annex contents</w:t>
      </w:r>
    </w:p>
    <w:p>
      <w:r>
        <w:rPr>
          <w:b w:val="0"/>
          <w:i w:val="0"/>
        </w:rPr>
        <w:t>Cover, Combined_Summary, Combined_Position, Combined_Reconciliation, and for each project (prefixes GS_ and LA_) Summary, Inputs, Source_Data, Project_CF, Sources_Uses, Option_A, Option_B, Scenarios, Sensitivity and Reconciliation. Inputs are in blue; every calculation is a formula.</w:t>
      </w:r>
    </w:p>
    <w:p>
      <w:pPr>
        <w:pStyle w:val="Heading2"/>
      </w:pPr>
      <w:r>
        <w:t>Appendix D: Market sources</w:t>
      </w:r>
    </w:p>
    <w:p>
      <w:pPr>
        <w:keepNext/>
        <w:spacing w:after="60"/>
      </w:pPr>
      <w:r>
        <w:rPr>
          <w:b/>
          <w:color w:val="17324D"/>
          <w:sz w:val="19"/>
        </w:rPr>
        <w:t>Table 38: Market sources (reported; not independently verified)</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3402"/>
            <w:shd w:val="clear" w:color="auto" w:fill="17324D"/>
          </w:tcPr>
          <w:p>
            <w:pPr>
              <w:spacing w:after="0" w:line="240" w:lineRule="auto"/>
            </w:pPr>
            <w:r/>
            <w:r>
              <w:rPr>
                <w:b/>
                <w:color w:val="FFFFFF"/>
                <w:sz w:val="17"/>
              </w:rPr>
              <w:t>Source</w:t>
            </w:r>
          </w:p>
        </w:tc>
        <w:tc>
          <w:tcPr>
            <w:tcW w:type="dxa" w:w="5839"/>
            <w:shd w:val="clear" w:color="auto" w:fill="17324D"/>
          </w:tcPr>
          <w:p>
            <w:pPr>
              <w:spacing w:after="0" w:line="240" w:lineRule="auto"/>
            </w:pPr>
            <w:r/>
            <w:r>
              <w:rPr>
                <w:b/>
                <w:color w:val="FFFFFF"/>
                <w:sz w:val="17"/>
              </w:rPr>
              <w:t>Used for</w:t>
            </w:r>
          </w:p>
        </w:tc>
      </w:tr>
      <w:tr>
        <w:trPr>
          <w:cantSplit/>
        </w:trPr>
        <w:tc>
          <w:tcPr>
            <w:tcW w:type="dxa" w:w="3402"/>
          </w:tcPr>
          <w:p>
            <w:pPr>
              <w:spacing w:after="0" w:line="240" w:lineRule="auto"/>
            </w:pPr>
            <w:r/>
            <w:r>
              <w:rPr>
                <w:sz w:val="17"/>
              </w:rPr>
              <w:t>Knight Frank, Cairo office review H2 2025, via Arabian Business (July 2026)</w:t>
            </w:r>
          </w:p>
        </w:tc>
        <w:tc>
          <w:tcPr>
            <w:tcW w:type="dxa" w:w="5839"/>
          </w:tcPr>
          <w:p>
            <w:pPr>
              <w:spacing w:after="0" w:line="240" w:lineRule="auto"/>
            </w:pPr>
            <w:r/>
            <w:r>
              <w:rPr>
                <w:sz w:val="17"/>
              </w:rPr>
              <w:t>Cairo office stock of about 1.0 million m2 (Knight Frank definition), with a further 818,000 m2 in the pipelin...</w:t>
            </w:r>
          </w:p>
        </w:tc>
      </w:tr>
      <w:tr>
        <w:trPr>
          <w:cantSplit/>
        </w:trPr>
        <w:tc>
          <w:tcPr>
            <w:tcW w:type="dxa" w:w="3402"/>
            <w:shd w:val="clear" w:color="auto" w:fill="F2F4F7"/>
          </w:tcPr>
          <w:p>
            <w:pPr>
              <w:spacing w:after="0" w:line="240" w:lineRule="auto"/>
            </w:pPr>
            <w:r/>
            <w:r>
              <w:rPr>
                <w:sz w:val="17"/>
              </w:rPr>
              <w:t>Knight Frank via Arabian Business (July 2026)</w:t>
            </w:r>
          </w:p>
        </w:tc>
        <w:tc>
          <w:tcPr>
            <w:tcW w:type="dxa" w:w="5839"/>
            <w:shd w:val="clear" w:color="auto" w:fill="F2F4F7"/>
          </w:tcPr>
          <w:p>
            <w:pPr>
              <w:spacing w:after="0" w:line="240" w:lineRule="auto"/>
            </w:pPr>
            <w:r/>
            <w:r>
              <w:rPr>
                <w:sz w:val="17"/>
              </w:rPr>
              <w:t>New Cairo holds 73% of current and future Cairo office stock; Grade A occupancy is about 90%</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Office vacancy averaged about 9% and was stable in Q1 2026; over 100,000 m2 of Grade A and B space was deliver...</w:t>
            </w:r>
          </w:p>
        </w:tc>
      </w:tr>
      <w:tr>
        <w:trPr>
          <w:cantSplit/>
        </w:trPr>
        <w:tc>
          <w:tcPr>
            <w:tcW w:type="dxa" w:w="3402"/>
            <w:shd w:val="clear" w:color="auto" w:fill="F2F4F7"/>
          </w:tcPr>
          <w:p>
            <w:pPr>
              <w:spacing w:after="0" w:line="240" w:lineRule="auto"/>
            </w:pPr>
            <w:r/>
            <w:r>
              <w:rPr>
                <w:sz w:val="17"/>
              </w:rPr>
              <w:t>Knight Frank Q2 2026, via Enterprise (8 July 2026)</w:t>
            </w:r>
          </w:p>
        </w:tc>
        <w:tc>
          <w:tcPr>
            <w:tcW w:type="dxa" w:w="5839"/>
            <w:shd w:val="clear" w:color="auto" w:fill="F2F4F7"/>
          </w:tcPr>
          <w:p>
            <w:pPr>
              <w:spacing w:after="0" w:line="240" w:lineRule="auto"/>
            </w:pPr>
            <w:r/>
            <w:r>
              <w:rPr>
                <w:sz w:val="17"/>
              </w:rPr>
              <w:t>Grade A business-park rent in New Cairo of USD 348/m2/yr (market average USD 325); EGP rents up about 20% y/y ...</w:t>
            </w:r>
          </w:p>
        </w:tc>
      </w:tr>
      <w:tr>
        <w:trPr>
          <w:cantSplit/>
        </w:trPr>
        <w:tc>
          <w:tcPr>
            <w:tcW w:type="dxa" w:w="3402"/>
          </w:tcPr>
          <w:p>
            <w:pPr>
              <w:spacing w:after="0" w:line="240" w:lineRule="auto"/>
            </w:pPr>
            <w:r/>
            <w:r>
              <w:rPr>
                <w:sz w:val="17"/>
              </w:rPr>
              <w:t>JLL Q1 2026 Cairo, via Invest-Gate</w:t>
            </w:r>
          </w:p>
        </w:tc>
        <w:tc>
          <w:tcPr>
            <w:tcW w:type="dxa" w:w="5839"/>
          </w:tcPr>
          <w:p>
            <w:pPr>
              <w:spacing w:after="0" w:line="240" w:lineRule="auto"/>
            </w:pPr>
            <w:r/>
            <w:r>
              <w:rPr>
                <w:sz w:val="17"/>
              </w:rPr>
              <w:t>Cairo retail stock above 3.3 million m2 after about 89,000 m2 delivered in Q1 2026, mostly small malls in New ...</w:t>
            </w:r>
          </w:p>
        </w:tc>
      </w:tr>
      <w:tr>
        <w:trPr>
          <w:cantSplit/>
        </w:trPr>
        <w:tc>
          <w:tcPr>
            <w:tcW w:type="dxa" w:w="3402"/>
            <w:shd w:val="clear" w:color="auto" w:fill="F2F4F7"/>
          </w:tcPr>
          <w:p>
            <w:pPr>
              <w:spacing w:after="0" w:line="240" w:lineRule="auto"/>
            </w:pPr>
            <w:r/>
            <w:r>
              <w:rPr>
                <w:sz w:val="17"/>
              </w:rPr>
              <w:t>MIDAR; Nawy</w:t>
            </w:r>
          </w:p>
        </w:tc>
        <w:tc>
          <w:tcPr>
            <w:tcW w:type="dxa" w:w="5839"/>
            <w:shd w:val="clear" w:color="auto" w:fill="F2F4F7"/>
          </w:tcPr>
          <w:p>
            <w:pPr>
              <w:spacing w:after="0" w:line="240" w:lineRule="auto"/>
            </w:pPr>
            <w:r/>
            <w:r>
              <w:rPr>
                <w:sz w:val="17"/>
              </w:rPr>
              <w:t>Mostakbal City covers about 11,000 feddans, with a planned population of about 1 million; master developer is ...</w:t>
            </w:r>
          </w:p>
        </w:tc>
      </w:tr>
      <w:tr>
        <w:trPr>
          <w:cantSplit/>
        </w:trPr>
        <w:tc>
          <w:tcPr>
            <w:tcW w:type="dxa" w:w="3402"/>
          </w:tcPr>
          <w:p>
            <w:pPr>
              <w:spacing w:after="0" w:line="240" w:lineRule="auto"/>
            </w:pPr>
            <w:r/>
            <w:r>
              <w:rPr>
                <w:sz w:val="17"/>
              </w:rPr>
              <w:t>Presidency of Egypt; Bayut guide</w:t>
            </w:r>
          </w:p>
        </w:tc>
        <w:tc>
          <w:tcPr>
            <w:tcW w:type="dxa" w:w="5839"/>
          </w:tcPr>
          <w:p>
            <w:pPr>
              <w:spacing w:after="0" w:line="240" w:lineRule="auto"/>
            </w:pPr>
            <w:r/>
            <w:r>
              <w:rPr>
                <w:sz w:val="17"/>
              </w:rPr>
              <w:t>Connected by the Regional (Middle) Ring Road and the East Cairo monorail corridor to Shorouk, Obour, Badr and ...</w:t>
            </w:r>
          </w:p>
        </w:tc>
      </w:tr>
      <w:tr>
        <w:trPr>
          <w:cantSplit/>
        </w:trPr>
        <w:tc>
          <w:tcPr>
            <w:tcW w:type="dxa" w:w="3402"/>
            <w:shd w:val="clear" w:color="auto" w:fill="F2F4F7"/>
          </w:tcPr>
          <w:p>
            <w:pPr>
              <w:spacing w:after="0" w:line="240" w:lineRule="auto"/>
            </w:pPr>
            <w:r/>
            <w:r>
              <w:rPr>
                <w:sz w:val="17"/>
              </w:rPr>
              <w:t>Invest-Gate</w:t>
            </w:r>
          </w:p>
        </w:tc>
        <w:tc>
          <w:tcPr>
            <w:tcW w:type="dxa" w:w="5839"/>
            <w:shd w:val="clear" w:color="auto" w:fill="F2F4F7"/>
          </w:tcPr>
          <w:p>
            <w:pPr>
              <w:spacing w:after="0" w:line="240" w:lineRule="auto"/>
            </w:pPr>
            <w:r/>
            <w:r>
              <w:rPr>
                <w:sz w:val="17"/>
              </w:rPr>
              <w:t>Comparable commercial schemes are under way: Hassan Allam's HAPTOWN (offices G+1 to G+4, retail, healthcare) i...</w:t>
            </w:r>
          </w:p>
        </w:tc>
      </w:tr>
      <w:tr>
        <w:trPr>
          <w:cantSplit/>
        </w:trPr>
        <w:tc>
          <w:tcPr>
            <w:tcW w:type="dxa" w:w="3402"/>
          </w:tcPr>
          <w:p>
            <w:pPr>
              <w:spacing w:after="0" w:line="240" w:lineRule="auto"/>
            </w:pPr>
            <w:r/>
            <w:r>
              <w:rPr>
                <w:sz w:val="17"/>
              </w:rPr>
              <w:t>Property Finder listings, Sumou Boulevard and Zizinia (2026)</w:t>
            </w:r>
          </w:p>
        </w:tc>
        <w:tc>
          <w:tcPr>
            <w:tcW w:type="dxa" w:w="5839"/>
          </w:tcPr>
          <w:p>
            <w:pPr>
              <w:spacing w:after="0" w:line="240" w:lineRule="auto"/>
            </w:pPr>
            <w:r/>
            <w:r>
              <w:rPr>
                <w:sz w:val="17"/>
              </w:rPr>
              <w:t>Office asking prices in Mostakbal City listings: about EGP 106,000 to 120,000 per m2</w:t>
            </w:r>
          </w:p>
        </w:tc>
      </w:tr>
      <w:tr>
        <w:trPr>
          <w:cantSplit/>
        </w:trPr>
        <w:tc>
          <w:tcPr>
            <w:tcW w:type="dxa" w:w="3402"/>
            <w:shd w:val="clear" w:color="auto" w:fill="F2F4F7"/>
          </w:tcPr>
          <w:p>
            <w:pPr>
              <w:spacing w:after="0" w:line="240" w:lineRule="auto"/>
            </w:pPr>
            <w:r/>
            <w:r>
              <w:rPr>
                <w:sz w:val="17"/>
              </w:rPr>
              <w:t>Property Finder listings (August 2026)</w:t>
            </w:r>
          </w:p>
        </w:tc>
        <w:tc>
          <w:tcPr>
            <w:tcW w:type="dxa" w:w="5839"/>
            <w:shd w:val="clear" w:color="auto" w:fill="F2F4F7"/>
          </w:tcPr>
          <w:p>
            <w:pPr>
              <w:spacing w:after="0" w:line="240" w:lineRule="auto"/>
            </w:pPr>
            <w:r/>
            <w:r>
              <w:rPr>
                <w:sz w:val="17"/>
              </w:rPr>
              <w:t>Retail unit asking prices in New Cairo (Fifth Settlement) listings range from about EGP 139,000 to 325,000 per...</w:t>
            </w:r>
          </w:p>
        </w:tc>
      </w:tr>
      <w:tr>
        <w:trPr>
          <w:cantSplit/>
        </w:trPr>
        <w:tc>
          <w:tcPr>
            <w:tcW w:type="dxa" w:w="3402"/>
          </w:tcPr>
          <w:p>
            <w:pPr>
              <w:spacing w:after="0" w:line="240" w:lineRule="auto"/>
            </w:pPr>
            <w:r/>
            <w:r>
              <w:rPr>
                <w:sz w:val="17"/>
              </w:rPr>
              <w:t>JLL via Enterprise (2026)</w:t>
            </w:r>
          </w:p>
        </w:tc>
        <w:tc>
          <w:tcPr>
            <w:tcW w:type="dxa" w:w="5839"/>
          </w:tcPr>
          <w:p>
            <w:pPr>
              <w:spacing w:after="0" w:line="240" w:lineRule="auto"/>
            </w:pPr>
            <w:r/>
            <w:r>
              <w:rPr>
                <w:sz w:val="17"/>
              </w:rPr>
              <w:t>New Cairo secondary-market sale prices rose 3.1% y/y in Q1 2026, while asking rents rose 10.0%</w:t>
            </w:r>
          </w:p>
        </w:tc>
      </w:tr>
      <w:tr>
        <w:trPr>
          <w:cantSplit/>
        </w:trPr>
        <w:tc>
          <w:tcPr>
            <w:tcW w:type="dxa" w:w="3402"/>
            <w:shd w:val="clear" w:color="auto" w:fill="F2F4F7"/>
          </w:tcPr>
          <w:p>
            <w:pPr>
              <w:spacing w:after="0" w:line="240" w:lineRule="auto"/>
            </w:pPr>
            <w:r/>
            <w:r>
              <w:rPr>
                <w:sz w:val="17"/>
              </w:rPr>
              <w:t>Sands of Wealth, drawing on Aqarmap data (2026)</w:t>
            </w:r>
          </w:p>
        </w:tc>
        <w:tc>
          <w:tcPr>
            <w:tcW w:type="dxa" w:w="5839"/>
            <w:shd w:val="clear" w:color="auto" w:fill="F2F4F7"/>
          </w:tcPr>
          <w:p>
            <w:pPr>
              <w:spacing w:after="0" w:line="240" w:lineRule="auto"/>
            </w:pPr>
            <w:r/>
            <w:r>
              <w:rPr>
                <w:sz w:val="17"/>
              </w:rPr>
              <w:t>Broker estimates put 2026 price growth at 10 to 15% in New Cairo and 12 to 16% in Mostakbal City (blog estimat...</w:t>
            </w:r>
          </w:p>
        </w:tc>
      </w:tr>
      <w:tr>
        <w:trPr>
          <w:cantSplit/>
        </w:trPr>
        <w:tc>
          <w:tcPr>
            <w:tcW w:type="dxa" w:w="3402"/>
          </w:tcPr>
          <w:p>
            <w:pPr>
              <w:spacing w:after="0" w:line="240" w:lineRule="auto"/>
            </w:pPr>
            <w:r/>
            <w:r>
              <w:rPr>
                <w:sz w:val="17"/>
              </w:rPr>
              <w:t>CBE via Bnok24; CAPMAS via Ahram Online</w:t>
            </w:r>
          </w:p>
        </w:tc>
        <w:tc>
          <w:tcPr>
            <w:tcW w:type="dxa" w:w="5839"/>
          </w:tcPr>
          <w:p>
            <w:pPr>
              <w:spacing w:after="0" w:line="240" w:lineRule="auto"/>
            </w:pPr>
            <w:r/>
            <w:r>
              <w:rPr>
                <w:sz w:val="17"/>
              </w:rPr>
              <w:t>CBE overnight deposit rate 19.00%, unchanged at the September 2026 meeting; urban headline inflation 14.5% in ...</w:t>
            </w:r>
          </w:p>
        </w:tc>
      </w:tr>
      <w:tr>
        <w:trPr>
          <w:cantSplit/>
        </w:trPr>
        <w:tc>
          <w:tcPr>
            <w:tcW w:type="dxa" w:w="3402"/>
            <w:shd w:val="clear" w:color="auto" w:fill="F2F4F7"/>
          </w:tcPr>
          <w:p>
            <w:pPr>
              <w:spacing w:after="0" w:line="240" w:lineRule="auto"/>
            </w:pPr>
            <w:r/>
            <w:r>
              <w:rPr>
                <w:sz w:val="17"/>
              </w:rPr>
              <w:t>Daily News Egypt (2026)</w:t>
            </w:r>
          </w:p>
        </w:tc>
        <w:tc>
          <w:tcPr>
            <w:tcW w:type="dxa" w:w="5839"/>
            <w:shd w:val="clear" w:color="auto" w:fill="F2F4F7"/>
          </w:tcPr>
          <w:p>
            <w:pPr>
              <w:spacing w:after="0" w:line="240" w:lineRule="auto"/>
            </w:pPr>
            <w:r/>
            <w:r>
              <w:rPr>
                <w:sz w:val="17"/>
              </w:rPr>
              <w:t>Top 10 developers' sales reached EGP 670 bn in H1 2026 against EGP 651 bn in H1 2025 (+2.9%), with units sold ...</w:t>
            </w:r>
          </w:p>
        </w:tc>
      </w:tr>
      <w:tr>
        <w:trPr>
          <w:cantSplit/>
        </w:trPr>
        <w:tc>
          <w:tcPr>
            <w:tcW w:type="dxa" w:w="3402"/>
          </w:tcPr>
          <w:p>
            <w:pPr>
              <w:spacing w:after="0" w:line="240" w:lineRule="auto"/>
            </w:pPr>
            <w:r/>
            <w:r>
              <w:rPr>
                <w:sz w:val="17"/>
              </w:rPr>
              <w:t>Invest-Gate; Mondaq</w:t>
            </w:r>
          </w:p>
        </w:tc>
        <w:tc>
          <w:tcPr>
            <w:tcW w:type="dxa" w:w="5839"/>
          </w:tcPr>
          <w:p>
            <w:pPr>
              <w:spacing w:after="0" w:line="240" w:lineRule="auto"/>
            </w:pPr>
            <w:r/>
            <w:r>
              <w:rPr>
                <w:sz w:val="17"/>
              </w:rPr>
              <w:t>Prime Minister Decree 2184 of 2022 requires developers on state-allocated land to hold a separate project bank...</w:t>
            </w:r>
          </w:p>
        </w:tc>
      </w:tr>
      <w:tr>
        <w:trPr>
          <w:cantSplit/>
        </w:trPr>
        <w:tc>
          <w:tcPr>
            <w:tcW w:type="dxa" w:w="3402"/>
            <w:shd w:val="clear" w:color="auto" w:fill="F2F4F7"/>
          </w:tcPr>
          <w:p>
            <w:pPr>
              <w:spacing w:after="0" w:line="240" w:lineRule="auto"/>
            </w:pPr>
            <w:r/>
            <w:r>
              <w:rPr>
                <w:sz w:val="17"/>
              </w:rPr>
              <w:t>Bayut and Property Finder listings (2026)</w:t>
            </w:r>
          </w:p>
        </w:tc>
        <w:tc>
          <w:tcPr>
            <w:tcW w:type="dxa" w:w="5839"/>
            <w:shd w:val="clear" w:color="auto" w:fill="F2F4F7"/>
          </w:tcPr>
          <w:p>
            <w:pPr>
              <w:spacing w:after="0" w:line="240" w:lineRule="auto"/>
            </w:pPr>
            <w:r/>
            <w:r>
              <w:rPr>
                <w:sz w:val="17"/>
              </w:rPr>
              <w:t>Typical off-plan payment plans run 8 to 12 years with 1.5% to 10% down payments</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Green Square and L'avenir Investment Memorandum  |  Strictly private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Square and L'avenir - Investment Memorandum (EGP 125 million combined)</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