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75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42</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57 million and a 20% overrun by EGP 113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in the plan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113</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232</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469</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244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143</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-38</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313</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-17.8</w:t>
            </w:r>
          </w:p>
        </w:tc>
        <w:tc>
          <w:tcPr>
            <w:tcW w:type="dxa" w:w="1984"/>
          </w:tcPr>
          <w:p>
            <w:pPr>
              <w:spacing w:after="0" w:line="240" w:lineRule="auto"/>
              <w:jc w:val="right"/>
            </w:pPr>
            <w:r/>
            <w:r>
              <w:rPr>
                <w:sz w:val="19"/>
              </w:rPr>
              <w:t>Removes 21%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-38.4</w:t>
            </w:r>
          </w:p>
        </w:tc>
        <w:tc>
          <w:tcPr>
            <w:tcW w:type="dxa" w:w="1984"/>
            <w:shd w:val="clear" w:color="auto" w:fill="F2F4F7"/>
          </w:tcPr>
          <w:p>
            <w:pPr>
              <w:spacing w:after="0" w:line="240" w:lineRule="auto"/>
              <w:jc w:val="right"/>
            </w:pPr>
            <w:r/>
            <w:r>
              <w:rPr>
                <w:sz w:val="19"/>
              </w:rPr>
              <w:t>Costs more because later units are priced higher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-860</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14.8%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-850</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2.2%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-852</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57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33,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9 of 12 quarters; the minimum on net cash flow is -9.0x. Pooled cash covers at least 2.9x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-860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21% of the launch-priced inventory, which raises the peak shortage before the ticket from EGP 102.0 million to EGP 128.3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