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100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42</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57 million and a 20% overrun by EGP 113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 Against today's office asking prices (mid-point EGP 113,000) the delivery list is +112%, about 18% a year to handover.</w:t>
      </w:r>
    </w:p>
    <w:p>
      <w:pPr>
        <w:pStyle w:val="ListBullet"/>
        <w:spacing w:after="60"/>
      </w:pPr>
      <w:r>
        <w:rPr>
          <w:b w:val="0"/>
          <w:i w:val="0"/>
        </w:rPr>
        <w:t>Sellable office area in the model is 10,437 m2, against 8,946 m2 of office built-up area. Jalour to provide the sellable-area schedule. If the lower area were right, office sales in the plan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113</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232</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469</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244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143</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-38</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313</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-23.7</w:t>
            </w:r>
          </w:p>
        </w:tc>
        <w:tc>
          <w:tcPr>
            <w:tcW w:type="dxa" w:w="1984"/>
          </w:tcPr>
          <w:p>
            <w:pPr>
              <w:spacing w:after="0" w:line="240" w:lineRule="auto"/>
              <w:jc w:val="right"/>
            </w:pPr>
            <w:r/>
            <w:r>
              <w:rPr>
                <w:sz w:val="19"/>
              </w:rPr>
              <w:t>Removes 28%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-51.2</w:t>
            </w:r>
          </w:p>
        </w:tc>
        <w:tc>
          <w:tcPr>
            <w:tcW w:type="dxa" w:w="1984"/>
            <w:shd w:val="clear" w:color="auto" w:fill="F2F4F7"/>
          </w:tcPr>
          <w:p>
            <w:pPr>
              <w:spacing w:after="0" w:line="240" w:lineRule="auto"/>
              <w:jc w:val="right"/>
            </w:pPr>
            <w:r/>
            <w:r>
              <w:rPr>
                <w:sz w:val="19"/>
              </w:rPr>
              <w:t>Costs more because later units are priced higher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4 of 12</w:t>
            </w:r>
          </w:p>
        </w:tc>
        <w:tc>
          <w:tcPr>
            <w:tcW w:type="dxa" w:w="1701"/>
          </w:tcPr>
          <w:p>
            <w:pPr>
              <w:spacing w:after="0" w:line="240" w:lineRule="auto"/>
              <w:jc w:val="right"/>
            </w:pPr>
            <w:r/>
            <w:r>
              <w:rPr>
                <w:sz w:val="18"/>
              </w:rPr>
              <w:t>-864</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19.7%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2.9%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-854</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57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33,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8 of 12 quarters; the minimum on net cash flow is -6.7x. Pooled cash covers at least 3.5x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-864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28% of the launch-priced inventory, which raises the peak shortage before the ticket from EGP 102.0 million to EGP 137.4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