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L'avenir</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100 million (USD 2.1 million at EGP 48 per USD)</w:t>
      </w:r>
    </w:p>
    <w:p>
      <w:pPr>
        <w:spacing w:after="720"/>
      </w:pPr>
      <w:r>
        <w:rPr>
          <w:b w:val="0"/>
          <w:i w:val="0"/>
          <w:sz w:val="24"/>
        </w:rPr>
        <w:t>Option A: units. Option B: cash.</w:t>
      </w:r>
    </w:p>
    <w:p>
      <w:pPr>
        <w:spacing w:after="160"/>
      </w:pPr>
      <w:r>
        <w:rPr>
          <w:b/>
          <w:i w:val="0"/>
          <w:color w:val="B8893B"/>
          <w:sz w:val="19"/>
        </w:rPr>
        <w:t>ALL INFORMATION IN THIS DOCUMENT IS CONFIDENTIAL AND SUBJECT TO THE NON-DISCLOSURE AGREEMENT.</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provided after the investor signs a non-disclosure agreement.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10</w:t>
      </w:r>
    </w:p>
    <w:p>
      <w:pPr>
        <w:tabs>
          <w:tab w:pos="9241" w:val="right" w:leader="dot"/>
        </w:tabs>
        <w:spacing w:after="60"/>
      </w:pPr>
      <w:r>
        <w:rPr>
          <w:sz w:val="22"/>
        </w:rPr>
        <w:t>6. The Al Ahly Sabbour agreement and consents</w:t>
        <w:tab/>
        <w:t>11</w:t>
      </w:r>
    </w:p>
    <w:p>
      <w:pPr>
        <w:tabs>
          <w:tab w:pos="9241" w:val="right" w:leader="dot"/>
        </w:tabs>
        <w:spacing w:after="60"/>
      </w:pPr>
      <w:r>
        <w:rPr>
          <w:sz w:val="22"/>
        </w:rPr>
        <w:t>7. Sponsor and management</w:t>
        <w:tab/>
        <w:t>11</w:t>
      </w:r>
    </w:p>
    <w:p>
      <w:pPr>
        <w:tabs>
          <w:tab w:pos="9241" w:val="right" w:leader="dot"/>
        </w:tabs>
        <w:spacing w:after="60"/>
      </w:pPr>
      <w:r>
        <w:rPr>
          <w:sz w:val="22"/>
        </w:rPr>
        <w:t>8. Business plan and assumptions</w:t>
        <w:tab/>
        <w:t>13</w:t>
      </w:r>
    </w:p>
    <w:p>
      <w:pPr>
        <w:tabs>
          <w:tab w:pos="9241" w:val="right" w:leader="dot"/>
        </w:tabs>
        <w:spacing w:after="60"/>
      </w:pPr>
      <w:r>
        <w:rPr>
          <w:sz w:val="22"/>
        </w:rPr>
        <w:t>9. Sales and collections model</w:t>
        <w:tab/>
        <w:t>14</w:t>
      </w:r>
    </w:p>
    <w:p>
      <w:pPr>
        <w:tabs>
          <w:tab w:pos="9241" w:val="right" w:leader="dot"/>
        </w:tabs>
        <w:spacing w:after="60"/>
      </w:pPr>
      <w:r>
        <w:rPr>
          <w:sz w:val="22"/>
        </w:rPr>
        <w:t>10. Cost model</w:t>
        <w:tab/>
        <w:t>15</w:t>
      </w:r>
    </w:p>
    <w:p>
      <w:pPr>
        <w:tabs>
          <w:tab w:pos="9241" w:val="right" w:leader="dot"/>
        </w:tabs>
        <w:spacing w:after="60"/>
      </w:pPr>
      <w:r>
        <w:rPr>
          <w:sz w:val="22"/>
        </w:rPr>
        <w:t>11. Funding plan and use of funds</w:t>
        <w:tab/>
        <w:t>16</w:t>
      </w:r>
    </w:p>
    <w:p>
      <w:pPr>
        <w:tabs>
          <w:tab w:pos="9241" w:val="right" w:leader="dot"/>
        </w:tabs>
        <w:spacing w:after="60"/>
      </w:pPr>
      <w:r>
        <w:rPr>
          <w:sz w:val="22"/>
        </w:rPr>
        <w:t>12. Investment terms</w:t>
        <w:tab/>
        <w:t>17</w:t>
      </w:r>
    </w:p>
    <w:p>
      <w:pPr>
        <w:tabs>
          <w:tab w:pos="9241" w:val="right" w:leader="dot"/>
        </w:tabs>
        <w:spacing w:after="60"/>
      </w:pPr>
      <w:r>
        <w:rPr>
          <w:sz w:val="22"/>
        </w:rPr>
        <w:t>13. Returns analysis and sensitivities</w:t>
        <w:tab/>
        <w:t>19</w:t>
      </w:r>
    </w:p>
    <w:p>
      <w:pPr>
        <w:tabs>
          <w:tab w:pos="9241" w:val="right" w:leader="dot"/>
        </w:tabs>
        <w:spacing w:after="60"/>
      </w:pPr>
      <w:r>
        <w:rPr>
          <w:sz w:val="22"/>
        </w:rPr>
        <w:t>14. Security and ranking</w:t>
        <w:tab/>
        <w:t>23</w:t>
      </w:r>
    </w:p>
    <w:p>
      <w:pPr>
        <w:tabs>
          <w:tab w:pos="9241" w:val="right" w:leader="dot"/>
        </w:tabs>
        <w:spacing w:after="60"/>
      </w:pPr>
      <w:r>
        <w:rPr>
          <w:sz w:val="22"/>
        </w:rPr>
        <w:t>15. Governance and information rights</w:t>
        <w:tab/>
        <w:t>23</w:t>
      </w:r>
    </w:p>
    <w:p>
      <w:pPr>
        <w:tabs>
          <w:tab w:pos="9241" w:val="right" w:leader="dot"/>
        </w:tabs>
        <w:spacing w:after="60"/>
      </w:pPr>
      <w:r>
        <w:rPr>
          <w:sz w:val="22"/>
        </w:rPr>
        <w:t>16. Exit and liquidity</w:t>
        <w:tab/>
        <w:t>24</w:t>
      </w:r>
    </w:p>
    <w:p>
      <w:pPr>
        <w:tabs>
          <w:tab w:pos="9241" w:val="right" w:leader="dot"/>
        </w:tabs>
        <w:spacing w:after="60"/>
      </w:pPr>
      <w:r>
        <w:rPr>
          <w:sz w:val="22"/>
        </w:rPr>
        <w:t>17. Risk factors</w:t>
        <w:tab/>
        <w:t>25</w:t>
      </w:r>
    </w:p>
    <w:p>
      <w:pPr>
        <w:tabs>
          <w:tab w:pos="9241" w:val="right" w:leader="dot"/>
        </w:tabs>
        <w:spacing w:after="60"/>
      </w:pPr>
      <w:r>
        <w:rPr>
          <w:sz w:val="22"/>
        </w:rPr>
        <w:t>18. Tax and legal considerations</w:t>
        <w:tab/>
        <w:t>26</w:t>
      </w:r>
    </w:p>
    <w:p>
      <w:pPr>
        <w:tabs>
          <w:tab w:pos="9241" w:val="right" w:leader="dot"/>
        </w:tabs>
        <w:spacing w:after="60"/>
      </w:pPr>
      <w:r>
        <w:rPr>
          <w:sz w:val="22"/>
        </w:rPr>
        <w:t>Appendices</w:t>
        <w:tab/>
        <w:t>27</w:t>
      </w:r>
    </w:p>
    <w:p>
      <w:pPr>
        <w:pStyle w:val="Heading1"/>
        <w:pageBreakBefore/>
      </w:pPr>
      <w:r>
        <w:t>1. Executive summary</w:t>
      </w:r>
    </w:p>
    <w:p>
      <w:r>
        <w:rPr>
          <w:b w:val="0"/>
          <w:i w:val="0"/>
        </w:rPr>
        <w:t>Jalour is raising EGP 100 million from a single investor to part-fund L'avenir, a 13,419 m2 commercial and office development of G+2 buildings on a 14,910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850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200 million, twice the ticket, priced at the launch list (retail EGP 250,000 per m2, offices EGP 160,000 per m2), allocated from the first two sales tranches. At the model's delivery list prices the units are worth EGP 296 million. Projected investor IRR: 29.2% base, 20.4% downside, 32.3% upside.</w:t>
      </w:r>
    </w:p>
    <w:p>
      <w:pPr>
        <w:pStyle w:val="ListBullet"/>
        <w:spacing w:after="60"/>
      </w:pPr>
      <w:r>
        <w:rPr>
          <w:b/>
          <w:i w:val="0"/>
        </w:rPr>
        <w:t>Option B, cash.</w:t>
      </w:r>
      <w:r>
        <w:rPr>
          <w:b w:val="0"/>
          <w:i w:val="0"/>
        </w:rPr>
        <w:t xml:space="preserve"> EGP 230 million (2.3x the ticket) in 12 equal quarterly instalments of EGP 19.17 million after a 24-month grace period, from month 27 to month 60.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100.0</w:t>
            </w:r>
          </w:p>
        </w:tc>
      </w:tr>
      <w:tr>
        <w:trPr>
          <w:cantSplit/>
        </w:trPr>
        <w:tc>
          <w:tcPr>
            <w:tcW w:type="dxa" w:w="6236"/>
            <w:shd w:val="clear" w:color="auto" w:fill="F2F4F7"/>
          </w:tcPr>
          <w:p>
            <w:pPr>
              <w:spacing w:after="0" w:line="240" w:lineRule="auto"/>
            </w:pPr>
            <w:r/>
            <w:r>
              <w:rPr>
                <w:sz w:val="19"/>
              </w:rPr>
              <w:t>Modelled peak cumulative cash shortage (month 18)</w:t>
            </w:r>
          </w:p>
        </w:tc>
        <w:tc>
          <w:tcPr>
            <w:tcW w:type="dxa" w:w="3005"/>
            <w:shd w:val="clear" w:color="auto" w:fill="F2F4F7"/>
          </w:tcPr>
          <w:p>
            <w:pPr>
              <w:spacing w:after="0" w:line="240" w:lineRule="auto"/>
              <w:jc w:val="right"/>
            </w:pPr>
            <w:r/>
            <w:r>
              <w:rPr>
                <w:sz w:val="19"/>
              </w:rPr>
              <w:t>102.0</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112.5</w:t>
            </w:r>
          </w:p>
        </w:tc>
      </w:tr>
      <w:tr>
        <w:trPr>
          <w:cantSplit/>
        </w:trPr>
        <w:tc>
          <w:tcPr>
            <w:tcW w:type="dxa" w:w="6236"/>
            <w:shd w:val="clear" w:color="auto" w:fill="F2F4F7"/>
          </w:tcPr>
          <w:p>
            <w:pPr>
              <w:spacing w:after="0" w:line="240" w:lineRule="auto"/>
            </w:pPr>
            <w:r/>
            <w:r>
              <w:rPr>
                <w:sz w:val="19"/>
              </w:rPr>
              <w:t>Total sales in the sales plan</w:t>
            </w:r>
          </w:p>
        </w:tc>
        <w:tc>
          <w:tcPr>
            <w:tcW w:type="dxa" w:w="3005"/>
            <w:shd w:val="clear" w:color="auto" w:fill="F2F4F7"/>
          </w:tcPr>
          <w:p>
            <w:pPr>
              <w:spacing w:after="0" w:line="240" w:lineRule="auto"/>
              <w:jc w:val="right"/>
            </w:pPr>
            <w:r/>
            <w:r>
              <w:rPr>
                <w:sz w:val="19"/>
              </w:rPr>
              <w:t>2,674</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595.3</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350.6</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42</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200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230</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250,000 to 360,000 per m2 for retail (+44%) and from 160,000 to 240,000 for offices (+50%)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244 million instead of EGP 102.0 million. Jalour has said it will cover project funding gaps above project cash from its cash reserves and from cash generated by other projects it is constructing (section 11).</w:t>
      </w:r>
    </w:p>
    <w:p>
      <w:pPr>
        <w:pStyle w:val="ListBullet"/>
        <w:spacing w:after="60"/>
      </w:pPr>
      <w:r>
        <w:rPr>
          <w:b/>
          <w:i w:val="0"/>
        </w:rPr>
        <w:t>Payout capacity (Option B).</w:t>
      </w:r>
      <w:r>
        <w:rPr>
          <w:b w:val="0"/>
          <w:i w:val="0"/>
        </w:rPr>
        <w:t xml:space="preserve"> Net project cash flow is negative in the construction peak (months 36 to 42, inside the payout window), so quarter-by-quarter coverage of instalments is below 1.5x in 4 of 12 quarters. Pooled cash including the ticket covers every instalment at least 3.5x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100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0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13,419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850 million over six years) is payable even if sales are slow.</w:t>
            </w:r>
          </w:p>
        </w:tc>
      </w:tr>
      <w:tr>
        <w:trPr>
          <w:cantSplit/>
        </w:trPr>
        <w:tc>
          <w:tcPr>
            <w:tcW w:type="dxa" w:w="4706"/>
          </w:tcPr>
          <w:p>
            <w:pPr>
              <w:spacing w:after="0" w:line="240" w:lineRule="auto"/>
            </w:pPr>
            <w:r/>
            <w:r>
              <w:rPr>
                <w:sz w:val="19"/>
              </w:rPr>
              <w:t>Sales begin at a launch list of EGP 250,000 (retail) and 160,000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102.0 million in the base case and the project generates EGP 595 million of net cash flow.</w:t>
            </w:r>
          </w:p>
        </w:tc>
        <w:tc>
          <w:tcPr>
            <w:tcW w:type="dxa" w:w="4535"/>
            <w:shd w:val="clear" w:color="auto" w:fill="F2F4F7"/>
          </w:tcPr>
          <w:p>
            <w:pPr>
              <w:spacing w:after="0" w:line="240" w:lineRule="auto"/>
            </w:pPr>
            <w:r/>
            <w:r>
              <w:rPr>
                <w:sz w:val="19"/>
              </w:rPr>
              <w:t>Funding peak is EGP 244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delivery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160,000</w:t>
            </w:r>
          </w:p>
        </w:tc>
        <w:tc>
          <w:tcPr>
            <w:tcW w:type="dxa" w:w="1417"/>
          </w:tcPr>
          <w:p>
            <w:pPr>
              <w:spacing w:after="0" w:line="240" w:lineRule="auto"/>
              <w:jc w:val="right"/>
            </w:pPr>
            <w:r/>
            <w:r>
              <w:rPr>
                <w:sz w:val="18"/>
              </w:rPr>
              <w:t>240,000</w:t>
            </w:r>
          </w:p>
        </w:tc>
        <w:tc>
          <w:tcPr>
            <w:tcW w:type="dxa" w:w="1417"/>
          </w:tcPr>
          <w:p>
            <w:pPr>
              <w:spacing w:after="0" w:line="240" w:lineRule="auto"/>
              <w:jc w:val="right"/>
            </w:pPr>
            <w:r/>
            <w:r>
              <w:rPr>
                <w:sz w:val="18"/>
              </w:rPr>
              <w:t>191,250</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250,000</w:t>
            </w:r>
          </w:p>
        </w:tc>
        <w:tc>
          <w:tcPr>
            <w:tcW w:type="dxa" w:w="1417"/>
            <w:shd w:val="clear" w:color="auto" w:fill="F2F4F7"/>
          </w:tcPr>
          <w:p>
            <w:pPr>
              <w:spacing w:after="0" w:line="240" w:lineRule="auto"/>
              <w:jc w:val="right"/>
            </w:pPr>
            <w:r/>
            <w:r>
              <w:rPr>
                <w:sz w:val="18"/>
              </w:rPr>
              <w:t>360,000</w:t>
            </w:r>
          </w:p>
        </w:tc>
        <w:tc>
          <w:tcPr>
            <w:tcW w:type="dxa" w:w="1417"/>
            <w:shd w:val="clear" w:color="auto" w:fill="F2F4F7"/>
          </w:tcPr>
          <w:p>
            <w:pPr>
              <w:spacing w:after="0" w:line="240" w:lineRule="auto"/>
              <w:jc w:val="right"/>
            </w:pPr>
            <w:r/>
            <w:r>
              <w:rPr>
                <w:sz w:val="18"/>
              </w:rPr>
              <w:t>300,938</w:t>
            </w:r>
          </w:p>
        </w:tc>
      </w:tr>
    </w:tbl>
    <w:p>
      <w:pPr>
        <w:spacing w:after="80"/>
      </w:pPr>
    </w:p>
    <w:p>
      <w:pPr>
        <w:keepNext/>
        <w:spacing w:after="60"/>
      </w:pPr>
      <w:r>
        <w:rPr>
          <w:b/>
          <w:color w:val="17324D"/>
          <w:sz w:val="19"/>
        </w:rPr>
        <w:t>Table 5: Launch, average realised and delivery list prices against today's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964"/>
            <w:shd w:val="clear" w:color="auto" w:fill="17324D"/>
          </w:tcPr>
          <w:p>
            <w:pPr>
              <w:spacing w:after="0" w:line="240" w:lineRule="auto"/>
            </w:pPr>
            <w:r/>
            <w:r>
              <w:rPr>
                <w:b/>
                <w:color w:val="FFFFFF"/>
                <w:sz w:val="16"/>
              </w:rPr>
              <w:t>EGP per m2</w:t>
            </w:r>
          </w:p>
        </w:tc>
        <w:tc>
          <w:tcPr>
            <w:tcW w:type="dxa" w:w="907"/>
            <w:shd w:val="clear" w:color="auto" w:fill="17324D"/>
          </w:tcPr>
          <w:p>
            <w:pPr>
              <w:spacing w:after="0" w:line="240" w:lineRule="auto"/>
              <w:jc w:val="right"/>
            </w:pPr>
            <w:r/>
            <w:r>
              <w:rPr>
                <w:b/>
                <w:color w:val="FFFFFF"/>
                <w:sz w:val="16"/>
              </w:rPr>
              <w:t>Launch list</w:t>
            </w:r>
          </w:p>
        </w:tc>
        <w:tc>
          <w:tcPr>
            <w:tcW w:type="dxa" w:w="964"/>
            <w:shd w:val="clear" w:color="auto" w:fill="17324D"/>
          </w:tcPr>
          <w:p>
            <w:pPr>
              <w:spacing w:after="0" w:line="240" w:lineRule="auto"/>
              <w:jc w:val="right"/>
            </w:pPr>
            <w:r/>
            <w:r>
              <w:rPr>
                <w:b/>
                <w:color w:val="FFFFFF"/>
                <w:sz w:val="16"/>
              </w:rPr>
              <w:t>Average realised</w:t>
            </w:r>
          </w:p>
        </w:tc>
        <w:tc>
          <w:tcPr>
            <w:tcW w:type="dxa" w:w="907"/>
            <w:shd w:val="clear" w:color="auto" w:fill="17324D"/>
          </w:tcPr>
          <w:p>
            <w:pPr>
              <w:spacing w:after="0" w:line="240" w:lineRule="auto"/>
              <w:jc w:val="right"/>
            </w:pPr>
            <w:r/>
            <w:r>
              <w:rPr>
                <w:b/>
                <w:color w:val="FFFFFF"/>
                <w:sz w:val="16"/>
              </w:rPr>
              <w:t>Delivery list</w:t>
            </w:r>
          </w:p>
        </w:tc>
        <w:tc>
          <w:tcPr>
            <w:tcW w:type="dxa" w:w="964"/>
            <w:shd w:val="clear" w:color="auto" w:fill="17324D"/>
          </w:tcPr>
          <w:p>
            <w:pPr>
              <w:spacing w:after="0" w:line="240" w:lineRule="auto"/>
              <w:jc w:val="right"/>
            </w:pPr>
            <w:r/>
            <w:r>
              <w:rPr>
                <w:b/>
                <w:color w:val="FFFFFF"/>
                <w:sz w:val="16"/>
              </w:rPr>
              <w:t>Delivery vs launch</w:t>
            </w:r>
          </w:p>
        </w:tc>
        <w:tc>
          <w:tcPr>
            <w:tcW w:type="dxa" w:w="964"/>
            <w:shd w:val="clear" w:color="auto" w:fill="17324D"/>
          </w:tcPr>
          <w:p>
            <w:pPr>
              <w:spacing w:after="0" w:line="240" w:lineRule="auto"/>
              <w:jc w:val="right"/>
            </w:pPr>
            <w:r/>
            <w:r>
              <w:rPr>
                <w:b/>
                <w:color w:val="FFFFFF"/>
                <w:sz w:val="16"/>
              </w:rPr>
              <w:t>Average vs launch</w:t>
            </w:r>
          </w:p>
        </w:tc>
        <w:tc>
          <w:tcPr>
            <w:tcW w:type="dxa" w:w="1361"/>
            <w:shd w:val="clear" w:color="auto" w:fill="17324D"/>
          </w:tcPr>
          <w:p>
            <w:pPr>
              <w:spacing w:after="0" w:line="240" w:lineRule="auto"/>
              <w:jc w:val="right"/>
            </w:pPr>
            <w:r/>
            <w:r>
              <w:rPr>
                <w:b/>
                <w:color w:val="FFFFFF"/>
                <w:sz w:val="16"/>
              </w:rPr>
              <w:t>Today's asking</w:t>
            </w:r>
          </w:p>
        </w:tc>
        <w:tc>
          <w:tcPr>
            <w:tcW w:type="dxa" w:w="1474"/>
            <w:shd w:val="clear" w:color="auto" w:fill="17324D"/>
          </w:tcPr>
          <w:p>
            <w:pPr>
              <w:spacing w:after="0" w:line="240" w:lineRule="auto"/>
              <w:jc w:val="right"/>
            </w:pPr>
            <w:r/>
            <w:r>
              <w:rPr>
                <w:b/>
                <w:color w:val="FFFFFF"/>
                <w:sz w:val="16"/>
              </w:rPr>
              <w:t>Delivery list vs today's asking</w:t>
            </w:r>
          </w:p>
        </w:tc>
        <w:tc>
          <w:tcPr>
            <w:tcW w:type="dxa" w:w="907"/>
            <w:shd w:val="clear" w:color="auto" w:fill="17324D"/>
          </w:tcPr>
          <w:p>
            <w:pPr>
              <w:spacing w:after="0" w:line="240" w:lineRule="auto"/>
              <w:jc w:val="right"/>
            </w:pPr>
            <w:r/>
            <w:r>
              <w:rPr>
                <w:b/>
                <w:color w:val="FFFFFF"/>
                <w:sz w:val="16"/>
              </w:rPr>
              <w:t>Growth a year to handover</w:t>
            </w:r>
          </w:p>
        </w:tc>
      </w:tr>
      <w:tr>
        <w:trPr>
          <w:cantSplit/>
        </w:trPr>
        <w:tc>
          <w:tcPr>
            <w:tcW w:type="dxa" w:w="964"/>
          </w:tcPr>
          <w:p>
            <w:pPr>
              <w:spacing w:after="0" w:line="240" w:lineRule="auto"/>
            </w:pPr>
            <w:r/>
            <w:r>
              <w:rPr>
                <w:sz w:val="16"/>
              </w:rPr>
              <w:t>Offices</w:t>
            </w:r>
          </w:p>
        </w:tc>
        <w:tc>
          <w:tcPr>
            <w:tcW w:type="dxa" w:w="907"/>
          </w:tcPr>
          <w:p>
            <w:pPr>
              <w:spacing w:after="0" w:line="240" w:lineRule="auto"/>
              <w:jc w:val="right"/>
            </w:pPr>
            <w:r/>
            <w:r>
              <w:rPr>
                <w:sz w:val="16"/>
              </w:rPr>
              <w:t>160,000</w:t>
            </w:r>
          </w:p>
        </w:tc>
        <w:tc>
          <w:tcPr>
            <w:tcW w:type="dxa" w:w="964"/>
          </w:tcPr>
          <w:p>
            <w:pPr>
              <w:spacing w:after="0" w:line="240" w:lineRule="auto"/>
              <w:jc w:val="right"/>
            </w:pPr>
            <w:r/>
            <w:r>
              <w:rPr>
                <w:sz w:val="16"/>
              </w:rPr>
              <w:t>191,250</w:t>
            </w:r>
          </w:p>
        </w:tc>
        <w:tc>
          <w:tcPr>
            <w:tcW w:type="dxa" w:w="907"/>
          </w:tcPr>
          <w:p>
            <w:pPr>
              <w:spacing w:after="0" w:line="240" w:lineRule="auto"/>
              <w:jc w:val="right"/>
            </w:pPr>
            <w:r/>
            <w:r>
              <w:rPr>
                <w:sz w:val="16"/>
              </w:rPr>
              <w:t>240,000</w:t>
            </w:r>
          </w:p>
        </w:tc>
        <w:tc>
          <w:tcPr>
            <w:tcW w:type="dxa" w:w="964"/>
          </w:tcPr>
          <w:p>
            <w:pPr>
              <w:spacing w:after="0" w:line="240" w:lineRule="auto"/>
              <w:jc w:val="right"/>
            </w:pPr>
            <w:r/>
            <w:r>
              <w:rPr>
                <w:sz w:val="16"/>
              </w:rPr>
              <w:t>+50%</w:t>
            </w:r>
          </w:p>
        </w:tc>
        <w:tc>
          <w:tcPr>
            <w:tcW w:type="dxa" w:w="964"/>
          </w:tcPr>
          <w:p>
            <w:pPr>
              <w:spacing w:after="0" w:line="240" w:lineRule="auto"/>
              <w:jc w:val="right"/>
            </w:pPr>
            <w:r/>
            <w:r>
              <w:rPr>
                <w:sz w:val="16"/>
              </w:rPr>
              <w:t>+20%</w:t>
            </w:r>
          </w:p>
        </w:tc>
        <w:tc>
          <w:tcPr>
            <w:tcW w:type="dxa" w:w="1361"/>
          </w:tcPr>
          <w:p>
            <w:pPr>
              <w:spacing w:after="0" w:line="240" w:lineRule="auto"/>
              <w:jc w:val="right"/>
            </w:pPr>
            <w:r/>
            <w:r>
              <w:rPr>
                <w:sz w:val="16"/>
              </w:rPr>
              <w:t>106,000 to 120,000</w:t>
            </w:r>
          </w:p>
        </w:tc>
        <w:tc>
          <w:tcPr>
            <w:tcW w:type="dxa" w:w="1474"/>
          </w:tcPr>
          <w:p>
            <w:pPr>
              <w:spacing w:after="0" w:line="240" w:lineRule="auto"/>
              <w:jc w:val="right"/>
            </w:pPr>
            <w:r/>
            <w:r>
              <w:rPr>
                <w:sz w:val="16"/>
              </w:rPr>
              <w:t>+112% (mid-point 113,000)</w:t>
            </w:r>
          </w:p>
        </w:tc>
        <w:tc>
          <w:tcPr>
            <w:tcW w:type="dxa" w:w="907"/>
          </w:tcPr>
          <w:p>
            <w:pPr>
              <w:spacing w:after="0" w:line="240" w:lineRule="auto"/>
              <w:jc w:val="right"/>
            </w:pPr>
            <w:r/>
            <w:r>
              <w:rPr>
                <w:sz w:val="16"/>
              </w:rPr>
              <w:t>17.5%</w:t>
            </w:r>
          </w:p>
        </w:tc>
      </w:tr>
      <w:tr>
        <w:trPr>
          <w:cantSplit/>
        </w:trPr>
        <w:tc>
          <w:tcPr>
            <w:tcW w:type="dxa" w:w="964"/>
            <w:shd w:val="clear" w:color="auto" w:fill="F2F4F7"/>
          </w:tcPr>
          <w:p>
            <w:pPr>
              <w:spacing w:after="0" w:line="240" w:lineRule="auto"/>
            </w:pPr>
            <w:r/>
            <w:r>
              <w:rPr>
                <w:sz w:val="16"/>
              </w:rPr>
              <w:t>Retail</w:t>
            </w:r>
          </w:p>
        </w:tc>
        <w:tc>
          <w:tcPr>
            <w:tcW w:type="dxa" w:w="907"/>
            <w:shd w:val="clear" w:color="auto" w:fill="F2F4F7"/>
          </w:tcPr>
          <w:p>
            <w:pPr>
              <w:spacing w:after="0" w:line="240" w:lineRule="auto"/>
              <w:jc w:val="right"/>
            </w:pPr>
            <w:r/>
            <w:r>
              <w:rPr>
                <w:sz w:val="16"/>
              </w:rPr>
              <w:t>250,000</w:t>
            </w:r>
          </w:p>
        </w:tc>
        <w:tc>
          <w:tcPr>
            <w:tcW w:type="dxa" w:w="964"/>
            <w:shd w:val="clear" w:color="auto" w:fill="F2F4F7"/>
          </w:tcPr>
          <w:p>
            <w:pPr>
              <w:spacing w:after="0" w:line="240" w:lineRule="auto"/>
              <w:jc w:val="right"/>
            </w:pPr>
            <w:r/>
            <w:r>
              <w:rPr>
                <w:sz w:val="16"/>
              </w:rPr>
              <w:t>300,938</w:t>
            </w:r>
          </w:p>
        </w:tc>
        <w:tc>
          <w:tcPr>
            <w:tcW w:type="dxa" w:w="907"/>
            <w:shd w:val="clear" w:color="auto" w:fill="F2F4F7"/>
          </w:tcPr>
          <w:p>
            <w:pPr>
              <w:spacing w:after="0" w:line="240" w:lineRule="auto"/>
              <w:jc w:val="right"/>
            </w:pPr>
            <w:r/>
            <w:r>
              <w:rPr>
                <w:sz w:val="16"/>
              </w:rPr>
              <w:t>360,000</w:t>
            </w:r>
          </w:p>
        </w:tc>
        <w:tc>
          <w:tcPr>
            <w:tcW w:type="dxa" w:w="964"/>
            <w:shd w:val="clear" w:color="auto" w:fill="F2F4F7"/>
          </w:tcPr>
          <w:p>
            <w:pPr>
              <w:spacing w:after="0" w:line="240" w:lineRule="auto"/>
              <w:jc w:val="right"/>
            </w:pPr>
            <w:r/>
            <w:r>
              <w:rPr>
                <w:sz w:val="16"/>
              </w:rPr>
              <w:t>+44%</w:t>
            </w:r>
          </w:p>
        </w:tc>
        <w:tc>
          <w:tcPr>
            <w:tcW w:type="dxa" w:w="964"/>
            <w:shd w:val="clear" w:color="auto" w:fill="F2F4F7"/>
          </w:tcPr>
          <w:p>
            <w:pPr>
              <w:spacing w:after="0" w:line="240" w:lineRule="auto"/>
              <w:jc w:val="right"/>
            </w:pPr>
            <w:r/>
            <w:r>
              <w:rPr>
                <w:sz w:val="16"/>
              </w:rPr>
              <w:t>+20%</w:t>
            </w:r>
          </w:p>
        </w:tc>
        <w:tc>
          <w:tcPr>
            <w:tcW w:type="dxa" w:w="1361"/>
            <w:shd w:val="clear" w:color="auto" w:fill="F2F4F7"/>
          </w:tcPr>
          <w:p>
            <w:pPr>
              <w:spacing w:after="0" w:line="240" w:lineRule="auto"/>
              <w:jc w:val="right"/>
            </w:pPr>
            <w:r/>
            <w:r>
              <w:rPr>
                <w:sz w:val="16"/>
              </w:rPr>
              <w:t>139,000 to 325,000 (listings)</w:t>
            </w:r>
          </w:p>
        </w:tc>
        <w:tc>
          <w:tcPr>
            <w:tcW w:type="dxa" w:w="1474"/>
            <w:shd w:val="clear" w:color="auto" w:fill="F2F4F7"/>
          </w:tcPr>
          <w:p>
            <w:pPr>
              <w:spacing w:after="0" w:line="240" w:lineRule="auto"/>
              <w:jc w:val="right"/>
            </w:pPr>
            <w:r/>
            <w:r>
              <w:rPr>
                <w:sz w:val="16"/>
              </w:rPr>
              <w:t>Within the listed range</w:t>
            </w:r>
          </w:p>
        </w:tc>
        <w:tc>
          <w:tcPr>
            <w:tcW w:type="dxa" w:w="907"/>
            <w:shd w:val="clear" w:color="auto" w:fill="F2F4F7"/>
          </w:tcPr>
          <w:p>
            <w:pPr>
              <w:spacing w:after="0" w:line="240" w:lineRule="auto"/>
              <w:jc w:val="right"/>
            </w:pPr>
            <w:r/>
            <w:r>
              <w:rPr>
                <w:sz w:val="16"/>
              </w:rPr>
              <w:t>n/a</w:t>
            </w:r>
          </w:p>
        </w:tc>
      </w:tr>
    </w:tbl>
    <w:p>
      <w:pPr>
        <w:spacing w:after="80"/>
      </w:pPr>
    </w:p>
    <w:p>
      <w:r>
        <w:rPr>
          <w:b w:val="0"/>
          <w:i w:val="0"/>
        </w:rPr>
        <w:t>The delivery list is the last list price in the plan and is unchanged to handover (month 42). Measured from launch it is +44% for retail and +50% for offices (48% weighted by the launch tranches), against the 40% to 60% range Jalour expects. Measured from today's office asking prices, the delivery list is +112%, or about 18% a year over 4.7 years measured from today (assumed to be December 2026).</w:t>
      </w:r>
    </w:p>
    <w:p>
      <w:r>
        <w:rPr>
          <w:b w:val="0"/>
          <w:i w:val="0"/>
        </w:rPr>
        <w:t>The plan's launch price for offices (160,000) is above current Mostakbal City asking prices, and it then rises by 50%.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Jalour's position is that this requirement does not apply to these plots; the basis is provided in the data room after the investor signs a non-disclosure agreement. Counsel should confirm which other rules apply to a private placement of this kind.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6: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14,910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4,473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8,946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13,419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1</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7 to 42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42</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10,437 m2, which is larger than the 8,946 m2 of office built-up area. The area schedule that reconciles the two is provided after the investor signs a non-disclosure agreement; the investor should require it in due diligence.</w:t>
      </w:r>
    </w:p>
    <w:p>
      <w:r>
        <w:rPr>
          <w:b w:val="0"/>
          <w:i w:val="0"/>
        </w:rPr>
        <w:t>Phasing: sales launch in project month 1, construction starts in month 7 and runs 36 months to handover in month 42. Permits, licences and title status are listed in the Due Diligence Memorandum [available after the investor signs a non-disclosure agreement].</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7: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850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85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42</w:t>
            </w:r>
          </w:p>
        </w:tc>
      </w:tr>
    </w:tbl>
    <w:p>
      <w:pPr>
        <w:spacing w:after="80"/>
      </w:pPr>
    </w:p>
    <w:p>
      <w:pPr>
        <w:keepNext/>
        <w:spacing w:after="60"/>
      </w:pPr>
      <w:r>
        <w:rPr>
          <w:b/>
          <w:color w:val="17324D"/>
          <w:sz w:val="19"/>
        </w:rPr>
        <w:t>Table 8: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85</w:t>
            </w:r>
          </w:p>
        </w:tc>
        <w:tc>
          <w:tcPr>
            <w:tcW w:type="dxa" w:w="850"/>
          </w:tcPr>
          <w:p>
            <w:pPr>
              <w:spacing w:after="0" w:line="240" w:lineRule="auto"/>
              <w:jc w:val="right"/>
            </w:pPr>
            <w:r/>
            <w:r>
              <w:rPr>
                <w:sz w:val="18"/>
              </w:rPr>
              <w:t>0</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225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850</w:t>
            </w:r>
          </w:p>
        </w:tc>
      </w:tr>
    </w:tbl>
    <w:p>
      <w:pPr>
        <w:spacing w:after="80"/>
      </w:pPr>
    </w:p>
    <w:p>
      <w:r>
        <w:rPr>
          <w:b w:val="0"/>
          <w:i w:val="0"/>
        </w:rPr>
        <w:t>In the plan the landlord receives EGP 1,170 million in total, calculated on the full project sales value of EGP 3,342 million at modelled prices. EGP 320 million of that is the excess over the guarantee, settled from year 8.</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[provided after the investor signs a non-disclosure agreement].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9: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[Provided after the investor signs a non-disclosure agreement]</w:t>
            </w:r>
          </w:p>
        </w:tc>
      </w:tr>
    </w:tbl>
    <w:p>
      <w:pPr>
        <w:spacing w:after="80"/>
      </w:pPr>
    </w:p>
    <w:p>
      <w:r>
        <w:rPr>
          <w:b w:val="0"/>
          <w:i w:val="0"/>
        </w:rPr>
        <w:t>Jalour has stated that it will cover project funding gaps, including those caused by timing differences in collections, from its cash reserves and from cash generated by other projects it is constructing. The form, amount and conditions of that undertaking are to be documented. It is a commitment to fund the project, not a guarantee of the investor's return. Jalour's capacity therefore rests on its own cash reserves and on distributions from those other projects, which are subject to those projects' own agreements and progress and are not held for this project. Jalour's audited accounts and track record are provided after the investor signs a non-disclosure agreement.</w:t>
      </w:r>
    </w:p>
    <w:p>
      <w:pPr>
        <w:pStyle w:val="Heading1"/>
        <w:pageBreakBefore/>
      </w:pPr>
      <w:r>
        <w:t>8. Business plan and assumptions</w:t>
      </w:r>
    </w:p>
    <w:p>
      <w:pPr>
        <w:keepNext/>
        <w:spacing w:after="60"/>
      </w:pPr>
      <w:r>
        <w:rPr>
          <w:b/>
          <w:color w:val="17324D"/>
          <w:sz w:val="19"/>
        </w:rPr>
        <w:t>Table 10: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EGP 2,674 million over the sales window</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1 to 36</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250,000; offices 160,000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Delivery list prices</w:t>
            </w:r>
          </w:p>
        </w:tc>
        <w:tc>
          <w:tcPr>
            <w:tcW w:type="dxa" w:w="4195"/>
          </w:tcPr>
          <w:p>
            <w:pPr>
              <w:spacing w:after="0" w:line="240" w:lineRule="auto"/>
            </w:pPr>
            <w:r/>
            <w:r>
              <w:rPr>
                <w:sz w:val="18"/>
              </w:rPr>
              <w:t>Retail 360,000; offices 240,000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sales launch of the project; the investor funds in month 0, when the landlord down payment falls due</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any financing costs and taxes, and any cost escalation.</w:t>
      </w:r>
    </w:p>
    <w:p>
      <w:pPr>
        <w:pStyle w:val="Heading1"/>
        <w:pageBreakBefore/>
      </w:pPr>
      <w:r>
        <w:t>9. Sales and collections model</w:t>
      </w:r>
    </w:p>
    <w:p>
      <w:pPr>
        <w:keepNext/>
        <w:spacing w:after="60"/>
      </w:pPr>
      <w:r>
        <w:rPr>
          <w:b/>
          <w:color w:val="17324D"/>
          <w:sz w:val="19"/>
        </w:rPr>
        <w:t>Table 11: Sales plan by tranche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3</w:t>
            </w:r>
          </w:p>
        </w:tc>
        <w:tc>
          <w:tcPr>
            <w:tcW w:type="dxa" w:w="1701"/>
          </w:tcPr>
          <w:p>
            <w:pPr>
              <w:spacing w:after="0" w:line="240" w:lineRule="auto"/>
              <w:jc w:val="right"/>
            </w:pPr>
            <w:r/>
            <w:r>
              <w:rPr>
                <w:sz w:val="18"/>
              </w:rPr>
              <w:t>111.8</w:t>
            </w:r>
          </w:p>
        </w:tc>
        <w:tc>
          <w:tcPr>
            <w:tcW w:type="dxa" w:w="1814"/>
          </w:tcPr>
          <w:p>
            <w:pPr>
              <w:spacing w:after="0" w:line="240" w:lineRule="auto"/>
              <w:jc w:val="right"/>
            </w:pPr>
            <w:r/>
            <w:r>
              <w:rPr>
                <w:sz w:val="18"/>
              </w:rPr>
              <w:t>250.5</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6</w:t>
            </w:r>
          </w:p>
        </w:tc>
        <w:tc>
          <w:tcPr>
            <w:tcW w:type="dxa" w:w="1701"/>
            <w:shd w:val="clear" w:color="auto" w:fill="F2F4F7"/>
          </w:tcPr>
          <w:p>
            <w:pPr>
              <w:spacing w:after="0" w:line="240" w:lineRule="auto"/>
              <w:jc w:val="right"/>
            </w:pPr>
            <w:r/>
            <w:r>
              <w:rPr>
                <w:sz w:val="18"/>
              </w:rPr>
              <w:t>111.8</w:t>
            </w:r>
          </w:p>
        </w:tc>
        <w:tc>
          <w:tcPr>
            <w:tcW w:type="dxa" w:w="1814"/>
            <w:shd w:val="clear" w:color="auto" w:fill="F2F4F7"/>
          </w:tcPr>
          <w:p>
            <w:pPr>
              <w:spacing w:after="0" w:line="240" w:lineRule="auto"/>
              <w:jc w:val="right"/>
            </w:pPr>
            <w:r/>
            <w:r>
              <w:rPr>
                <w:sz w:val="18"/>
              </w:rPr>
              <w:t>250.5</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9</w:t>
            </w:r>
          </w:p>
        </w:tc>
        <w:tc>
          <w:tcPr>
            <w:tcW w:type="dxa" w:w="1701"/>
          </w:tcPr>
          <w:p>
            <w:pPr>
              <w:spacing w:after="0" w:line="240" w:lineRule="auto"/>
              <w:jc w:val="right"/>
            </w:pPr>
            <w:r/>
            <w:r>
              <w:rPr>
                <w:sz w:val="18"/>
              </w:rPr>
              <w:t>123.0</w:t>
            </w:r>
          </w:p>
        </w:tc>
        <w:tc>
          <w:tcPr>
            <w:tcW w:type="dxa" w:w="1814"/>
          </w:tcPr>
          <w:p>
            <w:pPr>
              <w:spacing w:after="0" w:line="240" w:lineRule="auto"/>
              <w:jc w:val="right"/>
            </w:pPr>
            <w:r/>
            <w:r>
              <w:rPr>
                <w:sz w:val="18"/>
              </w:rPr>
              <w:t>187.9</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12</w:t>
            </w:r>
          </w:p>
        </w:tc>
        <w:tc>
          <w:tcPr>
            <w:tcW w:type="dxa" w:w="1701"/>
            <w:shd w:val="clear" w:color="auto" w:fill="F2F4F7"/>
          </w:tcPr>
          <w:p>
            <w:pPr>
              <w:spacing w:after="0" w:line="240" w:lineRule="auto"/>
              <w:jc w:val="right"/>
            </w:pPr>
            <w:r/>
            <w:r>
              <w:rPr>
                <w:sz w:val="18"/>
              </w:rPr>
              <w:t>86.1</w:t>
            </w:r>
          </w:p>
        </w:tc>
        <w:tc>
          <w:tcPr>
            <w:tcW w:type="dxa" w:w="1814"/>
            <w:shd w:val="clear" w:color="auto" w:fill="F2F4F7"/>
          </w:tcPr>
          <w:p>
            <w:pPr>
              <w:spacing w:after="0" w:line="240" w:lineRule="auto"/>
              <w:jc w:val="right"/>
            </w:pPr>
            <w:r/>
            <w:r>
              <w:rPr>
                <w:sz w:val="18"/>
              </w:rPr>
              <w:t>93.9</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93.9</w:t>
            </w:r>
          </w:p>
        </w:tc>
        <w:tc>
          <w:tcPr>
            <w:tcW w:type="dxa" w:w="1814"/>
          </w:tcPr>
          <w:p>
            <w:pPr>
              <w:spacing w:after="0" w:line="240" w:lineRule="auto"/>
              <w:jc w:val="right"/>
            </w:pPr>
            <w:r/>
            <w:r>
              <w:rPr>
                <w:sz w:val="18"/>
              </w:rPr>
              <w:t>104.4</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104.4</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73.8</w:t>
            </w:r>
          </w:p>
        </w:tc>
        <w:tc>
          <w:tcPr>
            <w:tcW w:type="dxa" w:w="1814"/>
          </w:tcPr>
          <w:p>
            <w:pPr>
              <w:spacing w:after="0" w:line="240" w:lineRule="auto"/>
              <w:jc w:val="right"/>
            </w:pPr>
            <w:r/>
            <w:r>
              <w:rPr>
                <w:sz w:val="18"/>
              </w:rPr>
              <w:t>114.8</w:t>
            </w:r>
          </w:p>
        </w:tc>
        <w:tc>
          <w:tcPr>
            <w:tcW w:type="dxa" w:w="1928"/>
          </w:tcPr>
          <w:p>
            <w:pPr>
              <w:spacing w:after="0" w:line="240" w:lineRule="auto"/>
              <w:jc w:val="right"/>
            </w:pPr>
            <w:r/>
            <w:r>
              <w:rPr>
                <w:sz w:val="18"/>
              </w:rPr>
              <w:t>330</w:t>
            </w:r>
          </w:p>
        </w:tc>
        <w:tc>
          <w:tcPr>
            <w:tcW w:type="dxa" w:w="1871"/>
          </w:tcPr>
          <w:p>
            <w:pPr>
              <w:spacing w:after="0" w:line="240" w:lineRule="auto"/>
              <w:jc w:val="right"/>
            </w:pPr>
            <w:r/>
            <w:r>
              <w:rPr>
                <w:sz w:val="18"/>
              </w:rPr>
              <w:t>220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73.8</w:t>
            </w:r>
          </w:p>
        </w:tc>
        <w:tc>
          <w:tcPr>
            <w:tcW w:type="dxa" w:w="1814"/>
            <w:shd w:val="clear" w:color="auto" w:fill="F2F4F7"/>
          </w:tcPr>
          <w:p>
            <w:pPr>
              <w:spacing w:after="0" w:line="240" w:lineRule="auto"/>
              <w:jc w:val="right"/>
            </w:pPr>
            <w:r/>
            <w:r>
              <w:rPr>
                <w:sz w:val="18"/>
              </w:rPr>
              <w:t>114.8</w:t>
            </w:r>
          </w:p>
        </w:tc>
        <w:tc>
          <w:tcPr>
            <w:tcW w:type="dxa" w:w="1928"/>
            <w:shd w:val="clear" w:color="auto" w:fill="F2F4F7"/>
          </w:tcPr>
          <w:p>
            <w:pPr>
              <w:spacing w:after="0" w:line="240" w:lineRule="auto"/>
              <w:jc w:val="right"/>
            </w:pPr>
            <w:r/>
            <w:r>
              <w:rPr>
                <w:sz w:val="18"/>
              </w:rPr>
              <w:t>330</w:t>
            </w:r>
          </w:p>
        </w:tc>
        <w:tc>
          <w:tcPr>
            <w:tcW w:type="dxa" w:w="1871"/>
            <w:shd w:val="clear" w:color="auto" w:fill="F2F4F7"/>
          </w:tcPr>
          <w:p>
            <w:pPr>
              <w:spacing w:after="0" w:line="240" w:lineRule="auto"/>
              <w:jc w:val="right"/>
            </w:pPr>
            <w:r/>
            <w:r>
              <w:rPr>
                <w:sz w:val="18"/>
              </w:rPr>
              <w:t>220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125.2</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125.2</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sz w:val="18"/>
              </w:rPr>
              <w:t>Month 33</w:t>
            </w:r>
          </w:p>
        </w:tc>
        <w:tc>
          <w:tcPr>
            <w:tcW w:type="dxa" w:w="1701"/>
          </w:tcPr>
          <w:p>
            <w:pPr>
              <w:spacing w:after="0" w:line="240" w:lineRule="auto"/>
              <w:jc w:val="right"/>
            </w:pPr>
            <w:r/>
            <w:r>
              <w:rPr>
                <w:sz w:val="18"/>
              </w:rPr>
              <w:t>80.5</w:t>
            </w:r>
          </w:p>
        </w:tc>
        <w:tc>
          <w:tcPr>
            <w:tcW w:type="dxa" w:w="1814"/>
          </w:tcPr>
          <w:p>
            <w:pPr>
              <w:spacing w:after="0" w:line="240" w:lineRule="auto"/>
              <w:jc w:val="right"/>
            </w:pPr>
            <w:r/>
            <w:r>
              <w:rPr>
                <w:sz w:val="18"/>
              </w:rPr>
              <w:t>62.6</w:t>
            </w:r>
          </w:p>
        </w:tc>
        <w:tc>
          <w:tcPr>
            <w:tcW w:type="dxa" w:w="1928"/>
          </w:tcPr>
          <w:p>
            <w:pPr>
              <w:spacing w:after="0" w:line="240" w:lineRule="auto"/>
              <w:jc w:val="right"/>
            </w:pPr>
            <w:r/>
            <w:r>
              <w:rPr>
                <w:sz w:val="18"/>
              </w:rPr>
              <w:t>360</w:t>
            </w:r>
          </w:p>
        </w:tc>
        <w:tc>
          <w:tcPr>
            <w:tcW w:type="dxa" w:w="1871"/>
          </w:tcPr>
          <w:p>
            <w:pPr>
              <w:spacing w:after="0" w:line="240" w:lineRule="auto"/>
              <w:jc w:val="right"/>
            </w:pPr>
            <w:r/>
            <w:r>
              <w:rPr>
                <w:sz w:val="18"/>
              </w:rPr>
              <w:t>240</w:t>
            </w:r>
          </w:p>
        </w:tc>
      </w:tr>
      <w:tr>
        <w:trPr>
          <w:cantSplit/>
        </w:trPr>
        <w:tc>
          <w:tcPr>
            <w:tcW w:type="dxa" w:w="1928"/>
            <w:shd w:val="clear" w:color="auto" w:fill="F2F4F7"/>
          </w:tcPr>
          <w:p>
            <w:pPr>
              <w:spacing w:after="0" w:line="240" w:lineRule="auto"/>
            </w:pPr>
            <w:r/>
            <w:r>
              <w:rPr>
                <w:sz w:val="18"/>
              </w:rPr>
              <w:t>Month 36</w:t>
            </w:r>
          </w:p>
        </w:tc>
        <w:tc>
          <w:tcPr>
            <w:tcW w:type="dxa" w:w="1701"/>
            <w:shd w:val="clear" w:color="auto" w:fill="F2F4F7"/>
          </w:tcPr>
          <w:p>
            <w:pPr>
              <w:spacing w:after="0" w:line="240" w:lineRule="auto"/>
              <w:jc w:val="right"/>
            </w:pPr>
            <w:r/>
            <w:r>
              <w:rPr>
                <w:sz w:val="18"/>
              </w:rPr>
              <w:t>80.5</w:t>
            </w:r>
          </w:p>
        </w:tc>
        <w:tc>
          <w:tcPr>
            <w:tcW w:type="dxa" w:w="1814"/>
            <w:shd w:val="clear" w:color="auto" w:fill="F2F4F7"/>
          </w:tcPr>
          <w:p>
            <w:pPr>
              <w:spacing w:after="0" w:line="240" w:lineRule="auto"/>
              <w:jc w:val="right"/>
            </w:pPr>
            <w:r/>
            <w:r>
              <w:rPr>
                <w:sz w:val="18"/>
              </w:rPr>
              <w:t>62.6</w:t>
            </w:r>
          </w:p>
        </w:tc>
        <w:tc>
          <w:tcPr>
            <w:tcW w:type="dxa" w:w="1928"/>
            <w:shd w:val="clear" w:color="auto" w:fill="F2F4F7"/>
          </w:tcPr>
          <w:p>
            <w:pPr>
              <w:spacing w:after="0" w:line="240" w:lineRule="auto"/>
              <w:jc w:val="right"/>
            </w:pPr>
            <w:r/>
            <w:r>
              <w:rPr>
                <w:sz w:val="18"/>
              </w:rPr>
              <w:t>360</w:t>
            </w:r>
          </w:p>
        </w:tc>
        <w:tc>
          <w:tcPr>
            <w:tcW w:type="dxa" w:w="1871"/>
            <w:shd w:val="clear" w:color="auto" w:fill="F2F4F7"/>
          </w:tcPr>
          <w:p>
            <w:pPr>
              <w:spacing w:after="0" w:line="240" w:lineRule="auto"/>
              <w:jc w:val="right"/>
            </w:pPr>
            <w:r/>
            <w:r>
              <w:rPr>
                <w:sz w:val="18"/>
              </w:rPr>
              <w:t>240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1,076.9</w:t>
            </w:r>
          </w:p>
        </w:tc>
        <w:tc>
          <w:tcPr>
            <w:tcW w:type="dxa" w:w="1814"/>
          </w:tcPr>
          <w:p>
            <w:pPr>
              <w:spacing w:after="0" w:line="240" w:lineRule="auto"/>
              <w:jc w:val="right"/>
            </w:pPr>
            <w:r/>
            <w:r>
              <w:rPr>
                <w:b/>
                <w:sz w:val="18"/>
              </w:rPr>
              <w:t>1,596.9</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The sales plan totals EGP 2,674 million at modelled prices; the landlord share is calculated on the full project sales value of EGP 3,342 million. The first two tranches (months 3 and 6) carry the launch list and total EGP 725 million; Option A units come from these.</w:t>
      </w:r>
    </w:p>
    <w:p>
      <w:pPr>
        <w:keepNext/>
        <w:spacing w:after="60"/>
      </w:pPr>
      <w:r>
        <w:rPr>
          <w:b/>
          <w:color w:val="17324D"/>
          <w:sz w:val="19"/>
        </w:rPr>
        <w:t>Table 12: Annual cash flow, EGP million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Before month 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-85.0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-85.0</w:t>
            </w:r>
          </w:p>
        </w:tc>
        <w:tc>
          <w:tcPr>
            <w:tcW w:type="dxa" w:w="1361"/>
          </w:tcPr>
          <w:p>
            <w:pPr>
              <w:spacing w:after="0" w:line="240" w:lineRule="auto"/>
              <w:jc w:val="right"/>
            </w:pPr>
            <w:r/>
            <w:r>
              <w:rPr>
                <w:sz w:val="18"/>
              </w:rPr>
              <w:t>-85.0</w:t>
            </w:r>
          </w:p>
        </w:tc>
      </w:tr>
      <w:tr>
        <w:trPr>
          <w:cantSplit/>
        </w:trPr>
        <w:tc>
          <w:tcPr>
            <w:tcW w:type="dxa" w:w="1361"/>
            <w:shd w:val="clear" w:color="auto" w:fill="F2F4F7"/>
          </w:tcPr>
          <w:p>
            <w:pPr>
              <w:spacing w:after="0" w:line="240" w:lineRule="auto"/>
            </w:pPr>
            <w:r/>
            <w:r>
              <w:rPr>
                <w:sz w:val="18"/>
              </w:rPr>
              <w:t>Year 1</w:t>
            </w:r>
          </w:p>
        </w:tc>
        <w:tc>
          <w:tcPr>
            <w:tcW w:type="dxa" w:w="1417"/>
            <w:shd w:val="clear" w:color="auto" w:fill="F2F4F7"/>
          </w:tcPr>
          <w:p>
            <w:pPr>
              <w:spacing w:after="0" w:line="240" w:lineRule="auto"/>
              <w:jc w:val="right"/>
            </w:pPr>
            <w:r/>
            <w:r>
              <w:rPr>
                <w:sz w:val="18"/>
              </w:rPr>
              <w:t>181.6</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-53.4</w:t>
            </w:r>
          </w:p>
        </w:tc>
        <w:tc>
          <w:tcPr>
            <w:tcW w:type="dxa" w:w="1417"/>
            <w:shd w:val="clear" w:color="auto" w:fill="F2F4F7"/>
          </w:tcPr>
          <w:p>
            <w:pPr>
              <w:spacing w:after="0" w:line="240" w:lineRule="auto"/>
              <w:jc w:val="right"/>
            </w:pPr>
            <w:r/>
            <w:r>
              <w:rPr>
                <w:sz w:val="18"/>
              </w:rPr>
              <w:t>38.3</w:t>
            </w:r>
          </w:p>
        </w:tc>
        <w:tc>
          <w:tcPr>
            <w:tcW w:type="dxa" w:w="1361"/>
            <w:shd w:val="clear" w:color="auto" w:fill="F2F4F7"/>
          </w:tcPr>
          <w:p>
            <w:pPr>
              <w:spacing w:after="0" w:line="240" w:lineRule="auto"/>
              <w:jc w:val="right"/>
            </w:pPr>
            <w:r/>
            <w:r>
              <w:rPr>
                <w:sz w:val="18"/>
              </w:rPr>
              <w:t>-46.7</w:t>
            </w:r>
          </w:p>
        </w:tc>
      </w:tr>
      <w:tr>
        <w:trPr>
          <w:cantSplit/>
        </w:trPr>
        <w:tc>
          <w:tcPr>
            <w:tcW w:type="dxa" w:w="1361"/>
          </w:tcPr>
          <w:p>
            <w:pPr>
              <w:spacing w:after="0" w:line="240" w:lineRule="auto"/>
            </w:pPr>
            <w:r/>
            <w:r>
              <w:rPr>
                <w:sz w:val="18"/>
              </w:rPr>
              <w:t>Year 2</w:t>
            </w:r>
          </w:p>
        </w:tc>
        <w:tc>
          <w:tcPr>
            <w:tcW w:type="dxa" w:w="1417"/>
          </w:tcPr>
          <w:p>
            <w:pPr>
              <w:spacing w:after="0" w:line="240" w:lineRule="auto"/>
              <w:jc w:val="right"/>
            </w:pPr>
            <w:r/>
            <w:r>
              <w:rPr>
                <w:sz w:val="18"/>
              </w:rPr>
              <w:t>334.5</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-185.7</w:t>
            </w:r>
          </w:p>
        </w:tc>
        <w:tc>
          <w:tcPr>
            <w:tcW w:type="dxa" w:w="1417"/>
          </w:tcPr>
          <w:p>
            <w:pPr>
              <w:spacing w:after="0" w:line="240" w:lineRule="auto"/>
              <w:jc w:val="right"/>
            </w:pPr>
            <w:r/>
            <w:r>
              <w:rPr>
                <w:sz w:val="18"/>
              </w:rPr>
              <w:t>-31.2</w:t>
            </w:r>
          </w:p>
        </w:tc>
        <w:tc>
          <w:tcPr>
            <w:tcW w:type="dxa" w:w="1361"/>
          </w:tcPr>
          <w:p>
            <w:pPr>
              <w:spacing w:after="0" w:line="240" w:lineRule="auto"/>
              <w:jc w:val="right"/>
            </w:pPr>
            <w:r/>
            <w:r>
              <w:rPr>
                <w:sz w:val="18"/>
              </w:rPr>
              <w:t>-77.9</w:t>
            </w:r>
          </w:p>
        </w:tc>
      </w:tr>
      <w:tr>
        <w:trPr>
          <w:cantSplit/>
        </w:trPr>
        <w:tc>
          <w:tcPr>
            <w:tcW w:type="dxa" w:w="1361"/>
            <w:shd w:val="clear" w:color="auto" w:fill="F2F4F7"/>
          </w:tcPr>
          <w:p>
            <w:pPr>
              <w:spacing w:after="0" w:line="240" w:lineRule="auto"/>
            </w:pPr>
            <w:r/>
            <w:r>
              <w:rPr>
                <w:sz w:val="18"/>
              </w:rPr>
              <w:t>Year 3</w:t>
            </w:r>
          </w:p>
        </w:tc>
        <w:tc>
          <w:tcPr>
            <w:tcW w:type="dxa" w:w="1417"/>
            <w:shd w:val="clear" w:color="auto" w:fill="F2F4F7"/>
          </w:tcPr>
          <w:p>
            <w:pPr>
              <w:spacing w:after="0" w:line="240" w:lineRule="auto"/>
              <w:jc w:val="right"/>
            </w:pPr>
            <w:r/>
            <w:r>
              <w:rPr>
                <w:sz w:val="18"/>
              </w:rPr>
              <w:t>1,094.9</w:t>
            </w:r>
          </w:p>
        </w:tc>
        <w:tc>
          <w:tcPr>
            <w:tcW w:type="dxa" w:w="1644"/>
            <w:shd w:val="clear" w:color="auto" w:fill="F2F4F7"/>
          </w:tcPr>
          <w:p>
            <w:pPr>
              <w:spacing w:after="0" w:line="240" w:lineRule="auto"/>
              <w:jc w:val="right"/>
            </w:pPr>
            <w:r/>
            <w:r>
              <w:rPr>
                <w:sz w:val="18"/>
              </w:rPr>
              <w:t>-225.0</w:t>
            </w:r>
          </w:p>
        </w:tc>
        <w:tc>
          <w:tcPr>
            <w:tcW w:type="dxa" w:w="2041"/>
            <w:shd w:val="clear" w:color="auto" w:fill="F2F4F7"/>
          </w:tcPr>
          <w:p>
            <w:pPr>
              <w:spacing w:after="0" w:line="240" w:lineRule="auto"/>
              <w:jc w:val="right"/>
            </w:pPr>
            <w:r/>
            <w:r>
              <w:rPr>
                <w:sz w:val="18"/>
              </w:rPr>
              <w:t>-318.6</w:t>
            </w:r>
          </w:p>
        </w:tc>
        <w:tc>
          <w:tcPr>
            <w:tcW w:type="dxa" w:w="1417"/>
            <w:shd w:val="clear" w:color="auto" w:fill="F2F4F7"/>
          </w:tcPr>
          <w:p>
            <w:pPr>
              <w:spacing w:after="0" w:line="240" w:lineRule="auto"/>
              <w:jc w:val="right"/>
            </w:pPr>
            <w:r/>
            <w:r>
              <w:rPr>
                <w:sz w:val="18"/>
              </w:rPr>
              <w:t>551.3</w:t>
            </w:r>
          </w:p>
        </w:tc>
        <w:tc>
          <w:tcPr>
            <w:tcW w:type="dxa" w:w="1361"/>
            <w:shd w:val="clear" w:color="auto" w:fill="F2F4F7"/>
          </w:tcPr>
          <w:p>
            <w:pPr>
              <w:spacing w:after="0" w:line="240" w:lineRule="auto"/>
              <w:jc w:val="right"/>
            </w:pPr>
            <w:r/>
            <w:r>
              <w:rPr>
                <w:sz w:val="18"/>
              </w:rPr>
              <w:t>473.4</w:t>
            </w:r>
          </w:p>
        </w:tc>
      </w:tr>
      <w:tr>
        <w:trPr>
          <w:cantSplit/>
        </w:trPr>
        <w:tc>
          <w:tcPr>
            <w:tcW w:type="dxa" w:w="1361"/>
          </w:tcPr>
          <w:p>
            <w:pPr>
              <w:spacing w:after="0" w:line="240" w:lineRule="auto"/>
            </w:pPr>
            <w:r/>
            <w:r>
              <w:rPr>
                <w:sz w:val="18"/>
              </w:rPr>
              <w:t>Year 4</w:t>
            </w:r>
          </w:p>
        </w:tc>
        <w:tc>
          <w:tcPr>
            <w:tcW w:type="dxa" w:w="1417"/>
          </w:tcPr>
          <w:p>
            <w:pPr>
              <w:spacing w:after="0" w:line="240" w:lineRule="auto"/>
              <w:jc w:val="right"/>
            </w:pPr>
            <w:r/>
            <w:r>
              <w:rPr>
                <w:sz w:val="18"/>
              </w:rPr>
              <w:t>375.2</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-351.1</w:t>
            </w:r>
          </w:p>
        </w:tc>
        <w:tc>
          <w:tcPr>
            <w:tcW w:type="dxa" w:w="1417"/>
          </w:tcPr>
          <w:p>
            <w:pPr>
              <w:spacing w:after="0" w:line="240" w:lineRule="auto"/>
              <w:jc w:val="right"/>
            </w:pPr>
            <w:r/>
            <w:r>
              <w:rPr>
                <w:sz w:val="18"/>
              </w:rPr>
              <w:t>-155.9</w:t>
            </w:r>
          </w:p>
        </w:tc>
        <w:tc>
          <w:tcPr>
            <w:tcW w:type="dxa" w:w="1361"/>
          </w:tcPr>
          <w:p>
            <w:pPr>
              <w:spacing w:after="0" w:line="240" w:lineRule="auto"/>
              <w:jc w:val="right"/>
            </w:pPr>
            <w:r/>
            <w:r>
              <w:rPr>
                <w:sz w:val="18"/>
              </w:rPr>
              <w:t>317.5</w:t>
            </w:r>
          </w:p>
        </w:tc>
      </w:tr>
      <w:tr>
        <w:trPr>
          <w:cantSplit/>
        </w:trPr>
        <w:tc>
          <w:tcPr>
            <w:tcW w:type="dxa" w:w="1361"/>
            <w:shd w:val="clear" w:color="auto" w:fill="F2F4F7"/>
          </w:tcPr>
          <w:p>
            <w:pPr>
              <w:spacing w:after="0" w:line="240" w:lineRule="auto"/>
            </w:pPr>
            <w:r/>
            <w:r>
              <w:rPr>
                <w:sz w:val="18"/>
              </w:rPr>
              <w:t>Year 5</w:t>
            </w:r>
          </w:p>
        </w:tc>
        <w:tc>
          <w:tcPr>
            <w:tcW w:type="dxa" w:w="1417"/>
            <w:shd w:val="clear" w:color="auto" w:fill="F2F4F7"/>
          </w:tcPr>
          <w:p>
            <w:pPr>
              <w:spacing w:after="0" w:line="240" w:lineRule="auto"/>
              <w:jc w:val="right"/>
            </w:pPr>
            <w:r/>
            <w:r>
              <w:rPr>
                <w:sz w:val="18"/>
              </w:rPr>
              <w:t>259.8</w:t>
            </w:r>
          </w:p>
        </w:tc>
        <w:tc>
          <w:tcPr>
            <w:tcW w:type="dxa" w:w="1644"/>
            <w:shd w:val="clear" w:color="auto" w:fill="F2F4F7"/>
          </w:tcPr>
          <w:p>
            <w:pPr>
              <w:spacing w:after="0" w:line="240" w:lineRule="auto"/>
              <w:jc w:val="right"/>
            </w:pPr>
            <w:r/>
            <w:r>
              <w:rPr>
                <w:sz w:val="18"/>
              </w:rPr>
              <w:t>-90.0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169.8</w:t>
            </w:r>
          </w:p>
        </w:tc>
        <w:tc>
          <w:tcPr>
            <w:tcW w:type="dxa" w:w="1361"/>
            <w:shd w:val="clear" w:color="auto" w:fill="F2F4F7"/>
          </w:tcPr>
          <w:p>
            <w:pPr>
              <w:spacing w:after="0" w:line="240" w:lineRule="auto"/>
              <w:jc w:val="right"/>
            </w:pPr>
            <w:r/>
            <w:r>
              <w:rPr>
                <w:sz w:val="18"/>
              </w:rPr>
              <w:t>487.4</w:t>
            </w:r>
          </w:p>
        </w:tc>
      </w:tr>
      <w:tr>
        <w:trPr>
          <w:cantSplit/>
        </w:trPr>
        <w:tc>
          <w:tcPr>
            <w:tcW w:type="dxa" w:w="1361"/>
          </w:tcPr>
          <w:p>
            <w:pPr>
              <w:spacing w:after="0" w:line="240" w:lineRule="auto"/>
            </w:pPr>
            <w:r/>
            <w:r>
              <w:rPr>
                <w:sz w:val="18"/>
              </w:rPr>
              <w:t>Year 6</w:t>
            </w:r>
          </w:p>
        </w:tc>
        <w:tc>
          <w:tcPr>
            <w:tcW w:type="dxa" w:w="1417"/>
          </w:tcPr>
          <w:p>
            <w:pPr>
              <w:spacing w:after="0" w:line="240" w:lineRule="auto"/>
              <w:jc w:val="right"/>
            </w:pPr>
            <w:r/>
            <w:r>
              <w:rPr>
                <w:sz w:val="18"/>
              </w:rPr>
              <w:t>204.2</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204.2</w:t>
            </w:r>
          </w:p>
        </w:tc>
        <w:tc>
          <w:tcPr>
            <w:tcW w:type="dxa" w:w="1361"/>
          </w:tcPr>
          <w:p>
            <w:pPr>
              <w:spacing w:after="0" w:line="240" w:lineRule="auto"/>
              <w:jc w:val="right"/>
            </w:pPr>
            <w:r/>
            <w:r>
              <w:rPr>
                <w:sz w:val="18"/>
              </w:rPr>
              <w:t>691.5</w:t>
            </w:r>
          </w:p>
        </w:tc>
      </w:tr>
      <w:tr>
        <w:trPr>
          <w:cantSplit/>
        </w:trPr>
        <w:tc>
          <w:tcPr>
            <w:tcW w:type="dxa" w:w="1361"/>
            <w:shd w:val="clear" w:color="auto" w:fill="F2F4F7"/>
          </w:tcPr>
          <w:p>
            <w:pPr>
              <w:spacing w:after="0" w:line="240" w:lineRule="auto"/>
            </w:pPr>
            <w:r/>
            <w:r>
              <w:rPr>
                <w:sz w:val="18"/>
              </w:rPr>
              <w:t>Year 7</w:t>
            </w:r>
          </w:p>
        </w:tc>
        <w:tc>
          <w:tcPr>
            <w:tcW w:type="dxa" w:w="1417"/>
            <w:shd w:val="clear" w:color="auto" w:fill="F2F4F7"/>
          </w:tcPr>
          <w:p>
            <w:pPr>
              <w:spacing w:after="0" w:line="240" w:lineRule="auto"/>
              <w:jc w:val="right"/>
            </w:pPr>
            <w:r/>
            <w:r>
              <w:rPr>
                <w:sz w:val="18"/>
              </w:rPr>
              <w:t>142.8</w:t>
            </w:r>
          </w:p>
        </w:tc>
        <w:tc>
          <w:tcPr>
            <w:tcW w:type="dxa" w:w="1644"/>
            <w:shd w:val="clear" w:color="auto" w:fill="F2F4F7"/>
          </w:tcPr>
          <w:p>
            <w:pPr>
              <w:spacing w:after="0" w:line="240" w:lineRule="auto"/>
              <w:jc w:val="right"/>
            </w:pPr>
            <w:r/>
            <w:r>
              <w:rPr>
                <w:sz w:val="18"/>
              </w:rPr>
              <w:t>-284.4</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-141.6</w:t>
            </w:r>
          </w:p>
        </w:tc>
        <w:tc>
          <w:tcPr>
            <w:tcW w:type="dxa" w:w="1361"/>
            <w:shd w:val="clear" w:color="auto" w:fill="F2F4F7"/>
          </w:tcPr>
          <w:p>
            <w:pPr>
              <w:spacing w:after="0" w:line="240" w:lineRule="auto"/>
              <w:jc w:val="right"/>
            </w:pPr>
            <w:r/>
            <w:r>
              <w:rPr>
                <w:sz w:val="18"/>
              </w:rPr>
              <w:t>549.9</w:t>
            </w:r>
          </w:p>
        </w:tc>
      </w:tr>
      <w:tr>
        <w:trPr>
          <w:cantSplit/>
        </w:trPr>
        <w:tc>
          <w:tcPr>
            <w:tcW w:type="dxa" w:w="1361"/>
          </w:tcPr>
          <w:p>
            <w:pPr>
              <w:spacing w:after="0" w:line="240" w:lineRule="auto"/>
            </w:pPr>
            <w:r/>
            <w:r>
              <w:rPr>
                <w:sz w:val="18"/>
              </w:rPr>
              <w:t>Year 8</w:t>
            </w:r>
          </w:p>
        </w:tc>
        <w:tc>
          <w:tcPr>
            <w:tcW w:type="dxa" w:w="1417"/>
          </w:tcPr>
          <w:p>
            <w:pPr>
              <w:spacing w:after="0" w:line="240" w:lineRule="auto"/>
              <w:jc w:val="right"/>
            </w:pPr>
            <w:r/>
            <w:r>
              <w:rPr>
                <w:sz w:val="18"/>
              </w:rPr>
              <w:t>66.2</w:t>
            </w:r>
          </w:p>
        </w:tc>
        <w:tc>
          <w:tcPr>
            <w:tcW w:type="dxa" w:w="1644"/>
          </w:tcPr>
          <w:p>
            <w:pPr>
              <w:spacing w:after="0" w:line="240" w:lineRule="auto"/>
              <w:jc w:val="right"/>
            </w:pPr>
            <w:r/>
            <w:r>
              <w:rPr>
                <w:sz w:val="18"/>
              </w:rPr>
              <w:t>-29.0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37.2</w:t>
            </w:r>
          </w:p>
        </w:tc>
        <w:tc>
          <w:tcPr>
            <w:tcW w:type="dxa" w:w="1361"/>
          </w:tcPr>
          <w:p>
            <w:pPr>
              <w:spacing w:after="0" w:line="240" w:lineRule="auto"/>
              <w:jc w:val="right"/>
            </w:pPr>
            <w:r/>
            <w:r>
              <w:rPr>
                <w:sz w:val="18"/>
              </w:rPr>
              <w:t>587.1</w:t>
            </w:r>
          </w:p>
        </w:tc>
      </w:tr>
      <w:tr>
        <w:trPr>
          <w:cantSplit/>
        </w:trPr>
        <w:tc>
          <w:tcPr>
            <w:tcW w:type="dxa" w:w="1361"/>
            <w:shd w:val="clear" w:color="auto" w:fill="F2F4F7"/>
          </w:tcPr>
          <w:p>
            <w:pPr>
              <w:spacing w:after="0" w:line="240" w:lineRule="auto"/>
            </w:pPr>
            <w:r/>
            <w:r>
              <w:rPr>
                <w:sz w:val="18"/>
              </w:rPr>
              <w:t>Year 9</w:t>
            </w:r>
          </w:p>
        </w:tc>
        <w:tc>
          <w:tcPr>
            <w:tcW w:type="dxa" w:w="1417"/>
            <w:shd w:val="clear" w:color="auto" w:fill="F2F4F7"/>
          </w:tcPr>
          <w:p>
            <w:pPr>
              <w:spacing w:after="0" w:line="240" w:lineRule="auto"/>
              <w:jc w:val="right"/>
            </w:pPr>
            <w:r/>
            <w:r>
              <w:rPr>
                <w:sz w:val="18"/>
              </w:rPr>
              <w:t>14.5</w:t>
            </w:r>
          </w:p>
        </w:tc>
        <w:tc>
          <w:tcPr>
            <w:tcW w:type="dxa" w:w="1644"/>
            <w:shd w:val="clear" w:color="auto" w:fill="F2F4F7"/>
          </w:tcPr>
          <w:p>
            <w:pPr>
              <w:spacing w:after="0" w:line="240" w:lineRule="auto"/>
              <w:jc w:val="right"/>
            </w:pPr>
            <w:r/>
            <w:r>
              <w:rPr>
                <w:sz w:val="18"/>
              </w:rPr>
              <w:t>-6.3</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8.2</w:t>
            </w:r>
          </w:p>
        </w:tc>
        <w:tc>
          <w:tcPr>
            <w:tcW w:type="dxa" w:w="1361"/>
            <w:shd w:val="clear" w:color="auto" w:fill="F2F4F7"/>
          </w:tcPr>
          <w:p>
            <w:pPr>
              <w:spacing w:after="0" w:line="240" w:lineRule="auto"/>
              <w:jc w:val="right"/>
            </w:pPr>
            <w:r/>
            <w:r>
              <w:rPr>
                <w:sz w:val="18"/>
              </w:rPr>
              <w:t>595.3</w:t>
            </w:r>
          </w:p>
        </w:tc>
      </w:tr>
      <w:tr>
        <w:trPr>
          <w:cantSplit/>
        </w:trPr>
        <w:tc>
          <w:tcPr>
            <w:tcW w:type="dxa" w:w="1361"/>
          </w:tcPr>
          <w:p>
            <w:pPr>
              <w:spacing w:after="0" w:line="240" w:lineRule="auto"/>
            </w:pPr>
            <w:r/>
            <w:r>
              <w:rPr>
                <w:sz w:val="18"/>
              </w:rPr>
              <w:t>Year 10</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595.3</w:t>
            </w:r>
          </w:p>
        </w:tc>
      </w:tr>
      <w:tr>
        <w:trPr>
          <w:cantSplit/>
        </w:trPr>
        <w:tc>
          <w:tcPr>
            <w:tcW w:type="dxa" w:w="1361"/>
            <w:shd w:val="clear" w:color="auto" w:fill="F2F4F7"/>
          </w:tcPr>
          <w:p>
            <w:pPr>
              <w:spacing w:after="0" w:line="240" w:lineRule="auto"/>
            </w:pPr>
            <w:r/>
            <w:r>
              <w:rPr>
                <w:sz w:val="18"/>
              </w:rPr>
              <w:t>Year 11</w:t>
            </w:r>
          </w:p>
        </w:tc>
        <w:tc>
          <w:tcPr>
            <w:tcW w:type="dxa" w:w="1417"/>
            <w:shd w:val="clear" w:color="auto" w:fill="F2F4F7"/>
          </w:tcPr>
          <w:p>
            <w:pPr>
              <w:spacing w:after="0" w:line="240" w:lineRule="auto"/>
              <w:jc w:val="right"/>
            </w:pPr>
            <w:r/>
            <w:r>
              <w:rPr>
                <w:sz w:val="18"/>
              </w:rPr>
              <w:t>0.0</w:t>
            </w:r>
          </w:p>
        </w:tc>
        <w:tc>
          <w:tcPr>
            <w:tcW w:type="dxa" w:w="1644"/>
            <w:shd w:val="clear" w:color="auto" w:fill="F2F4F7"/>
          </w:tcPr>
          <w:p>
            <w:pPr>
              <w:spacing w:after="0" w:line="240" w:lineRule="auto"/>
              <w:jc w:val="right"/>
            </w:pPr>
            <w:r/>
            <w:r>
              <w:rPr>
                <w:sz w:val="18"/>
              </w:rPr>
              <w:t>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0.0</w:t>
            </w:r>
          </w:p>
        </w:tc>
        <w:tc>
          <w:tcPr>
            <w:tcW w:type="dxa" w:w="1361"/>
            <w:shd w:val="clear" w:color="auto" w:fill="F2F4F7"/>
          </w:tcPr>
          <w:p>
            <w:pPr>
              <w:spacing w:after="0" w:line="240" w:lineRule="auto"/>
              <w:jc w:val="right"/>
            </w:pPr>
            <w:r/>
            <w:r>
              <w:rPr>
                <w:sz w:val="18"/>
              </w:rPr>
              <w:t>595.3</w:t>
            </w:r>
          </w:p>
        </w:tc>
      </w:tr>
      <w:tr>
        <w:trPr>
          <w:cantSplit/>
        </w:trPr>
        <w:tc>
          <w:tcPr>
            <w:tcW w:type="dxa" w:w="1361"/>
          </w:tcPr>
          <w:p>
            <w:pPr>
              <w:spacing w:after="0" w:line="240" w:lineRule="auto"/>
            </w:pPr>
            <w:r/>
            <w:r>
              <w:rPr>
                <w:b/>
                <w:sz w:val="18"/>
              </w:rPr>
              <w:t>Total</w:t>
            </w:r>
          </w:p>
        </w:tc>
        <w:tc>
          <w:tcPr>
            <w:tcW w:type="dxa" w:w="1417"/>
          </w:tcPr>
          <w:p>
            <w:pPr>
              <w:spacing w:after="0" w:line="240" w:lineRule="auto"/>
              <w:jc w:val="right"/>
            </w:pPr>
            <w:r/>
            <w:r>
              <w:rPr>
                <w:b/>
                <w:sz w:val="18"/>
              </w:rPr>
              <w:t>2,673.7</w:t>
            </w:r>
          </w:p>
        </w:tc>
        <w:tc>
          <w:tcPr>
            <w:tcW w:type="dxa" w:w="1644"/>
          </w:tcPr>
          <w:p>
            <w:pPr>
              <w:spacing w:after="0" w:line="240" w:lineRule="auto"/>
              <w:jc w:val="right"/>
            </w:pPr>
            <w:r/>
            <w:r>
              <w:rPr>
                <w:b/>
                <w:sz w:val="18"/>
              </w:rPr>
              <w:t>-1,169.8</w:t>
            </w:r>
          </w:p>
        </w:tc>
        <w:tc>
          <w:tcPr>
            <w:tcW w:type="dxa" w:w="2041"/>
          </w:tcPr>
          <w:p>
            <w:pPr>
              <w:spacing w:after="0" w:line="240" w:lineRule="auto"/>
              <w:jc w:val="right"/>
            </w:pPr>
            <w:r/>
            <w:r>
              <w:rPr>
                <w:b/>
                <w:sz w:val="18"/>
              </w:rPr>
              <w:t>-908.7</w:t>
            </w:r>
          </w:p>
        </w:tc>
        <w:tc>
          <w:tcPr>
            <w:tcW w:type="dxa" w:w="1417"/>
          </w:tcPr>
          <w:p>
            <w:pPr>
              <w:spacing w:after="0" w:line="240" w:lineRule="auto"/>
              <w:jc w:val="right"/>
            </w:pPr>
            <w:r/>
            <w:r>
              <w:rPr>
                <w:b/>
                <w:sz w:val="18"/>
              </w:rPr>
              <w:t>595.3</w:t>
            </w:r>
          </w:p>
        </w:tc>
        <w:tc>
          <w:tcPr>
            <w:tcW w:type="dxa" w:w="1361"/>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33.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13: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52.0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106.9</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908.7</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351 million to EGP 294 million; a 20% overrun to EGP 237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14: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85.0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17.0</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112.5</w:t>
            </w:r>
          </w:p>
        </w:tc>
      </w:tr>
    </w:tbl>
    <w:p>
      <w:pPr>
        <w:spacing w:after="80"/>
      </w:pPr>
    </w:p>
    <w:p>
      <w:pPr>
        <w:keepNext/>
        <w:spacing w:after="60"/>
      </w:pPr>
      <w:r>
        <w:rPr>
          <w:b/>
          <w:color w:val="17324D"/>
          <w:sz w:val="19"/>
        </w:rPr>
        <w:t>Table 15: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w:t>
            </w:r>
          </w:p>
        </w:tc>
        <w:tc>
          <w:tcPr>
            <w:tcW w:type="dxa" w:w="2041"/>
          </w:tcPr>
          <w:p>
            <w:pPr>
              <w:spacing w:after="0" w:line="240" w:lineRule="auto"/>
              <w:jc w:val="right"/>
            </w:pPr>
            <w:r/>
            <w:r>
              <w:rPr>
                <w:sz w:val="19"/>
              </w:rPr>
              <w:t>100.0</w:t>
            </w:r>
          </w:p>
        </w:tc>
        <w:tc>
          <w:tcPr>
            <w:tcW w:type="dxa" w:w="2098"/>
          </w:tcPr>
          <w:p>
            <w:pPr>
              <w:spacing w:after="0" w:line="240" w:lineRule="auto"/>
              <w:jc w:val="right"/>
            </w:pPr>
            <w:r/>
            <w:r>
              <w:rPr>
                <w:sz w:val="19"/>
              </w:rPr>
              <w:t>89%</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12.5</w:t>
            </w:r>
          </w:p>
        </w:tc>
        <w:tc>
          <w:tcPr>
            <w:tcW w:type="dxa" w:w="2098"/>
            <w:shd w:val="clear" w:color="auto" w:fill="F2F4F7"/>
          </w:tcPr>
          <w:p>
            <w:pPr>
              <w:spacing w:after="0" w:line="240" w:lineRule="auto"/>
              <w:jc w:val="right"/>
            </w:pPr>
            <w:r/>
            <w:r>
              <w:rPr>
                <w:sz w:val="19"/>
              </w:rPr>
              <w:t>11%</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0.0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112.5</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98% of the modelled peak cumulative shortage of EGP 102.0 million (month 18).</w:t>
      </w:r>
    </w:p>
    <w:p>
      <w:pPr>
        <w:pStyle w:val="Heading2"/>
      </w:pPr>
      <w:r>
        <w:t>11.1 Funding gaps in stress cases</w:t>
      </w:r>
    </w:p>
    <w:p>
      <w:pPr>
        <w:keepNext/>
        <w:spacing w:after="60"/>
      </w:pPr>
      <w:r>
        <w:rPr>
          <w:b/>
          <w:color w:val="17324D"/>
          <w:sz w:val="19"/>
        </w:rPr>
        <w:t>Table 16: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351</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849</w:t>
            </w:r>
          </w:p>
        </w:tc>
        <w:tc>
          <w:tcPr>
            <w:tcW w:type="dxa" w:w="1984"/>
            <w:shd w:val="clear" w:color="auto" w:fill="F2F4F7"/>
          </w:tcPr>
          <w:p>
            <w:pPr>
              <w:spacing w:after="0" w:line="240" w:lineRule="auto"/>
              <w:jc w:val="right"/>
            </w:pPr>
            <w:r/>
            <w:r>
              <w:rPr>
                <w:sz w:val="18"/>
              </w:rPr>
              <w:t>45</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88</w:t>
            </w:r>
          </w:p>
        </w:tc>
        <w:tc>
          <w:tcPr>
            <w:tcW w:type="dxa" w:w="1984"/>
          </w:tcPr>
          <w:p>
            <w:pPr>
              <w:spacing w:after="0" w:line="240" w:lineRule="auto"/>
              <w:jc w:val="right"/>
            </w:pPr>
            <w:r/>
            <w:r>
              <w:rPr>
                <w:sz w:val="18"/>
              </w:rPr>
              <w:t>469</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117</w:t>
            </w:r>
          </w:p>
        </w:tc>
        <w:tc>
          <w:tcPr>
            <w:tcW w:type="dxa" w:w="1984"/>
            <w:shd w:val="clear" w:color="auto" w:fill="F2F4F7"/>
          </w:tcPr>
          <w:p>
            <w:pPr>
              <w:spacing w:after="0" w:line="240" w:lineRule="auto"/>
              <w:jc w:val="right"/>
            </w:pPr>
            <w:r/>
            <w:r>
              <w:rPr>
                <w:sz w:val="18"/>
              </w:rPr>
              <w:t>294</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381</w:t>
            </w:r>
          </w:p>
        </w:tc>
        <w:tc>
          <w:tcPr>
            <w:tcW w:type="dxa" w:w="1984"/>
          </w:tcPr>
          <w:p>
            <w:pPr>
              <w:spacing w:after="0" w:line="240" w:lineRule="auto"/>
              <w:jc w:val="right"/>
            </w:pPr>
            <w:r/>
            <w:r>
              <w:rPr>
                <w:sz w:val="18"/>
              </w:rPr>
              <w:t>239</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244</w:t>
            </w:r>
          </w:p>
        </w:tc>
        <w:tc>
          <w:tcPr>
            <w:tcW w:type="dxa" w:w="1984"/>
            <w:shd w:val="clear" w:color="auto" w:fill="F2F4F7"/>
          </w:tcPr>
          <w:p>
            <w:pPr>
              <w:spacing w:after="0" w:line="240" w:lineRule="auto"/>
              <w:jc w:val="right"/>
            </w:pPr>
            <w:r/>
            <w:r>
              <w:rPr>
                <w:sz w:val="18"/>
              </w:rPr>
              <w:t>313</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849</w:t>
            </w:r>
          </w:p>
        </w:tc>
        <w:tc>
          <w:tcPr>
            <w:tcW w:type="dxa" w:w="1984"/>
          </w:tcPr>
          <w:p>
            <w:pPr>
              <w:spacing w:after="0" w:line="240" w:lineRule="auto"/>
              <w:jc w:val="right"/>
            </w:pPr>
            <w:r/>
            <w:r>
              <w:rPr>
                <w:sz w:val="18"/>
              </w:rPr>
              <w:t>16</w:t>
            </w:r>
          </w:p>
        </w:tc>
      </w:tr>
    </w:tbl>
    <w:p>
      <w:pPr>
        <w:spacing w:after="80"/>
      </w:pPr>
    </w:p>
    <w:p>
      <w:r>
        <w:rPr>
          <w:b w:val="0"/>
          <w:i w:val="0"/>
        </w:rPr>
        <w:t>Jalour will fund the gap between project cash and the cases above from its cash reserves and from cash generated by other projects it is constructing;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17: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200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3 and 6), EGP 725 million at list; the investor receives 27.6% of them.</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61.7 million (247 m2) and offices EGP 138.3 million (864 m2)</w:t>
            </w:r>
          </w:p>
        </w:tc>
      </w:tr>
      <w:tr>
        <w:trPr>
          <w:cantSplit/>
        </w:trPr>
        <w:tc>
          <w:tcPr>
            <w:tcW w:type="dxa" w:w="2154"/>
            <w:shd w:val="clear" w:color="auto" w:fill="F2F4F7"/>
          </w:tcPr>
          <w:p>
            <w:pPr>
              <w:spacing w:after="0" w:line="240" w:lineRule="auto"/>
            </w:pPr>
            <w:r/>
            <w:r>
              <w:rPr>
                <w:b/>
                <w:sz w:val="19"/>
              </w:rPr>
              <w:t>Value at delivery list</w:t>
            </w:r>
          </w:p>
        </w:tc>
        <w:tc>
          <w:tcPr>
            <w:tcW w:type="dxa" w:w="7087"/>
            <w:shd w:val="clear" w:color="auto" w:fill="F2F4F7"/>
          </w:tcPr>
          <w:p>
            <w:pPr>
              <w:spacing w:after="0" w:line="240" w:lineRule="auto"/>
            </w:pPr>
            <w:r/>
            <w:r>
              <w:rPr>
                <w:sz w:val="19"/>
              </w:rPr>
              <w:t>EGP 296 million (1.481x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70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42; resale over four quarters from month 45;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18: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230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19.17 million in months 27 to 60</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19: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27</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19.17</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30</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38.33</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33</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57.50</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36</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76.67</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39</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95.83</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42</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115.00</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45</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134.17</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48</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153.33</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51</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172.50</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54</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191.67</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57</w:t>
            </w:r>
          </w:p>
        </w:tc>
        <w:tc>
          <w:tcPr>
            <w:tcW w:type="dxa" w:w="2721"/>
          </w:tcPr>
          <w:p>
            <w:pPr>
              <w:spacing w:after="0" w:line="240" w:lineRule="auto"/>
              <w:jc w:val="right"/>
            </w:pPr>
            <w:r/>
            <w:r>
              <w:rPr>
                <w:sz w:val="18"/>
              </w:rPr>
              <w:t>19.17</w:t>
            </w:r>
          </w:p>
        </w:tc>
        <w:tc>
          <w:tcPr>
            <w:tcW w:type="dxa" w:w="2778"/>
          </w:tcPr>
          <w:p>
            <w:pPr>
              <w:spacing w:after="0" w:line="240" w:lineRule="auto"/>
              <w:jc w:val="right"/>
            </w:pPr>
            <w:r/>
            <w:r>
              <w:rPr>
                <w:sz w:val="18"/>
              </w:rPr>
              <w:t>210.83</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60</w:t>
            </w:r>
          </w:p>
        </w:tc>
        <w:tc>
          <w:tcPr>
            <w:tcW w:type="dxa" w:w="2721"/>
            <w:shd w:val="clear" w:color="auto" w:fill="F2F4F7"/>
          </w:tcPr>
          <w:p>
            <w:pPr>
              <w:spacing w:after="0" w:line="240" w:lineRule="auto"/>
              <w:jc w:val="right"/>
            </w:pPr>
            <w:r/>
            <w:r>
              <w:rPr>
                <w:sz w:val="18"/>
              </w:rPr>
              <w:t>19.17</w:t>
            </w:r>
          </w:p>
        </w:tc>
        <w:tc>
          <w:tcPr>
            <w:tcW w:type="dxa" w:w="2778"/>
            <w:shd w:val="clear" w:color="auto" w:fill="F2F4F7"/>
          </w:tcPr>
          <w:p>
            <w:pPr>
              <w:spacing w:after="0" w:line="240" w:lineRule="auto"/>
              <w:jc w:val="right"/>
            </w:pPr>
            <w:r/>
            <w:r>
              <w:rPr>
                <w:sz w:val="18"/>
              </w:rPr>
              <w:t>230.00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0.</w:t>
      </w:r>
    </w:p>
    <w:p>
      <w:pPr>
        <w:pStyle w:val="Heading2"/>
      </w:pPr>
      <w:r>
        <w:t>13.1 Option A</w:t>
      </w:r>
    </w:p>
    <w:p>
      <w:pPr>
        <w:keepNext/>
        <w:spacing w:after="60"/>
      </w:pPr>
      <w:r>
        <w:rPr>
          <w:b/>
          <w:color w:val="17324D"/>
          <w:sz w:val="19"/>
        </w:rPr>
        <w:t>Table 20: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delivery list price; 3% cost</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2.87x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20.4%</w:t>
            </w:r>
          </w:p>
        </w:tc>
        <w:tc>
          <w:tcPr>
            <w:tcW w:type="dxa" w:w="1701"/>
            <w:shd w:val="clear" w:color="auto" w:fill="F2F4F7"/>
          </w:tcPr>
          <w:p>
            <w:pPr>
              <w:spacing w:after="0" w:line="240" w:lineRule="auto"/>
              <w:jc w:val="right"/>
            </w:pPr>
            <w:r/>
            <w:r>
              <w:rPr>
                <w:sz w:val="19"/>
              </w:rPr>
              <w:t>2.59x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32.3%</w:t>
            </w:r>
          </w:p>
        </w:tc>
        <w:tc>
          <w:tcPr>
            <w:tcW w:type="dxa" w:w="1701"/>
          </w:tcPr>
          <w:p>
            <w:pPr>
              <w:spacing w:after="0" w:line="240" w:lineRule="auto"/>
              <w:jc w:val="right"/>
            </w:pPr>
            <w:r/>
            <w:r>
              <w:rPr>
                <w:sz w:val="19"/>
              </w:rPr>
              <w:t>3.16x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27.5%</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31.7%</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17.5%</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35% of the delivery list price before the investor loses money on the ticket. The base case relies on list prices rising by 44% (retail) and 50% (offices); with no appreciation the units return 1.94x.</w:t>
      </w:r>
    </w:p>
    <w:p>
      <w:pPr>
        <w:keepNext/>
        <w:spacing w:after="60"/>
      </w:pPr>
      <w:r>
        <w:rPr>
          <w:b/>
          <w:color w:val="17324D"/>
          <w:sz w:val="19"/>
        </w:rPr>
        <w:t>Table 21: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20.5%</w:t>
            </w:r>
          </w:p>
        </w:tc>
        <w:tc>
          <w:tcPr>
            <w:tcW w:type="dxa" w:w="2324"/>
          </w:tcPr>
          <w:p>
            <w:pPr>
              <w:spacing w:after="0" w:line="240" w:lineRule="auto"/>
              <w:jc w:val="right"/>
            </w:pPr>
            <w:r/>
            <w:r>
              <w:rPr>
                <w:sz w:val="19"/>
              </w:rPr>
              <w:t>2.16x</w:t>
            </w:r>
          </w:p>
        </w:tc>
        <w:tc>
          <w:tcPr>
            <w:tcW w:type="dxa" w:w="2665"/>
          </w:tcPr>
          <w:p>
            <w:pPr>
              <w:spacing w:after="0" w:line="240" w:lineRule="auto"/>
              <w:jc w:val="right"/>
            </w:pPr>
            <w:r/>
            <w:r>
              <w:rPr>
                <w:sz w:val="19"/>
              </w:rPr>
              <w:t>11.3%</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25.1%</w:t>
            </w:r>
          </w:p>
        </w:tc>
        <w:tc>
          <w:tcPr>
            <w:tcW w:type="dxa" w:w="2324"/>
            <w:shd w:val="clear" w:color="auto" w:fill="F2F4F7"/>
          </w:tcPr>
          <w:p>
            <w:pPr>
              <w:spacing w:after="0" w:line="240" w:lineRule="auto"/>
              <w:jc w:val="right"/>
            </w:pPr>
            <w:r/>
            <w:r>
              <w:rPr>
                <w:sz w:val="19"/>
              </w:rPr>
              <w:t>2.51x</w:t>
            </w:r>
          </w:p>
        </w:tc>
        <w:tc>
          <w:tcPr>
            <w:tcW w:type="dxa" w:w="2665"/>
            <w:shd w:val="clear" w:color="auto" w:fill="F2F4F7"/>
          </w:tcPr>
          <w:p>
            <w:pPr>
              <w:spacing w:after="0" w:line="240" w:lineRule="auto"/>
              <w:jc w:val="right"/>
            </w:pPr>
            <w:r/>
            <w:r>
              <w:rPr>
                <w:sz w:val="19"/>
              </w:rPr>
              <w:t>17.0%</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29.2%</w:t>
            </w:r>
          </w:p>
        </w:tc>
        <w:tc>
          <w:tcPr>
            <w:tcW w:type="dxa" w:w="2324"/>
          </w:tcPr>
          <w:p>
            <w:pPr>
              <w:spacing w:after="0" w:line="240" w:lineRule="auto"/>
              <w:jc w:val="right"/>
            </w:pPr>
            <w:r/>
            <w:r>
              <w:rPr>
                <w:sz w:val="19"/>
              </w:rPr>
              <w:t>2.87x</w:t>
            </w:r>
          </w:p>
        </w:tc>
        <w:tc>
          <w:tcPr>
            <w:tcW w:type="dxa" w:w="2665"/>
          </w:tcPr>
          <w:p>
            <w:pPr>
              <w:spacing w:after="0" w:line="240" w:lineRule="auto"/>
              <w:jc w:val="right"/>
            </w:pPr>
            <w:r/>
            <w:r>
              <w:rPr>
                <w:sz w:val="19"/>
              </w:rPr>
              <w:t>22.6%</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33.0%</w:t>
            </w:r>
          </w:p>
        </w:tc>
        <w:tc>
          <w:tcPr>
            <w:tcW w:type="dxa" w:w="2324"/>
            <w:shd w:val="clear" w:color="auto" w:fill="F2F4F7"/>
          </w:tcPr>
          <w:p>
            <w:pPr>
              <w:spacing w:after="0" w:line="240" w:lineRule="auto"/>
              <w:jc w:val="right"/>
            </w:pPr>
            <w:r/>
            <w:r>
              <w:rPr>
                <w:sz w:val="19"/>
              </w:rPr>
              <w:t>3.23x</w:t>
            </w:r>
          </w:p>
        </w:tc>
        <w:tc>
          <w:tcPr>
            <w:tcW w:type="dxa" w:w="2665"/>
            <w:shd w:val="clear" w:color="auto" w:fill="F2F4F7"/>
          </w:tcPr>
          <w:p>
            <w:pPr>
              <w:spacing w:after="0" w:line="240" w:lineRule="auto"/>
              <w:jc w:val="right"/>
            </w:pPr>
            <w:r/>
            <w:r>
              <w:rPr>
                <w:sz w:val="19"/>
              </w:rPr>
              <w:t>28.0%</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36.5%</w:t>
            </w:r>
          </w:p>
        </w:tc>
        <w:tc>
          <w:tcPr>
            <w:tcW w:type="dxa" w:w="2324"/>
          </w:tcPr>
          <w:p>
            <w:pPr>
              <w:spacing w:after="0" w:line="240" w:lineRule="auto"/>
              <w:jc w:val="right"/>
            </w:pPr>
            <w:r/>
            <w:r>
              <w:rPr>
                <w:sz w:val="19"/>
              </w:rPr>
              <w:t>3.59x</w:t>
            </w:r>
          </w:p>
        </w:tc>
        <w:tc>
          <w:tcPr>
            <w:tcW w:type="dxa" w:w="2665"/>
          </w:tcPr>
          <w:p>
            <w:pPr>
              <w:spacing w:after="0" w:line="240" w:lineRule="auto"/>
              <w:jc w:val="right"/>
            </w:pPr>
            <w:r/>
            <w:r>
              <w:rPr>
                <w:sz w:val="19"/>
              </w:rPr>
              <w:t>33.3%</w:t>
            </w:r>
          </w:p>
        </w:tc>
      </w:tr>
    </w:tbl>
    <w:p>
      <w:pPr>
        <w:spacing w:after="80"/>
      </w:pPr>
    </w:p>
    <w:p>
      <w:r>
        <w:rPr>
          <w:b/>
          <w:i w:val="0"/>
        </w:rPr>
        <w:t>Cost to Jalour.</w:t>
      </w:r>
      <w:r>
        <w:rPr>
          <w:b w:val="0"/>
          <w:i w:val="0"/>
        </w:rPr>
        <w:t xml:space="preserve"> Giving the investor units from the first two sales tranches removes 28% of those tranches' collections. Jalour receives the ticket at funding and forgoes those collections (the units' face value of EGP 200 million at list) as they would have been received, partly offset by commission saved. The landlord share is unchanged. On this basis Jalour's cost of capital is 22.6%; the NPV effect at 14% is EGP -23.7 million and the project NPV after the deal is EGP 327 million (before: 351). Peak cumulative shortage before the ticket rises to EGP 137.4 million. If the same area were taken pro rata from all tranches (at higher average prices) the cost would be 31.6%.</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22: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-2</w:t>
            </w:r>
          </w:p>
        </w:tc>
        <w:tc>
          <w:tcPr>
            <w:tcW w:type="dxa" w:w="1474"/>
            <w:shd w:val="clear" w:color="auto" w:fill="F2F4F7"/>
          </w:tcPr>
          <w:p>
            <w:pPr>
              <w:spacing w:after="0" w:line="240" w:lineRule="auto"/>
              <w:jc w:val="right"/>
            </w:pPr>
            <w:r/>
            <w:r>
              <w:rPr>
                <w:sz w:val="19"/>
              </w:rPr>
              <w:t>-864</w:t>
            </w:r>
          </w:p>
        </w:tc>
        <w:tc>
          <w:tcPr>
            <w:tcW w:type="dxa" w:w="1474"/>
            <w:shd w:val="clear" w:color="auto" w:fill="F2F4F7"/>
          </w:tcPr>
          <w:p>
            <w:pPr>
              <w:spacing w:after="0" w:line="240" w:lineRule="auto"/>
              <w:jc w:val="right"/>
            </w:pPr>
            <w:r/>
            <w:r>
              <w:rPr>
                <w:sz w:val="19"/>
              </w:rPr>
              <w:t>0</w:t>
            </w:r>
          </w:p>
        </w:tc>
        <w:tc>
          <w:tcPr>
            <w:tcW w:type="dxa" w:w="1474"/>
            <w:shd w:val="clear" w:color="auto" w:fill="F2F4F7"/>
          </w:tcPr>
          <w:p>
            <w:pPr>
              <w:spacing w:after="0" w:line="240" w:lineRule="auto"/>
              <w:jc w:val="right"/>
            </w:pPr>
            <w:r/>
            <w:r>
              <w:rPr>
                <w:sz w:val="19"/>
              </w:rPr>
              <w:t>-240</w:t>
            </w:r>
          </w:p>
        </w:tc>
      </w:tr>
    </w:tbl>
    <w:p>
      <w:pPr>
        <w:spacing w:after="80"/>
      </w:pPr>
    </w:p>
    <w:p>
      <w:r>
        <w:rPr>
          <w:b w:val="0"/>
          <w:i w:val="0"/>
        </w:rPr>
        <w:t>In the base case the lowest pooled cash of EGP -2.0 million arises in month 18,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23: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27</w:t>
            </w:r>
          </w:p>
        </w:tc>
        <w:tc>
          <w:tcPr>
            <w:tcW w:type="dxa" w:w="2268"/>
          </w:tcPr>
          <w:p>
            <w:pPr>
              <w:spacing w:after="0" w:line="240" w:lineRule="auto"/>
              <w:jc w:val="right"/>
            </w:pPr>
            <w:r/>
            <w:r>
              <w:rPr>
                <w:sz w:val="18"/>
              </w:rPr>
              <w:t>45.0</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2.3x</w:t>
            </w:r>
          </w:p>
        </w:tc>
        <w:tc>
          <w:tcPr>
            <w:tcW w:type="dxa" w:w="2041"/>
          </w:tcPr>
          <w:p>
            <w:pPr>
              <w:spacing w:after="0" w:line="240" w:lineRule="auto"/>
              <w:jc w:val="right"/>
            </w:pPr>
            <w:r/>
            <w:r>
              <w:rPr>
                <w:sz w:val="18"/>
              </w:rPr>
              <w:t>3.5x</w:t>
            </w:r>
          </w:p>
        </w:tc>
      </w:tr>
      <w:tr>
        <w:trPr>
          <w:cantSplit/>
        </w:trPr>
        <w:tc>
          <w:tcPr>
            <w:tcW w:type="dxa" w:w="1134"/>
            <w:shd w:val="clear" w:color="auto" w:fill="F2F4F7"/>
          </w:tcPr>
          <w:p>
            <w:pPr>
              <w:spacing w:after="0" w:line="240" w:lineRule="auto"/>
            </w:pPr>
            <w:r/>
            <w:r>
              <w:rPr>
                <w:sz w:val="18"/>
              </w:rPr>
              <w:t>30</w:t>
            </w:r>
          </w:p>
        </w:tc>
        <w:tc>
          <w:tcPr>
            <w:tcW w:type="dxa" w:w="2268"/>
            <w:shd w:val="clear" w:color="auto" w:fill="F2F4F7"/>
          </w:tcPr>
          <w:p>
            <w:pPr>
              <w:spacing w:after="0" w:line="240" w:lineRule="auto"/>
              <w:jc w:val="right"/>
            </w:pPr>
            <w:r/>
            <w:r>
              <w:rPr>
                <w:sz w:val="18"/>
              </w:rPr>
              <w:t>55.2</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2.9x</w:t>
            </w:r>
          </w:p>
        </w:tc>
        <w:tc>
          <w:tcPr>
            <w:tcW w:type="dxa" w:w="2041"/>
            <w:shd w:val="clear" w:color="auto" w:fill="F2F4F7"/>
          </w:tcPr>
          <w:p>
            <w:pPr>
              <w:spacing w:after="0" w:line="240" w:lineRule="auto"/>
              <w:jc w:val="right"/>
            </w:pPr>
            <w:r/>
            <w:r>
              <w:rPr>
                <w:sz w:val="18"/>
              </w:rPr>
              <w:t>5.4x</w:t>
            </w:r>
          </w:p>
        </w:tc>
      </w:tr>
      <w:tr>
        <w:trPr>
          <w:cantSplit/>
        </w:trPr>
        <w:tc>
          <w:tcPr>
            <w:tcW w:type="dxa" w:w="1134"/>
          </w:tcPr>
          <w:p>
            <w:pPr>
              <w:spacing w:after="0" w:line="240" w:lineRule="auto"/>
            </w:pPr>
            <w:r/>
            <w:r>
              <w:rPr>
                <w:sz w:val="18"/>
              </w:rPr>
              <w:t>33</w:t>
            </w:r>
          </w:p>
        </w:tc>
        <w:tc>
          <w:tcPr>
            <w:tcW w:type="dxa" w:w="2268"/>
          </w:tcPr>
          <w:p>
            <w:pPr>
              <w:spacing w:after="0" w:line="240" w:lineRule="auto"/>
              <w:jc w:val="right"/>
            </w:pPr>
            <w:r/>
            <w:r>
              <w:rPr>
                <w:sz w:val="18"/>
              </w:rPr>
              <w:t>481.3</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25.1x</w:t>
            </w:r>
          </w:p>
        </w:tc>
        <w:tc>
          <w:tcPr>
            <w:tcW w:type="dxa" w:w="2041"/>
          </w:tcPr>
          <w:p>
            <w:pPr>
              <w:spacing w:after="0" w:line="240" w:lineRule="auto"/>
              <w:jc w:val="right"/>
            </w:pPr>
            <w:r/>
            <w:r>
              <w:rPr>
                <w:sz w:val="18"/>
              </w:rPr>
              <w:t>29.5x</w:t>
            </w:r>
          </w:p>
        </w:tc>
      </w:tr>
      <w:tr>
        <w:trPr>
          <w:cantSplit/>
        </w:trPr>
        <w:tc>
          <w:tcPr>
            <w:tcW w:type="dxa" w:w="1134"/>
            <w:shd w:val="clear" w:color="auto" w:fill="F2F4F7"/>
          </w:tcPr>
          <w:p>
            <w:pPr>
              <w:spacing w:after="0" w:line="240" w:lineRule="auto"/>
            </w:pPr>
            <w:r/>
            <w:r>
              <w:rPr>
                <w:sz w:val="18"/>
              </w:rPr>
              <w:t>36</w:t>
            </w:r>
          </w:p>
        </w:tc>
        <w:tc>
          <w:tcPr>
            <w:tcW w:type="dxa" w:w="2268"/>
            <w:shd w:val="clear" w:color="auto" w:fill="F2F4F7"/>
          </w:tcPr>
          <w:p>
            <w:pPr>
              <w:spacing w:after="0" w:line="240" w:lineRule="auto"/>
              <w:jc w:val="right"/>
            </w:pPr>
            <w:r/>
            <w:r>
              <w:rPr>
                <w:sz w:val="18"/>
              </w:rPr>
              <w:t>-30.2</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-1.6x</w:t>
            </w:r>
          </w:p>
        </w:tc>
        <w:tc>
          <w:tcPr>
            <w:tcW w:type="dxa" w:w="2041"/>
            <w:shd w:val="clear" w:color="auto" w:fill="F2F4F7"/>
          </w:tcPr>
          <w:p>
            <w:pPr>
              <w:spacing w:after="0" w:line="240" w:lineRule="auto"/>
              <w:jc w:val="right"/>
            </w:pPr>
            <w:r/>
            <w:r>
              <w:rPr>
                <w:sz w:val="18"/>
              </w:rPr>
              <w:t>26.9x</w:t>
            </w:r>
          </w:p>
        </w:tc>
      </w:tr>
      <w:tr>
        <w:trPr>
          <w:cantSplit/>
        </w:trPr>
        <w:tc>
          <w:tcPr>
            <w:tcW w:type="dxa" w:w="1134"/>
          </w:tcPr>
          <w:p>
            <w:pPr>
              <w:spacing w:after="0" w:line="240" w:lineRule="auto"/>
            </w:pPr>
            <w:r/>
            <w:r>
              <w:rPr>
                <w:sz w:val="18"/>
              </w:rPr>
              <w:t>39</w:t>
            </w:r>
          </w:p>
        </w:tc>
        <w:tc>
          <w:tcPr>
            <w:tcW w:type="dxa" w:w="2268"/>
          </w:tcPr>
          <w:p>
            <w:pPr>
              <w:spacing w:after="0" w:line="240" w:lineRule="auto"/>
              <w:jc w:val="right"/>
            </w:pPr>
            <w:r/>
            <w:r>
              <w:rPr>
                <w:sz w:val="18"/>
              </w:rPr>
              <w:t>-129.2</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-6.7x</w:t>
            </w:r>
          </w:p>
        </w:tc>
        <w:tc>
          <w:tcPr>
            <w:tcW w:type="dxa" w:w="2041"/>
          </w:tcPr>
          <w:p>
            <w:pPr>
              <w:spacing w:after="0" w:line="240" w:lineRule="auto"/>
              <w:jc w:val="right"/>
            </w:pPr>
            <w:r/>
            <w:r>
              <w:rPr>
                <w:sz w:val="18"/>
              </w:rPr>
              <w:t>19.2x</w:t>
            </w:r>
          </w:p>
        </w:tc>
      </w:tr>
      <w:tr>
        <w:trPr>
          <w:cantSplit/>
        </w:trPr>
        <w:tc>
          <w:tcPr>
            <w:tcW w:type="dxa" w:w="1134"/>
            <w:shd w:val="clear" w:color="auto" w:fill="F2F4F7"/>
          </w:tcPr>
          <w:p>
            <w:pPr>
              <w:spacing w:after="0" w:line="240" w:lineRule="auto"/>
            </w:pPr>
            <w:r/>
            <w:r>
              <w:rPr>
                <w:sz w:val="18"/>
              </w:rPr>
              <w:t>42</w:t>
            </w:r>
          </w:p>
        </w:tc>
        <w:tc>
          <w:tcPr>
            <w:tcW w:type="dxa" w:w="2268"/>
            <w:shd w:val="clear" w:color="auto" w:fill="F2F4F7"/>
          </w:tcPr>
          <w:p>
            <w:pPr>
              <w:spacing w:after="0" w:line="240" w:lineRule="auto"/>
              <w:jc w:val="right"/>
            </w:pPr>
            <w:r/>
            <w:r>
              <w:rPr>
                <w:sz w:val="18"/>
              </w:rPr>
              <w:t>-98.4</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-5.1x</w:t>
            </w:r>
          </w:p>
        </w:tc>
        <w:tc>
          <w:tcPr>
            <w:tcW w:type="dxa" w:w="2041"/>
            <w:shd w:val="clear" w:color="auto" w:fill="F2F4F7"/>
          </w:tcPr>
          <w:p>
            <w:pPr>
              <w:spacing w:after="0" w:line="240" w:lineRule="auto"/>
              <w:jc w:val="right"/>
            </w:pPr>
            <w:r/>
            <w:r>
              <w:rPr>
                <w:sz w:val="18"/>
              </w:rPr>
              <w:t>13.0x</w:t>
            </w:r>
          </w:p>
        </w:tc>
      </w:tr>
      <w:tr>
        <w:trPr>
          <w:cantSplit/>
        </w:trPr>
        <w:tc>
          <w:tcPr>
            <w:tcW w:type="dxa" w:w="1134"/>
          </w:tcPr>
          <w:p>
            <w:pPr>
              <w:spacing w:after="0" w:line="240" w:lineRule="auto"/>
            </w:pPr>
            <w:r/>
            <w:r>
              <w:rPr>
                <w:sz w:val="18"/>
              </w:rPr>
              <w:t>45</w:t>
            </w:r>
          </w:p>
        </w:tc>
        <w:tc>
          <w:tcPr>
            <w:tcW w:type="dxa" w:w="2268"/>
          </w:tcPr>
          <w:p>
            <w:pPr>
              <w:spacing w:after="0" w:line="240" w:lineRule="auto"/>
              <w:jc w:val="right"/>
            </w:pPr>
            <w:r/>
            <w:r>
              <w:rPr>
                <w:sz w:val="18"/>
              </w:rPr>
              <w:t>36.8</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1.9x</w:t>
            </w:r>
          </w:p>
        </w:tc>
        <w:tc>
          <w:tcPr>
            <w:tcW w:type="dxa" w:w="2041"/>
          </w:tcPr>
          <w:p>
            <w:pPr>
              <w:spacing w:after="0" w:line="240" w:lineRule="auto"/>
              <w:jc w:val="right"/>
            </w:pPr>
            <w:r/>
            <w:r>
              <w:rPr>
                <w:sz w:val="18"/>
              </w:rPr>
              <w:t>14.0x</w:t>
            </w:r>
          </w:p>
        </w:tc>
      </w:tr>
      <w:tr>
        <w:trPr>
          <w:cantSplit/>
        </w:trPr>
        <w:tc>
          <w:tcPr>
            <w:tcW w:type="dxa" w:w="1134"/>
            <w:shd w:val="clear" w:color="auto" w:fill="F2F4F7"/>
          </w:tcPr>
          <w:p>
            <w:pPr>
              <w:spacing w:after="0" w:line="240" w:lineRule="auto"/>
            </w:pPr>
            <w:r/>
            <w:r>
              <w:rPr>
                <w:sz w:val="18"/>
              </w:rPr>
              <w:t>48</w:t>
            </w:r>
          </w:p>
        </w:tc>
        <w:tc>
          <w:tcPr>
            <w:tcW w:type="dxa" w:w="2268"/>
            <w:shd w:val="clear" w:color="auto" w:fill="F2F4F7"/>
          </w:tcPr>
          <w:p>
            <w:pPr>
              <w:spacing w:after="0" w:line="240" w:lineRule="auto"/>
              <w:jc w:val="right"/>
            </w:pPr>
            <w:r/>
            <w:r>
              <w:rPr>
                <w:sz w:val="18"/>
              </w:rPr>
              <w:t>35.0</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1.8x</w:t>
            </w:r>
          </w:p>
        </w:tc>
        <w:tc>
          <w:tcPr>
            <w:tcW w:type="dxa" w:w="2041"/>
            <w:shd w:val="clear" w:color="auto" w:fill="F2F4F7"/>
          </w:tcPr>
          <w:p>
            <w:pPr>
              <w:spacing w:after="0" w:line="240" w:lineRule="auto"/>
              <w:jc w:val="right"/>
            </w:pPr>
            <w:r/>
            <w:r>
              <w:rPr>
                <w:sz w:val="18"/>
              </w:rPr>
              <w:t>14.8x</w:t>
            </w:r>
          </w:p>
        </w:tc>
      </w:tr>
      <w:tr>
        <w:trPr>
          <w:cantSplit/>
        </w:trPr>
        <w:tc>
          <w:tcPr>
            <w:tcW w:type="dxa" w:w="1134"/>
          </w:tcPr>
          <w:p>
            <w:pPr>
              <w:spacing w:after="0" w:line="240" w:lineRule="auto"/>
            </w:pPr>
            <w:r/>
            <w:r>
              <w:rPr>
                <w:sz w:val="18"/>
              </w:rPr>
              <w:t>51</w:t>
            </w:r>
          </w:p>
        </w:tc>
        <w:tc>
          <w:tcPr>
            <w:tcW w:type="dxa" w:w="2268"/>
          </w:tcPr>
          <w:p>
            <w:pPr>
              <w:spacing w:after="0" w:line="240" w:lineRule="auto"/>
              <w:jc w:val="right"/>
            </w:pPr>
            <w:r/>
            <w:r>
              <w:rPr>
                <w:sz w:val="18"/>
              </w:rPr>
              <w:t>54.8</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2.9x</w:t>
            </w:r>
          </w:p>
        </w:tc>
        <w:tc>
          <w:tcPr>
            <w:tcW w:type="dxa" w:w="2041"/>
          </w:tcPr>
          <w:p>
            <w:pPr>
              <w:spacing w:after="0" w:line="240" w:lineRule="auto"/>
              <w:jc w:val="right"/>
            </w:pPr>
            <w:r/>
            <w:r>
              <w:rPr>
                <w:sz w:val="18"/>
              </w:rPr>
              <w:t>16.6x</w:t>
            </w:r>
          </w:p>
        </w:tc>
      </w:tr>
      <w:tr>
        <w:trPr>
          <w:cantSplit/>
        </w:trPr>
        <w:tc>
          <w:tcPr>
            <w:tcW w:type="dxa" w:w="1134"/>
            <w:shd w:val="clear" w:color="auto" w:fill="F2F4F7"/>
          </w:tcPr>
          <w:p>
            <w:pPr>
              <w:spacing w:after="0" w:line="240" w:lineRule="auto"/>
            </w:pPr>
            <w:r/>
            <w:r>
              <w:rPr>
                <w:sz w:val="18"/>
              </w:rPr>
              <w:t>54</w:t>
            </w:r>
          </w:p>
        </w:tc>
        <w:tc>
          <w:tcPr>
            <w:tcW w:type="dxa" w:w="2268"/>
            <w:shd w:val="clear" w:color="auto" w:fill="F2F4F7"/>
          </w:tcPr>
          <w:p>
            <w:pPr>
              <w:spacing w:after="0" w:line="240" w:lineRule="auto"/>
              <w:jc w:val="right"/>
            </w:pPr>
            <w:r/>
            <w:r>
              <w:rPr>
                <w:sz w:val="18"/>
              </w:rPr>
              <w:t>47.7</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2.5x</w:t>
            </w:r>
          </w:p>
        </w:tc>
        <w:tc>
          <w:tcPr>
            <w:tcW w:type="dxa" w:w="2041"/>
            <w:shd w:val="clear" w:color="auto" w:fill="F2F4F7"/>
          </w:tcPr>
          <w:p>
            <w:pPr>
              <w:spacing w:after="0" w:line="240" w:lineRule="auto"/>
              <w:jc w:val="right"/>
            </w:pPr>
            <w:r/>
            <w:r>
              <w:rPr>
                <w:sz w:val="18"/>
              </w:rPr>
              <w:t>18.1x</w:t>
            </w:r>
          </w:p>
        </w:tc>
      </w:tr>
      <w:tr>
        <w:trPr>
          <w:cantSplit/>
        </w:trPr>
        <w:tc>
          <w:tcPr>
            <w:tcW w:type="dxa" w:w="1134"/>
          </w:tcPr>
          <w:p>
            <w:pPr>
              <w:spacing w:after="0" w:line="240" w:lineRule="auto"/>
            </w:pPr>
            <w:r/>
            <w:r>
              <w:rPr>
                <w:sz w:val="18"/>
              </w:rPr>
              <w:t>57</w:t>
            </w:r>
          </w:p>
        </w:tc>
        <w:tc>
          <w:tcPr>
            <w:tcW w:type="dxa" w:w="2268"/>
          </w:tcPr>
          <w:p>
            <w:pPr>
              <w:spacing w:after="0" w:line="240" w:lineRule="auto"/>
              <w:jc w:val="right"/>
            </w:pPr>
            <w:r/>
            <w:r>
              <w:rPr>
                <w:sz w:val="18"/>
              </w:rPr>
              <w:t>38.8</w:t>
            </w:r>
          </w:p>
        </w:tc>
        <w:tc>
          <w:tcPr>
            <w:tcW w:type="dxa" w:w="1701"/>
          </w:tcPr>
          <w:p>
            <w:pPr>
              <w:spacing w:after="0" w:line="240" w:lineRule="auto"/>
              <w:jc w:val="right"/>
            </w:pPr>
            <w:r/>
            <w:r>
              <w:rPr>
                <w:sz w:val="18"/>
              </w:rPr>
              <w:t>19.17</w:t>
            </w:r>
          </w:p>
        </w:tc>
        <w:tc>
          <w:tcPr>
            <w:tcW w:type="dxa" w:w="2098"/>
          </w:tcPr>
          <w:p>
            <w:pPr>
              <w:spacing w:after="0" w:line="240" w:lineRule="auto"/>
              <w:jc w:val="right"/>
            </w:pPr>
            <w:r/>
            <w:r>
              <w:rPr>
                <w:sz w:val="18"/>
              </w:rPr>
              <w:t>2.0x</w:t>
            </w:r>
          </w:p>
        </w:tc>
        <w:tc>
          <w:tcPr>
            <w:tcW w:type="dxa" w:w="2041"/>
          </w:tcPr>
          <w:p>
            <w:pPr>
              <w:spacing w:after="0" w:line="240" w:lineRule="auto"/>
              <w:jc w:val="right"/>
            </w:pPr>
            <w:r/>
            <w:r>
              <w:rPr>
                <w:sz w:val="18"/>
              </w:rPr>
              <w:t>19.2x</w:t>
            </w:r>
          </w:p>
        </w:tc>
      </w:tr>
      <w:tr>
        <w:trPr>
          <w:cantSplit/>
        </w:trPr>
        <w:tc>
          <w:tcPr>
            <w:tcW w:type="dxa" w:w="1134"/>
            <w:shd w:val="clear" w:color="auto" w:fill="F2F4F7"/>
          </w:tcPr>
          <w:p>
            <w:pPr>
              <w:spacing w:after="0" w:line="240" w:lineRule="auto"/>
            </w:pPr>
            <w:r/>
            <w:r>
              <w:rPr>
                <w:sz w:val="18"/>
              </w:rPr>
              <w:t>60</w:t>
            </w:r>
          </w:p>
        </w:tc>
        <w:tc>
          <w:tcPr>
            <w:tcW w:type="dxa" w:w="2268"/>
            <w:shd w:val="clear" w:color="auto" w:fill="F2F4F7"/>
          </w:tcPr>
          <w:p>
            <w:pPr>
              <w:spacing w:after="0" w:line="240" w:lineRule="auto"/>
              <w:jc w:val="right"/>
            </w:pPr>
            <w:r/>
            <w:r>
              <w:rPr>
                <w:sz w:val="18"/>
              </w:rPr>
              <w:t>28.5</w:t>
            </w:r>
          </w:p>
        </w:tc>
        <w:tc>
          <w:tcPr>
            <w:tcW w:type="dxa" w:w="1701"/>
            <w:shd w:val="clear" w:color="auto" w:fill="F2F4F7"/>
          </w:tcPr>
          <w:p>
            <w:pPr>
              <w:spacing w:after="0" w:line="240" w:lineRule="auto"/>
              <w:jc w:val="right"/>
            </w:pPr>
            <w:r/>
            <w:r>
              <w:rPr>
                <w:sz w:val="18"/>
              </w:rPr>
              <w:t>19.17</w:t>
            </w:r>
          </w:p>
        </w:tc>
        <w:tc>
          <w:tcPr>
            <w:tcW w:type="dxa" w:w="2098"/>
            <w:shd w:val="clear" w:color="auto" w:fill="F2F4F7"/>
          </w:tcPr>
          <w:p>
            <w:pPr>
              <w:spacing w:after="0" w:line="240" w:lineRule="auto"/>
              <w:jc w:val="right"/>
            </w:pPr>
            <w:r/>
            <w:r>
              <w:rPr>
                <w:sz w:val="18"/>
              </w:rPr>
              <w:t>1.5x</w:t>
            </w:r>
          </w:p>
        </w:tc>
        <w:tc>
          <w:tcPr>
            <w:tcW w:type="dxa" w:w="2041"/>
            <w:shd w:val="clear" w:color="auto" w:fill="F2F4F7"/>
          </w:tcPr>
          <w:p>
            <w:pPr>
              <w:spacing w:after="0" w:line="240" w:lineRule="auto"/>
              <w:jc w:val="right"/>
            </w:pPr>
            <w:r/>
            <w:r>
              <w:rPr>
                <w:sz w:val="18"/>
              </w:rPr>
              <w:t>19.6x</w:t>
            </w:r>
          </w:p>
        </w:tc>
      </w:tr>
    </w:tbl>
    <w:p>
      <w:pPr>
        <w:spacing w:after="80"/>
      </w:pPr>
    </w:p>
    <w:p>
      <w:r>
        <w:rPr>
          <w:b w:val="0"/>
          <w:i w:val="0"/>
        </w:rPr>
        <w:t>Coverage on net cash flow alone is below the 1.5x threshold in 4 of 12 quarters, because instalments fall in the construction peak and in the quarters after handover when collections are thin. "Cash available" adds pooled project cash, including the ticket and earlier collections, and is at least 3.5x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24: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4 of 12</w:t>
            </w:r>
          </w:p>
        </w:tc>
        <w:tc>
          <w:tcPr>
            <w:tcW w:type="dxa" w:w="1587"/>
          </w:tcPr>
          <w:p>
            <w:pPr>
              <w:spacing w:after="0" w:line="240" w:lineRule="auto"/>
              <w:jc w:val="right"/>
            </w:pPr>
            <w:r/>
            <w:r>
              <w:rPr>
                <w:sz w:val="18"/>
              </w:rPr>
              <w:t>-864</w:t>
            </w:r>
          </w:p>
        </w:tc>
        <w:tc>
          <w:tcPr>
            <w:tcW w:type="dxa" w:w="1020"/>
          </w:tcPr>
          <w:p>
            <w:pPr>
              <w:spacing w:after="0" w:line="240" w:lineRule="auto"/>
              <w:jc w:val="right"/>
            </w:pPr>
            <w:r/>
            <w:r>
              <w:rPr>
                <w:sz w:val="18"/>
              </w:rPr>
              <w:t>60</w:t>
            </w:r>
          </w:p>
        </w:tc>
      </w:tr>
      <w:tr>
        <w:trPr>
          <w:cantSplit/>
        </w:trPr>
        <w:tc>
          <w:tcPr>
            <w:tcW w:type="dxa" w:w="3515"/>
            <w:shd w:val="clear" w:color="auto" w:fill="F2F4F7"/>
          </w:tcPr>
          <w:p>
            <w:pPr>
              <w:spacing w:after="0" w:line="240" w:lineRule="auto"/>
            </w:pPr>
            <w:r/>
            <w:r>
              <w:rPr>
                <w:sz w:val="18"/>
              </w:rPr>
              <w:t>S2 19.7% of collections, floor 0.4x, cap 1.5x of instalment</w:t>
            </w:r>
          </w:p>
        </w:tc>
        <w:tc>
          <w:tcPr>
            <w:tcW w:type="dxa" w:w="1417"/>
            <w:shd w:val="clear" w:color="auto" w:fill="F2F4F7"/>
          </w:tcPr>
          <w:p>
            <w:pPr>
              <w:spacing w:after="0" w:line="240" w:lineRule="auto"/>
              <w:jc w:val="right"/>
            </w:pPr>
            <w:r/>
            <w:r>
              <w:rPr>
                <w:sz w:val="18"/>
              </w:rPr>
              <w:t>28.7%</w:t>
            </w:r>
          </w:p>
        </w:tc>
        <w:tc>
          <w:tcPr>
            <w:tcW w:type="dxa" w:w="1701"/>
            <w:shd w:val="clear" w:color="auto" w:fill="F2F4F7"/>
          </w:tcPr>
          <w:p>
            <w:pPr>
              <w:spacing w:after="0" w:line="240" w:lineRule="auto"/>
              <w:jc w:val="right"/>
            </w:pPr>
            <w:r/>
            <w:r>
              <w:rPr>
                <w:sz w:val="18"/>
              </w:rPr>
              <w:t>3 of 12</w:t>
            </w:r>
          </w:p>
        </w:tc>
        <w:tc>
          <w:tcPr>
            <w:tcW w:type="dxa" w:w="1587"/>
            <w:shd w:val="clear" w:color="auto" w:fill="F2F4F7"/>
          </w:tcPr>
          <w:p>
            <w:pPr>
              <w:spacing w:after="0" w:line="240" w:lineRule="auto"/>
              <w:jc w:val="right"/>
            </w:pPr>
            <w:r/>
            <w:r>
              <w:rPr>
                <w:sz w:val="18"/>
              </w:rPr>
              <w:t>-851</w:t>
            </w:r>
          </w:p>
        </w:tc>
        <w:tc>
          <w:tcPr>
            <w:tcW w:type="dxa" w:w="1020"/>
            <w:shd w:val="clear" w:color="auto" w:fill="F2F4F7"/>
          </w:tcPr>
          <w:p>
            <w:pPr>
              <w:spacing w:after="0" w:line="240" w:lineRule="auto"/>
              <w:jc w:val="right"/>
            </w:pPr>
            <w:r/>
            <w:r>
              <w:rPr>
                <w:sz w:val="18"/>
              </w:rPr>
              <w:t>63</w:t>
            </w:r>
          </w:p>
        </w:tc>
      </w:tr>
      <w:tr>
        <w:trPr>
          <w:cantSplit/>
        </w:trPr>
        <w:tc>
          <w:tcPr>
            <w:tcW w:type="dxa" w:w="3515"/>
          </w:tcPr>
          <w:p>
            <w:pPr>
              <w:spacing w:after="0" w:line="240" w:lineRule="auto"/>
            </w:pPr>
            <w:r/>
            <w:r>
              <w:rPr>
                <w:sz w:val="18"/>
              </w:rPr>
              <w:t>S3 Fixed 1.8x plus 2.9% of collections, cap 2.8x</w:t>
            </w:r>
          </w:p>
        </w:tc>
        <w:tc>
          <w:tcPr>
            <w:tcW w:type="dxa" w:w="1417"/>
          </w:tcPr>
          <w:p>
            <w:pPr>
              <w:spacing w:after="0" w:line="240" w:lineRule="auto"/>
              <w:jc w:val="right"/>
            </w:pPr>
            <w:r/>
            <w:r>
              <w:rPr>
                <w:sz w:val="18"/>
              </w:rPr>
              <w:t>27.4%</w:t>
            </w:r>
          </w:p>
        </w:tc>
        <w:tc>
          <w:tcPr>
            <w:tcW w:type="dxa" w:w="1701"/>
          </w:tcPr>
          <w:p>
            <w:pPr>
              <w:spacing w:after="0" w:line="240" w:lineRule="auto"/>
              <w:jc w:val="right"/>
            </w:pPr>
            <w:r/>
            <w:r>
              <w:rPr>
                <w:sz w:val="18"/>
              </w:rPr>
              <w:t>3 of 12</w:t>
            </w:r>
          </w:p>
        </w:tc>
        <w:tc>
          <w:tcPr>
            <w:tcW w:type="dxa" w:w="1587"/>
          </w:tcPr>
          <w:p>
            <w:pPr>
              <w:spacing w:after="0" w:line="240" w:lineRule="auto"/>
              <w:jc w:val="right"/>
            </w:pPr>
            <w:r/>
            <w:r>
              <w:rPr>
                <w:sz w:val="18"/>
              </w:rPr>
              <w:t>-854</w:t>
            </w:r>
          </w:p>
        </w:tc>
        <w:tc>
          <w:tcPr>
            <w:tcW w:type="dxa" w:w="1020"/>
          </w:tcPr>
          <w:p>
            <w:pPr>
              <w:spacing w:after="0" w:line="240" w:lineRule="auto"/>
              <w:jc w:val="right"/>
            </w:pPr>
            <w:r/>
            <w:r>
              <w:rPr>
                <w:sz w:val="18"/>
              </w:rPr>
              <w:t>60</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25: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351</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316</w:t>
            </w:r>
          </w:p>
        </w:tc>
        <w:tc>
          <w:tcPr>
            <w:tcW w:type="dxa" w:w="1984"/>
            <w:shd w:val="clear" w:color="auto" w:fill="F2F4F7"/>
          </w:tcPr>
          <w:p>
            <w:pPr>
              <w:spacing w:after="0" w:line="240" w:lineRule="auto"/>
              <w:jc w:val="right"/>
            </w:pPr>
            <w:r/>
            <w:r>
              <w:rPr>
                <w:sz w:val="18"/>
              </w:rPr>
              <w:t>113</w:t>
            </w:r>
          </w:p>
        </w:tc>
        <w:tc>
          <w:tcPr>
            <w:tcW w:type="dxa" w:w="1928"/>
            <w:shd w:val="clear" w:color="auto" w:fill="F2F4F7"/>
          </w:tcPr>
          <w:p>
            <w:pPr>
              <w:spacing w:after="0" w:line="240" w:lineRule="auto"/>
              <w:jc w:val="right"/>
            </w:pPr>
            <w:r/>
            <w:r>
              <w:rPr>
                <w:sz w:val="18"/>
              </w:rPr>
              <w:t>175</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456</w:t>
            </w:r>
          </w:p>
        </w:tc>
        <w:tc>
          <w:tcPr>
            <w:tcW w:type="dxa" w:w="1984"/>
          </w:tcPr>
          <w:p>
            <w:pPr>
              <w:spacing w:after="0" w:line="240" w:lineRule="auto"/>
              <w:jc w:val="right"/>
            </w:pPr>
            <w:r/>
            <w:r>
              <w:rPr>
                <w:sz w:val="18"/>
              </w:rPr>
              <w:t>232</w:t>
            </w:r>
          </w:p>
        </w:tc>
        <w:tc>
          <w:tcPr>
            <w:tcW w:type="dxa" w:w="1928"/>
          </w:tcPr>
          <w:p>
            <w:pPr>
              <w:spacing w:after="0" w:line="240" w:lineRule="auto"/>
              <w:jc w:val="right"/>
            </w:pPr>
            <w:r/>
            <w:r>
              <w:rPr>
                <w:sz w:val="18"/>
              </w:rPr>
              <w:t>138</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735</w:t>
            </w:r>
          </w:p>
        </w:tc>
        <w:tc>
          <w:tcPr>
            <w:tcW w:type="dxa" w:w="1984"/>
            <w:shd w:val="clear" w:color="auto" w:fill="F2F4F7"/>
          </w:tcPr>
          <w:p>
            <w:pPr>
              <w:spacing w:after="0" w:line="240" w:lineRule="auto"/>
              <w:jc w:val="right"/>
            </w:pPr>
            <w:r/>
            <w:r>
              <w:rPr>
                <w:sz w:val="18"/>
              </w:rPr>
              <w:t>469</w:t>
            </w:r>
          </w:p>
        </w:tc>
        <w:tc>
          <w:tcPr>
            <w:tcW w:type="dxa" w:w="1928"/>
            <w:shd w:val="clear" w:color="auto" w:fill="F2F4F7"/>
          </w:tcPr>
          <w:p>
            <w:pPr>
              <w:spacing w:after="0" w:line="240" w:lineRule="auto"/>
              <w:jc w:val="right"/>
            </w:pPr>
            <w:r/>
            <w:r>
              <w:rPr>
                <w:sz w:val="18"/>
              </w:rPr>
              <w:t>88</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875</w:t>
            </w:r>
          </w:p>
        </w:tc>
        <w:tc>
          <w:tcPr>
            <w:tcW w:type="dxa" w:w="1984"/>
          </w:tcPr>
          <w:p>
            <w:pPr>
              <w:spacing w:after="0" w:line="240" w:lineRule="auto"/>
              <w:jc w:val="right"/>
            </w:pPr>
            <w:r/>
            <w:r>
              <w:rPr>
                <w:sz w:val="18"/>
              </w:rPr>
              <w:t>588</w:t>
            </w:r>
          </w:p>
        </w:tc>
        <w:tc>
          <w:tcPr>
            <w:tcW w:type="dxa" w:w="1928"/>
          </w:tcPr>
          <w:p>
            <w:pPr>
              <w:spacing w:after="0" w:line="240" w:lineRule="auto"/>
              <w:jc w:val="right"/>
            </w:pPr>
            <w:r/>
            <w:r>
              <w:rPr>
                <w:sz w:val="18"/>
              </w:rPr>
              <w:t>86</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244</w:t>
            </w:r>
          </w:p>
        </w:tc>
        <w:tc>
          <w:tcPr>
            <w:tcW w:type="dxa" w:w="1928"/>
            <w:shd w:val="clear" w:color="auto" w:fill="F2F4F7"/>
          </w:tcPr>
          <w:p>
            <w:pPr>
              <w:spacing w:after="0" w:line="240" w:lineRule="auto"/>
              <w:jc w:val="right"/>
            </w:pPr>
            <w:r/>
            <w:r>
              <w:rPr>
                <w:sz w:val="18"/>
              </w:rPr>
              <w:t>366</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143</w:t>
            </w:r>
          </w:p>
        </w:tc>
        <w:tc>
          <w:tcPr>
            <w:tcW w:type="dxa" w:w="1928"/>
          </w:tcPr>
          <w:p>
            <w:pPr>
              <w:spacing w:after="0" w:line="240" w:lineRule="auto"/>
              <w:jc w:val="right"/>
            </w:pPr>
            <w:r/>
            <w:r>
              <w:rPr>
                <w:sz w:val="18"/>
              </w:rPr>
              <w:t>779</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49</w:t>
            </w:r>
          </w:p>
        </w:tc>
        <w:tc>
          <w:tcPr>
            <w:tcW w:type="dxa" w:w="1928"/>
            <w:shd w:val="clear" w:color="auto" w:fill="F2F4F7"/>
          </w:tcPr>
          <w:p>
            <w:pPr>
              <w:spacing w:after="0" w:line="240" w:lineRule="auto"/>
              <w:jc w:val="right"/>
            </w:pPr>
            <w:r/>
            <w:r>
              <w:rPr>
                <w:sz w:val="18"/>
              </w:rPr>
              <w:t>1,004</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-38</w:t>
            </w:r>
          </w:p>
        </w:tc>
        <w:tc>
          <w:tcPr>
            <w:tcW w:type="dxa" w:w="1928"/>
          </w:tcPr>
          <w:p>
            <w:pPr>
              <w:spacing w:after="0" w:line="240" w:lineRule="auto"/>
              <w:jc w:val="right"/>
            </w:pPr>
            <w:r/>
            <w:r>
              <w:rPr>
                <w:sz w:val="18"/>
              </w:rPr>
              <w:t>1,179</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515</w:t>
            </w:r>
          </w:p>
        </w:tc>
        <w:tc>
          <w:tcPr>
            <w:tcW w:type="dxa" w:w="1984"/>
            <w:shd w:val="clear" w:color="auto" w:fill="F2F4F7"/>
          </w:tcPr>
          <w:p>
            <w:pPr>
              <w:spacing w:after="0" w:line="240" w:lineRule="auto"/>
              <w:jc w:val="right"/>
            </w:pPr>
            <w:r/>
            <w:r>
              <w:rPr>
                <w:sz w:val="18"/>
              </w:rPr>
              <w:t>294</w:t>
            </w:r>
          </w:p>
        </w:tc>
        <w:tc>
          <w:tcPr>
            <w:tcW w:type="dxa" w:w="1928"/>
            <w:shd w:val="clear" w:color="auto" w:fill="F2F4F7"/>
          </w:tcPr>
          <w:p>
            <w:pPr>
              <w:spacing w:after="0" w:line="240" w:lineRule="auto"/>
              <w:jc w:val="right"/>
            </w:pPr>
            <w:r/>
            <w:r>
              <w:rPr>
                <w:sz w:val="18"/>
              </w:rPr>
              <w:t>117</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435</w:t>
            </w:r>
          </w:p>
        </w:tc>
        <w:tc>
          <w:tcPr>
            <w:tcW w:type="dxa" w:w="1984"/>
          </w:tcPr>
          <w:p>
            <w:pPr>
              <w:spacing w:after="0" w:line="240" w:lineRule="auto"/>
              <w:jc w:val="right"/>
            </w:pPr>
            <w:r/>
            <w:r>
              <w:rPr>
                <w:sz w:val="18"/>
              </w:rPr>
              <w:t>237</w:t>
            </w:r>
          </w:p>
        </w:tc>
        <w:tc>
          <w:tcPr>
            <w:tcW w:type="dxa" w:w="1928"/>
          </w:tcPr>
          <w:p>
            <w:pPr>
              <w:spacing w:after="0" w:line="240" w:lineRule="auto"/>
              <w:jc w:val="right"/>
            </w:pPr>
            <w:r/>
            <w:r>
              <w:rPr>
                <w:sz w:val="18"/>
              </w:rPr>
              <w:t>133</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294</w:t>
            </w:r>
          </w:p>
        </w:tc>
        <w:tc>
          <w:tcPr>
            <w:tcW w:type="dxa" w:w="1928"/>
            <w:shd w:val="clear" w:color="auto" w:fill="F2F4F7"/>
          </w:tcPr>
          <w:p>
            <w:pPr>
              <w:spacing w:after="0" w:line="240" w:lineRule="auto"/>
              <w:jc w:val="right"/>
            </w:pPr>
            <w:r/>
            <w:r>
              <w:rPr>
                <w:sz w:val="18"/>
              </w:rPr>
              <w:t>190</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595</w:t>
            </w:r>
          </w:p>
        </w:tc>
        <w:tc>
          <w:tcPr>
            <w:tcW w:type="dxa" w:w="1984"/>
          </w:tcPr>
          <w:p>
            <w:pPr>
              <w:spacing w:after="0" w:line="240" w:lineRule="auto"/>
              <w:jc w:val="right"/>
            </w:pPr>
            <w:r/>
            <w:r>
              <w:rPr>
                <w:sz w:val="18"/>
              </w:rPr>
              <w:t>239</w:t>
            </w:r>
          </w:p>
        </w:tc>
        <w:tc>
          <w:tcPr>
            <w:tcW w:type="dxa" w:w="1928"/>
          </w:tcPr>
          <w:p>
            <w:pPr>
              <w:spacing w:after="0" w:line="240" w:lineRule="auto"/>
              <w:jc w:val="right"/>
            </w:pPr>
            <w:r/>
            <w:r>
              <w:rPr>
                <w:sz w:val="18"/>
              </w:rPr>
              <w:t>381</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595</w:t>
            </w:r>
          </w:p>
        </w:tc>
        <w:tc>
          <w:tcPr>
            <w:tcW w:type="dxa" w:w="1984"/>
            <w:shd w:val="clear" w:color="auto" w:fill="F2F4F7"/>
          </w:tcPr>
          <w:p>
            <w:pPr>
              <w:spacing w:after="0" w:line="240" w:lineRule="auto"/>
              <w:jc w:val="right"/>
            </w:pPr>
            <w:r/>
            <w:r>
              <w:rPr>
                <w:sz w:val="18"/>
              </w:rPr>
              <w:t>134</w:t>
            </w:r>
          </w:p>
        </w:tc>
        <w:tc>
          <w:tcPr>
            <w:tcW w:type="dxa" w:w="1928"/>
            <w:shd w:val="clear" w:color="auto" w:fill="F2F4F7"/>
          </w:tcPr>
          <w:p>
            <w:pPr>
              <w:spacing w:after="0" w:line="240" w:lineRule="auto"/>
              <w:jc w:val="right"/>
            </w:pPr>
            <w:r/>
            <w:r>
              <w:rPr>
                <w:sz w:val="18"/>
              </w:rPr>
              <w:t>811</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26: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42; units can be registered and sold from handover. The base case assumes sale over four quarters from month 45.</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27: Early assignment of the contract at month 24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24</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42; for Option A, payback in the base case is month 48.</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44% (retail) and 50%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143 million and the peak funding need rises to EGP 779 million. Mitigant: Jalour funding undertaking; phased sales.</w:t>
      </w:r>
    </w:p>
    <w:p>
      <w:pPr>
        <w:pStyle w:val="Heading3"/>
      </w:pPr>
      <w:r>
        <w:t>Inflation and cost risk</w:t>
      </w:r>
    </w:p>
    <w:p>
      <w:r>
        <w:rPr>
          <w:b w:val="0"/>
          <w:i w:val="0"/>
        </w:rPr>
        <w:t>Construction cost is flat in the model. A 10% overrun lowers NPV by EGP 57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7.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244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(Jalour's position is that the state-land rules in Decree 2184 of 2022 do not apply to these plots),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The basis on which the separate project-account rule for developers on state-allocated land does not apply to these plots (Jalour's position).</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28: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250,000, offices EGP 160,000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29: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595.3</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350.6</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102.0</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112.5</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29.2% / 2.87x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22.6%</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-2.0</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849</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30: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L'avenir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L'avenir - Investment Memorandum (EGP 100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