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the two-VM cloud deployment is documented in Section 9.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PostgreSQL, the Central Station and the rain detector all running in the cluster, message flow was confirmed at every hop. A single station's log shows the per-second cadence, the weighted battery draw, and the simulated drops, with the sequence number advancing on dropped ticks as well as sent ones: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-n weather-monitoring logs weather-station-0 --tail=8</w:t>
      </w:r>
      <w:r>
        <w:br/>
        <w:t xml:space="preserve"/>
      </w:r>
      <w:r>
        <w:rPr>
          <w:rFonts w:ascii="Consolas" w:cs="Consolas" w:eastAsia="Consolas" w:hAnsi="Consolas"/>
          <w:color w:val="000000"/>
          <w:sz w:val="18"/>
          <w:szCs w:val="18"/>
        </w:rPr>
        <w:t xml:space="preserve">Station 1 sent s_no=1898 battery=high humidity=97</w:t>
      </w:r>
      <w:r>
        <w:br/>
        <w:t xml:space="preserve"/>
      </w:r>
      <w:r>
        <w:rPr>
          <w:rFonts w:ascii="Consolas" w:cs="Consolas" w:eastAsia="Consolas" w:hAnsi="Consolas"/>
          <w:color w:val="000000"/>
          <w:sz w:val="18"/>
          <w:szCs w:val="18"/>
        </w:rPr>
        <w:t xml:space="preserve">Station 1 sent s_no=1899 battery=medium humidity=17</w:t>
      </w:r>
      <w:r>
        <w:br/>
        <w:t xml:space="preserve"/>
      </w:r>
      <w:r>
        <w:rPr>
          <w:rFonts w:ascii="Consolas" w:cs="Consolas" w:eastAsia="Consolas" w:hAnsi="Consolas"/>
          <w:color w:val="000000"/>
          <w:sz w:val="18"/>
          <w:szCs w:val="18"/>
        </w:rPr>
        <w:t xml:space="preserve">Station 1 sent s_no=1900 battery=low humidity=47</w:t>
      </w:r>
      <w:r>
        <w:br/>
        <w:t xml:space="preserve"/>
      </w:r>
      <w:r>
        <w:rPr>
          <w:rFonts w:ascii="Consolas" w:cs="Consolas" w:eastAsia="Consolas" w:hAnsi="Consolas"/>
          <w:color w:val="000000"/>
          <w:sz w:val="18"/>
          <w:szCs w:val="18"/>
        </w:rPr>
        <w:t xml:space="preserve">Station 1 sent s_no=1901 battery=medium humidity=51</w:t>
      </w:r>
      <w:r>
        <w:br/>
        <w:t xml:space="preserve"/>
      </w:r>
      <w:r>
        <w:rPr>
          <w:rFonts w:ascii="Consolas" w:cs="Consolas" w:eastAsia="Consolas" w:hAnsi="Consolas"/>
          <w:color w:val="000000"/>
          <w:sz w:val="18"/>
          <w:szCs w:val="18"/>
        </w:rPr>
        <w:t xml:space="preserve">Station 1 DROPPED message s_no=1902</w:t>
      </w:r>
      <w:r>
        <w:br/>
        <w:t xml:space="preserve"/>
      </w:r>
      <w:r>
        <w:rPr>
          <w:rFonts w:ascii="Consolas" w:cs="Consolas" w:eastAsia="Consolas" w:hAnsi="Consolas"/>
          <w:color w:val="000000"/>
          <w:sz w:val="18"/>
          <w:szCs w:val="18"/>
        </w:rPr>
        <w:t xml:space="preserve">Station 1 sent s_no=1903 battery=high humidity=5</w:t>
      </w:r>
      <w:r>
        <w:br/>
        <w:t xml:space="preserve"/>
      </w:r>
      <w:r>
        <w:rPr>
          <w:rFonts w:ascii="Consolas" w:cs="Consolas" w:eastAsia="Consolas" w:hAnsi="Consolas"/>
          <w:color w:val="000000"/>
          <w:sz w:val="18"/>
          <w:szCs w:val="18"/>
        </w:rPr>
        <w:t xml:space="preserve">Station 1 sent s_no=1904 battery=high humidity=12</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weather_monitoring=# SELECT COUNT(*) FROM weather_readings;</w:t>
      </w:r>
      <w:r>
        <w:br/>
        <w:t xml:space="preserve"/>
      </w:r>
      <w:r>
        <w:rPr>
          <w:rFonts w:ascii="Consolas" w:cs="Consolas" w:eastAsia="Consolas" w:hAnsi="Consolas"/>
          <w:color w:val="000000"/>
          <w:sz w:val="18"/>
          <w:szCs w:val="18"/>
        </w:rPr>
        <w:t xml:space="preserve"> count</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17215</w:t>
      </w:r>
      <w:r>
        <w:br/>
        <w:t xml:space="preserve"/>
      </w:r>
      <w:r>
        <w:rPr>
          <w:rFonts w:ascii="Consolas" w:cs="Consolas" w:eastAsia="Consolas" w:hAnsi="Consolas"/>
          <w:color w:val="000000"/>
          <w:sz w:val="18"/>
          <w:szCs w:val="18"/>
        </w:rPr>
        <w:t xml:space="preserve">(1 row)</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stations run as a single StatefulSet. Each pod derives its station ID from its own ordinal hostname, so weather-station-0 through weather-station-9 become stations 1 through 10 with no per-pod configuration: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apply -f k8s/weather-stations.yaml</w:t>
      </w:r>
      <w:r>
        <w:br/>
        <w:t xml:space="preserve"/>
      </w:r>
      <w:r>
        <w:rPr>
          <w:rFonts w:ascii="Consolas" w:cs="Consolas" w:eastAsia="Consolas" w:hAnsi="Consolas"/>
          <w:color w:val="000000"/>
          <w:sz w:val="18"/>
          <w:szCs w:val="18"/>
        </w:rPr>
        <w:t xml:space="preserve">service/weather-station created</w:t>
      </w:r>
      <w:r>
        <w:br/>
        <w:t xml:space="preserve"/>
      </w:r>
      <w:r>
        <w:rPr>
          <w:rFonts w:ascii="Consolas" w:cs="Consolas" w:eastAsia="Consolas" w:hAnsi="Consolas"/>
          <w:color w:val="000000"/>
          <w:sz w:val="18"/>
          <w:szCs w:val="18"/>
        </w:rPr>
        <w:t xml:space="preserve">statefulset.apps/weather-station created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kubectl -n weather-monitoring get pods -l app=weather-station --no-headers | wc -l</w:t>
      </w:r>
      <w:r>
        <w:br/>
        <w:t xml:space="preserve"/>
      </w:r>
      <w:r>
        <w:rPr>
          <w:rFonts w:ascii="Consolas" w:cs="Consolas" w:eastAsia="Consolas" w:hAnsi="Consolas"/>
          <w:color w:val="000000"/>
          <w:sz w:val="18"/>
          <w:szCs w:val="18"/>
        </w:rPr>
        <w:t xml:space="preserve">10</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sampling each pod's log:</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battery=low humidity=66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humidity=36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s_no=1932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humidity=88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humidity=59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humidity=12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humidity=16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humidity=24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humidity=13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s_no=1932 battery=low humidity=25</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weather_monitoring=# SELECT COUNT(*) FROM weather_readings;   --&gt;   17215</w:t>
      </w:r>
      <w:r>
        <w:br/>
        <w:t xml:space="preserve"/>
      </w:r>
      <w:r>
        <w:rPr>
          <w:rFonts w:ascii="Consolas" w:cs="Consolas" w:eastAsia="Consolas" w:hAnsi="Consolas"/>
          <w:color w:val="000000"/>
          <w:sz w:val="18"/>
          <w:szCs w:val="18"/>
        </w:rPr>
        <w:t xml:space="preserve">weather_monitoring=# SELECT COUNT(*) FROM weather_readings;   --&gt;   17400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Sections 8 and 9: Dockerfiles for both services, and Kubernetes manifests for the ten station pods, Kafka, Zookeeper, the Central Station, the rain detector, and PostgreSQL with persistent storage. Section 9 covers the two-VM cloud deployment and the managed database used for the bonus.</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keepNext/>
        <w:spacing w:after="60" w:before="280"/>
      </w:pPr>
      <w:r>
        <w:rPr>
          <w:rFonts w:ascii="Calibri" w:cs="Calibri" w:eastAsia="Calibri" w:hAnsi="Calibri"/>
          <w:b/>
          <w:bCs/>
          <w:color w:val="000000"/>
          <w:sz w:val="20"/>
          <w:szCs w:val="20"/>
        </w:rPr>
        <w:t xml:space="preserve">Figure 1 — kubectl get nodes, showing the minikube cluster Ready</w:t>
      </w:r>
    </w:p>
    <w:p>
      <w:pPr>
        <w:spacing w:before="60" w:after="240"/>
        <w:jc w:val="center"/>
      </w:pPr>
      <w:r>
        <w:drawing>
          <wp:inline distT="0" distB="0" distL="0" distR="0">
            <wp:extent cx="5943600" cy="863476"/>
            <wp:effectExtent l="0" t="0" r="0" b="0"/>
            <wp:docPr id="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1.png"/>
                    <pic:cNvPicPr/>
                  </pic:nvPicPr>
                  <pic:blipFill>
                    <a:blip r:embed="rId100"/>
                    <a:stretch>
                      <a:fillRect/>
                    </a:stretch>
                  </pic:blipFill>
                  <pic:spPr>
                    <a:xfrm>
                      <a:off x="0" y="0"/>
                      <a:ext cx="5943600" cy="86347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spacing w:before="60" w:after="240"/>
        <w:jc w:val="center"/>
      </w:pPr>
      <w:r>
        <w:drawing>
          <wp:inline distT="0" distB="0" distL="0" distR="0">
            <wp:extent cx="5943600" cy="1862748"/>
            <wp:effectExtent l="0" t="0" r="0" b="0"/>
            <wp:docPr id="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2.png"/>
                    <pic:cNvPicPr/>
                  </pic:nvPicPr>
                  <pic:blipFill>
                    <a:blip r:embed="rId101"/>
                    <a:stretch>
                      <a:fillRect/>
                    </a:stretch>
                  </pic:blipFill>
                  <pic:spPr>
                    <a:xfrm>
                      <a:off x="0" y="0"/>
                      <a:ext cx="5943600" cy="1862748"/>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spacing w:before="60" w:after="240"/>
        <w:jc w:val="center"/>
      </w:pPr>
      <w:r>
        <w:drawing>
          <wp:inline distT="0" distB="0" distL="0" distR="0">
            <wp:extent cx="5943600" cy="4947747"/>
            <wp:effectExtent l="0" t="0" r="0" b="0"/>
            <wp:docPr id="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3.png"/>
                    <pic:cNvPicPr/>
                  </pic:nvPicPr>
                  <pic:blipFill>
                    <a:blip r:embed="rId102"/>
                    <a:stretch>
                      <a:fillRect/>
                    </a:stretch>
                  </pic:blipFill>
                  <pic:spPr>
                    <a:xfrm>
                      <a:off x="0" y="0"/>
                      <a:ext cx="5943600" cy="49477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spacing w:before="60" w:after="240"/>
        <w:jc w:val="center"/>
      </w:pPr>
      <w:r>
        <w:drawing>
          <wp:inline distT="0" distB="0" distL="0" distR="0">
            <wp:extent cx="5943600" cy="2026947"/>
            <wp:effectExtent l="0" t="0" r="0" b="0"/>
            <wp:docPr id="1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4.png"/>
                    <pic:cNvPicPr/>
                  </pic:nvPicPr>
                  <pic:blipFill>
                    <a:blip r:embed="rId103"/>
                    <a:stretch>
                      <a:fillRect/>
                    </a:stretch>
                  </pic:blipFill>
                  <pic:spPr>
                    <a:xfrm>
                      <a:off x="0" y="0"/>
                      <a:ext cx="5943600" cy="20269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spacing w:before="60" w:after="240"/>
        <w:jc w:val="center"/>
      </w:pPr>
      <w:r>
        <w:drawing>
          <wp:inline distT="0" distB="0" distL="0" distR="0">
            <wp:extent cx="5943600" cy="1174624"/>
            <wp:effectExtent l="0" t="0" r="0" b="0"/>
            <wp:docPr id="1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5.png"/>
                    <pic:cNvPicPr/>
                  </pic:nvPicPr>
                  <pic:blipFill>
                    <a:blip r:embed="rId104"/>
                    <a:stretch>
                      <a:fillRect/>
                    </a:stretch>
                  </pic:blipFill>
                  <pic:spPr>
                    <a:xfrm>
                      <a:off x="0" y="0"/>
                      <a:ext cx="5943600" cy="1174624"/>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spacing w:before="60" w:after="240"/>
        <w:jc w:val="center"/>
      </w:pPr>
      <w:r>
        <w:drawing>
          <wp:inline distT="0" distB="0" distL="0" distR="0">
            <wp:extent cx="5943600" cy="1110502"/>
            <wp:effectExtent l="0" t="0" r="0" b="0"/>
            <wp:docPr id="1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6.png"/>
                    <pic:cNvPicPr/>
                  </pic:nvPicPr>
                  <pic:blipFill>
                    <a:blip r:embed="rId105"/>
                    <a:stretch>
                      <a:fillRect/>
                    </a:stretch>
                  </pic:blipFill>
                  <pic:spPr>
                    <a:xfrm>
                      <a:off x="0" y="0"/>
                      <a:ext cx="5943600" cy="1110502"/>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spacing w:before="60" w:after="240"/>
        <w:jc w:val="center"/>
      </w:pPr>
      <w:r>
        <w:drawing>
          <wp:inline distT="0" distB="0" distL="0" distR="0">
            <wp:extent cx="5943600" cy="1669486"/>
            <wp:effectExtent l="0" t="0" r="0" b="0"/>
            <wp:docPr id="1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7.png"/>
                    <pic:cNvPicPr/>
                  </pic:nvPicPr>
                  <pic:blipFill>
                    <a:blip r:embed="rId106"/>
                    <a:stretch>
                      <a:fillRect/>
                    </a:stretch>
                  </pic:blipFill>
                  <pic:spPr>
                    <a:xfrm>
                      <a:off x="0" y="0"/>
                      <a:ext cx="5943600" cy="166948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spacing w:before="60" w:after="240"/>
        <w:jc w:val="center"/>
      </w:pPr>
      <w:r>
        <w:drawing>
          <wp:inline distT="0" distB="0" distL="0" distR="0">
            <wp:extent cx="5943600" cy="4019993"/>
            <wp:effectExtent l="0" t="0" r="0" b="0"/>
            <wp:docPr id="1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8.png"/>
                    <pic:cNvPicPr/>
                  </pic:nvPicPr>
                  <pic:blipFill>
                    <a:blip r:embed="rId107"/>
                    <a:stretch>
                      <a:fillRect/>
                    </a:stretch>
                  </pic:blipFill>
                  <pic:spPr>
                    <a:xfrm>
                      <a:off x="0" y="0"/>
                      <a:ext cx="5943600" cy="4019993"/>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spacing w:before="60" w:after="240"/>
        <w:jc w:val="center"/>
      </w:pPr>
      <w:r>
        <w:drawing>
          <wp:inline distT="0" distB="0" distL="0" distR="0">
            <wp:extent cx="5943600" cy="1900803"/>
            <wp:effectExtent l="0" t="0" r="0" b="0"/>
            <wp:docPr id="1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9.png"/>
                    <pic:cNvPicPr/>
                  </pic:nvPicPr>
                  <pic:blipFill>
                    <a:blip r:embed="rId108"/>
                    <a:stretch>
                      <a:fillRect/>
                    </a:stretch>
                  </pic:blipFill>
                  <pic:spPr>
                    <a:xfrm>
                      <a:off x="0" y="0"/>
                      <a:ext cx="5943600" cy="1900803"/>
                    </a:xfrm>
                    <a:prstGeom prst="rect">
                      <a:avLst/>
                    </a:prstGeom>
                  </pic:spPr>
                </pic:pic>
              </a:graphicData>
            </a:graphic>
          </wp:inline>
        </w:drawing>
      </w:r>
    </w:p>
    <w:p>
      <w:pPr>
        <w:pStyle w:val="Heading1"/>
        <w:spacing w:after="160" w:before="360"/>
      </w:pPr>
      <w:r>
        <w:rPr>
          <w:rFonts w:ascii="Calibri" w:cs="Calibri" w:eastAsia="Calibri" w:hAnsi="Calibri"/>
          <w:b/>
          <w:bCs/>
          <w:color w:val="000000"/>
        </w:rPr>
        <w:t xml:space="preserve">9. Cloud Deployment (Bonus)</w:t>
      </w:r>
    </w:p>
    <w:p>
      <w:pPr>
        <w:spacing w:after="160" w:line="276"/>
      </w:pPr>
      <w:r>
        <w:rPr>
          <w:rFonts w:ascii="Calibri" w:cs="Calibri" w:eastAsia="Calibri" w:hAnsi="Calibri"/>
          <w:color w:val="000000"/>
        </w:rPr>
        <w:t xml:space="preserve">The bonus deployment runs the same system on two AWS EC2 instances without Kubernetes, writing to a managed PostgreSQL database hosted by Aiven. The weather stations and the central base station are on separate machines, as required. Each machine is described by a Docker Compose file under cloud/. The deployment assets and procedure below are complete; the instances themselves must still be provisioned and the evidence in Section 9.7 captured.</w:t>
      </w:r>
    </w:p>
    <w:p>
      <w:pPr>
        <w:pStyle w:val="Heading2"/>
        <w:spacing w:after="120" w:before="240"/>
      </w:pPr>
      <w:r>
        <w:rPr>
          <w:rFonts w:ascii="Calibri" w:cs="Calibri" w:eastAsia="Calibri" w:hAnsi="Calibri"/>
          <w:b/>
          <w:bCs/>
          <w:color w:val="000000"/>
        </w:rPr>
        <w:t xml:space="preserve">9.1 Topology</w:t>
      </w:r>
    </w:p>
    <w:p>
      <w:pPr>
        <w:pStyle w:val="ListParagraph"/>
        <w:numPr>
          <w:ilvl w:val="0"/>
          <w:numId w:val="2"/>
        </w:numPr>
        <w:spacing w:after="80"/>
      </w:pPr>
      <w:r>
        <w:rPr>
          <w:rFonts w:ascii="Calibri" w:cs="Calibri" w:eastAsia="Calibri" w:hAnsi="Calibri"/>
          <w:color w:val="000000"/>
        </w:rPr>
        <w:t xml:space="preserve">Weather Stations VM: ten station containers, one per station ID. Holds no state and no credentials.</w:t>
      </w:r>
    </w:p>
    <w:p>
      <w:pPr>
        <w:pStyle w:val="ListParagraph"/>
        <w:numPr>
          <w:ilvl w:val="0"/>
          <w:numId w:val="2"/>
        </w:numPr>
        <w:spacing w:after="80"/>
      </w:pPr>
      <w:r>
        <w:rPr>
          <w:rFonts w:ascii="Calibri" w:cs="Calibri" w:eastAsia="Calibri" w:hAnsi="Calibri"/>
          <w:color w:val="000000"/>
        </w:rPr>
        <w:t xml:space="preserve">Central Base Station VM: ZooKeeper, the Kafka broker, the Central Station consumer and the Kafka Streams rain detector.</w:t>
      </w:r>
    </w:p>
    <w:p>
      <w:pPr>
        <w:pStyle w:val="ListParagraph"/>
        <w:numPr>
          <w:ilvl w:val="0"/>
          <w:numId w:val="2"/>
        </w:numPr>
        <w:spacing w:after="80"/>
      </w:pPr>
      <w:r>
        <w:rPr>
          <w:rFonts w:ascii="Calibri" w:cs="Calibri" w:eastAsia="Calibri" w:hAnsi="Calibri"/>
          <w:color w:val="000000"/>
        </w:rPr>
        <w:t xml:space="preserve">Aiven PostgreSQL: managed, external to both machines, reached over TLS.</w:t>
      </w:r>
    </w:p>
    <w:p>
      <w:pPr>
        <w:pStyle w:val="Heading2"/>
        <w:spacing w:after="120" w:before="240"/>
      </w:pPr>
      <w:r>
        <w:rPr>
          <w:rFonts w:ascii="Calibri" w:cs="Calibri" w:eastAsia="Calibri" w:hAnsi="Calibri"/>
          <w:b/>
          <w:bCs/>
          <w:color w:val="000000"/>
        </w:rPr>
        <w:t xml:space="preserve">9.2 Machine specifications</w:t>
      </w:r>
    </w:p>
    <w:p>
      <w:pPr>
        <w:spacing w:after="160" w:line="276"/>
      </w:pPr>
      <w:r>
        <w:rPr>
          <w:rFonts w:ascii="Calibri" w:cs="Calibri" w:eastAsia="Calibri" w:hAnsi="Calibri"/>
          <w:color w:val="000000"/>
        </w:rPr>
        <w:t xml:space="preserve">Stations VM: t3.small (2 vCPU, 2 GiB), Ubuntu Server 24.04 LTS, 20 GiB gp3. Central VM: t3.medium (2 vCPU, 4 GiB), same image and volume. The free-tier t3.micro is undersized for this workload: ten JVMs plus the operating system exceed its 1 GiB, so station containers would be OOM-killed. Confirm the chosen types against the running instances when capturing the evidence in Section 9.7.</w:t>
      </w:r>
    </w:p>
    <w:p>
      <w:pPr>
        <w:pStyle w:val="Heading2"/>
        <w:spacing w:after="120" w:before="240"/>
      </w:pPr>
      <w:r>
        <w:rPr>
          <w:rFonts w:ascii="Calibri" w:cs="Calibri" w:eastAsia="Calibri" w:hAnsi="Calibri"/>
          <w:b/>
          <w:bCs/>
          <w:color w:val="000000"/>
        </w:rPr>
        <w:t xml:space="preserve">9.3 Network configuration</w:t>
      </w:r>
    </w:p>
    <w:p>
      <w:pPr>
        <w:spacing w:after="160" w:line="276"/>
      </w:pPr>
      <w:r>
        <w:rPr>
          <w:rFonts w:ascii="Calibri" w:cs="Calibri" w:eastAsia="Calibri" w:hAnsi="Calibri"/>
          <w:color w:val="000000"/>
        </w:rPr>
        <w:t xml:space="preserve">Two security groups. The central group allows SSH on port 22 from the administrator's address only, and Kafka on port 9092 from the stations' security group referenced by ID, so the broker is never reachable from the open internet. The stations group allows only SSH. Outbound is left at the default allow-all, which is what lets the stations reach 9092 and the central VM reach Aiven on 5432. On the Aiven side, the allowed-address list contains only the central VM's public address.</w:t>
      </w:r>
    </w:p>
    <w:p>
      <w:pPr>
        <w:pStyle w:val="Heading2"/>
        <w:spacing w:after="120" w:before="240"/>
      </w:pPr>
      <w:r>
        <w:rPr>
          <w:rFonts w:ascii="Calibri" w:cs="Calibri" w:eastAsia="Calibri" w:hAnsi="Calibri"/>
          <w:b/>
          <w:bCs/>
          <w:color w:val="000000"/>
        </w:rPr>
        <w:t xml:space="preserve">9.4 Kafka listener configuration</w:t>
      </w:r>
    </w:p>
    <w:p>
      <w:pPr>
        <w:spacing w:after="160" w:line="276"/>
      </w:pPr>
      <w:r>
        <w:rPr>
          <w:rFonts w:ascii="Calibri" w:cs="Calibri" w:eastAsia="Calibri" w:hAnsi="Calibri"/>
          <w:color w:val="000000"/>
        </w:rPr>
        <w:t xml:space="preserve">The broker advertises two listeners rather than one. Containers on the central VM bootstrap over INTERNAL://kafka:9093 and stay on the Compose network; the remote stations bootstrap over EXTERNAL://&lt;public-ip&gt;:9092, which is the only listener published to the host. A single listener advertising the public address would force the local containers to connect out to the VM's own public IP, which AWS does not route back to the instance, and the central station would hang instead of consuming.</w:t>
      </w:r>
    </w:p>
    <w:p>
      <w:pPr>
        <w:pStyle w:val="Heading2"/>
        <w:spacing w:after="120" w:before="240"/>
      </w:pPr>
      <w:r>
        <w:rPr>
          <w:rFonts w:ascii="Calibri" w:cs="Calibri" w:eastAsia="Calibri" w:hAnsi="Calibri"/>
          <w:b/>
          <w:bCs/>
          <w:color w:val="000000"/>
        </w:rPr>
        <w:t xml:space="preserve">9.5 Secret handling</w:t>
      </w:r>
    </w:p>
    <w:p>
      <w:pPr>
        <w:spacing w:after="160" w:line="276"/>
      </w:pPr>
      <w:r>
        <w:rPr>
          <w:rFonts w:ascii="Calibri" w:cs="Calibri" w:eastAsia="Calibri" w:hAnsi="Calibri"/>
          <w:color w:val="000000"/>
        </w:rPr>
        <w:t xml:space="preserve">No credential appears in source control. The database URL, user and password, and the central VM's public address, are read from cloud/.env, which is gitignored; cloud/.env.example documents the required keys with empty values. Both Compose stacks fail immediately with a named error if a required variable is unset, rather than starting with an empty bootstrap address or an empty password.</w:t>
      </w:r>
    </w:p>
    <w:p>
      <w:pPr>
        <w:pStyle w:val="Heading2"/>
        <w:spacing w:after="120" w:before="240"/>
      </w:pPr>
      <w:r>
        <w:rPr>
          <w:rFonts w:ascii="Calibri" w:cs="Calibri" w:eastAsia="Calibri" w:hAnsi="Calibri"/>
          <w:b/>
          <w:bCs/>
          <w:color w:val="000000"/>
        </w:rPr>
        <w:t xml:space="preserve">9.6 Deployment steps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on both VMs</w:t>
      </w:r>
      <w:r>
        <w:br/>
        <w:t xml:space="preserve"/>
      </w:r>
      <w:r>
        <w:rPr>
          <w:rFonts w:ascii="Consolas" w:cs="Consolas" w:eastAsia="Consolas" w:hAnsi="Consolas"/>
          <w:color w:val="000000"/>
          <w:sz w:val="18"/>
          <w:szCs w:val="18"/>
        </w:rPr>
        <w:t xml:space="preserve">sudo apt-get update</w:t>
      </w:r>
      <w:r>
        <w:br/>
        <w:t xml:space="preserve"/>
      </w:r>
      <w:r>
        <w:rPr>
          <w:rFonts w:ascii="Consolas" w:cs="Consolas" w:eastAsia="Consolas" w:hAnsi="Consolas"/>
          <w:color w:val="000000"/>
          <w:sz w:val="18"/>
          <w:szCs w:val="18"/>
        </w:rPr>
        <w:t xml:space="preserve">sudo apt-get install -y docker.io docker-compose-v2 git</w:t>
      </w:r>
      <w:r>
        <w:br/>
        <w:t xml:space="preserve"/>
      </w:r>
      <w:r>
        <w:rPr>
          <w:rFonts w:ascii="Consolas" w:cs="Consolas" w:eastAsia="Consolas" w:hAnsi="Consolas"/>
          <w:color w:val="000000"/>
          <w:sz w:val="18"/>
          <w:szCs w:val="18"/>
        </w:rPr>
        <w:t xml:space="preserve">sudo usermod -aG docker $USER &amp;&amp; newgrp docker</w:t>
      </w:r>
      <w:r>
        <w:br/>
        <w:t xml:space="preserve"/>
      </w:r>
      <w:r>
        <w:rPr>
          <w:rFonts w:ascii="Consolas" w:cs="Consolas" w:eastAsia="Consolas" w:hAnsi="Consolas"/>
          <w:color w:val="000000"/>
          <w:sz w:val="18"/>
          <w:szCs w:val="18"/>
        </w:rPr>
        <w:t xml:space="preserve">git clone &lt;repository-url&gt; &amp;&amp; cd Weather-Stations-Monitoring</w:t>
      </w:r>
      <w:r>
        <w:br/>
        <w:t xml:space="preserve"/>
      </w:r>
      <w:r>
        <w:rPr>
          <w:rFonts w:ascii="Consolas" w:cs="Consolas" w:eastAsia="Consolas" w:hAnsi="Consolas"/>
          <w:color w:val="000000"/>
          <w:sz w:val="18"/>
          <w:szCs w:val="18"/>
        </w:rPr>
        <w:t xml:space="preserve">cp cloud/.env.example cloud/.env      # then fill it in</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first, so the broker is listening before stations start</w:t>
      </w:r>
      <w:r>
        <w:br/>
        <w:t xml:space="preserve"/>
      </w:r>
      <w:r>
        <w:rPr>
          <w:rFonts w:ascii="Consolas" w:cs="Consolas" w:eastAsia="Consolas" w:hAnsi="Consolas"/>
          <w:color w:val="000000"/>
          <w:sz w:val="18"/>
          <w:szCs w:val="18"/>
        </w:rPr>
        <w:t xml:space="preserve">docker compose -f cloud/docker-compose.central.yml up -d --build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then the stations VM</w:t>
      </w:r>
      <w:r>
        <w:br/>
        <w:t xml:space="preserve"/>
      </w:r>
      <w:r>
        <w:rPr>
          <w:rFonts w:ascii="Consolas" w:cs="Consolas" w:eastAsia="Consolas" w:hAnsi="Consolas"/>
          <w:color w:val="000000"/>
          <w:sz w:val="18"/>
          <w:szCs w:val="18"/>
        </w:rPr>
        <w:t xml:space="preserve">docker compose -f cloud/docker-compose.stations.yml up -d --build</w:t>
      </w:r>
    </w:p>
    <w:p>
      <w:pPr>
        <w:spacing w:after="160" w:line="276"/>
      </w:pPr>
      <w:r>
        <w:rPr>
          <w:rFonts w:ascii="Calibri" w:cs="Calibri" w:eastAsia="Calibri" w:hAnsi="Calibri"/>
          <w:color w:val="000000"/>
        </w:rPr>
        <w:t xml:space="preserve">The full procedure, including the Aiven service setup and a troubleshooting guide for the common connectivity failures, is in cloud/README.md.</w:t>
      </w:r>
    </w:p>
    <w:p>
      <w:pPr>
        <w:pStyle w:val="Heading2"/>
        <w:spacing w:after="120" w:before="240"/>
      </w:pPr>
      <w:r>
        <w:rPr>
          <w:rFonts w:ascii="Calibri" w:cs="Calibri" w:eastAsia="Calibri" w:hAnsi="Calibri"/>
          <w:b/>
          <w:bCs/>
          <w:color w:val="000000"/>
        </w:rPr>
        <w:t xml:space="preserve">9.7 Evidence</w:t>
      </w:r>
    </w:p>
    <w:p>
      <w:pPr>
        <w:keepNext/>
        <w:spacing w:after="60" w:before="280"/>
      </w:pPr>
      <w:r>
        <w:rPr>
          <w:rFonts w:ascii="Calibri" w:cs="Calibri" w:eastAsia="Calibri" w:hAnsi="Calibri"/>
          <w:b/>
          <w:bCs/>
          <w:color w:val="000000"/>
          <w:sz w:val="20"/>
          <w:szCs w:val="20"/>
        </w:rPr>
        <w:t xml:space="preserve">Figure 10 — EC2 console showing both instances running, with instance types and availability zones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11 — Inbound rules of both security groups, showing port 9092 restricted to the stations' group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12 — Aiven service overview, showing plan, region and Running status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13 — Aiven allowed IP addresses, listing only the central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14 — docker compose ps on the Weather Stations VM, showing all ten station containers 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15 — docker compose ps on the Central Base Station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16 — Station container logs on the stations VM, showing sends and drops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17 — Central Station logs showing 'Persisted batch of N readings' — proof of connectivity to the managed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18 — Part E analysis queries run against the Aiven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100" Type="http://schemas.openxmlformats.org/officeDocument/2006/relationships/image" Target="media/fig1.png"/><Relationship Id="rId101" Type="http://schemas.openxmlformats.org/officeDocument/2006/relationships/image" Target="media/fig2.png"/><Relationship Id="rId102" Type="http://schemas.openxmlformats.org/officeDocument/2006/relationships/image" Target="media/fig3.png"/><Relationship Id="rId103" Type="http://schemas.openxmlformats.org/officeDocument/2006/relationships/image" Target="media/fig4.png"/><Relationship Id="rId104" Type="http://schemas.openxmlformats.org/officeDocument/2006/relationships/image" Target="media/fig5.png"/><Relationship Id="rId105" Type="http://schemas.openxmlformats.org/officeDocument/2006/relationships/image" Target="media/fig6.png"/><Relationship Id="rId106" Type="http://schemas.openxmlformats.org/officeDocument/2006/relationships/image" Target="media/fig7.png"/><Relationship Id="rId107" Type="http://schemas.openxmlformats.org/officeDocument/2006/relationships/image" Target="media/fig8.png"/><Relationship Id="rId108" Type="http://schemas.openxmlformats.org/officeDocument/2006/relationships/image" Target="media/fig9.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