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bidi/>
      </w:pPr>
      <w:r>
        <w:rPr>
          <w:rFonts w:ascii="Arial" w:hAnsi="Arial" w:eastAsia="Arial"/>
          <w:b/>
          <w:color w:val="114637"/>
          <w:sz w:val="44"/>
        </w:rPr>
        <w:t>الخطة التفصيلية لتطوير ودمج</w:t>
        <w:br/>
        <w:t>نظام المناقصات وجداول الكميات والعروض السعرية داخل ERP</w:t>
      </w:r>
    </w:p>
    <w:p>
      <w:pPr>
        <w:jc w:val="center"/>
        <w:bidi/>
      </w:pPr>
      <w:r>
        <w:rPr>
          <w:rFonts w:ascii="Arial" w:hAnsi="Arial"/>
          <w:color w:val="505050"/>
          <w:sz w:val="24"/>
        </w:rPr>
        <w:t>Tender • BOQ • Supplier Quotations • Analytics • Procurement • Finance</w:t>
      </w:r>
    </w:p>
    <w:p>
      <w:pPr>
        <w:jc w:val="center"/>
        <w:bidi/>
      </w:pPr>
      <w:r>
        <w:rPr>
          <w:rFonts w:ascii="Arial" w:hAnsi="Arial"/>
          <w:sz w:val="22"/>
        </w:rPr>
        <w:t>وثيقة متطلبات وظيفية وتقنية وتحليلية قابلة للتحويل إلى خطة تنفيذ</w:t>
      </w:r>
    </w:p>
    <w:p>
      <w:r>
        <w:br w:type="page"/>
      </w:r>
    </w:p>
    <w:p>
      <w:pPr>
        <w:jc w:val="right"/>
        <w:bidi/>
      </w:pPr>
      <w:r>
        <w:rPr>
          <w:rFonts w:ascii="Arial" w:hAnsi="Arial" w:eastAsia="Arial"/>
          <w:b/>
          <w:color w:val="114637"/>
          <w:sz w:val="36"/>
        </w:rPr>
        <w:t>1. الملخص التنفيذي</w:t>
      </w:r>
    </w:p>
    <w:p>
      <w:pPr>
        <w:spacing w:after="60" w:line="259" w:lineRule="auto"/>
        <w:jc w:val="right"/>
        <w:bidi/>
      </w:pPr>
      <w:r>
        <w:rPr>
          <w:rFonts w:ascii="Arial" w:hAnsi="Arial" w:eastAsia="Arial"/>
          <w:sz w:val="21"/>
        </w:rPr>
        <w:t>الهدف هو تحويل نموذج Excel الحالي لإدارة جداول الكميات والأسعار إلى وحدة ERP متكاملة، مع الحفاظ على سهولة إدخال البيانات والتفقيط والحسابات الموجودة في النموذج، وإضافة دورة مناقصة كاملة، بوابة موردين، مقارنة عروض، تقييم فني ومالي، مؤشرات أداء، تحليلات إنفاق وتوفير، تنبؤات ومخاطر، صلاحيات، سجل تدقيق، وربط مباشر بالمشتريات والمخزون والمحاسبة والعقود.</w:t>
      </w:r>
    </w:p>
    <w:p>
      <w:pPr>
        <w:spacing w:after="60" w:line="259" w:lineRule="auto"/>
        <w:jc w:val="right"/>
        <w:bidi/>
      </w:pPr>
      <w:r>
        <w:rPr>
          <w:rFonts w:ascii="Arial" w:hAnsi="Arial" w:eastAsia="Arial"/>
          <w:sz w:val="21"/>
        </w:rPr>
        <w:t>المبدأ الأساسي: لا يتم نقل ملف Excel كما هو إلى النظام؛ بل يتم تحويل منطقه إلى Data Model + Workflow + Analytics Layer، مع توفير Excel View للمستخدمين المعتادين على الشكل القديم وModern View للإدارة والتحليل.</w:t>
      </w:r>
    </w:p>
    <w:p>
      <w:pPr>
        <w:jc w:val="right"/>
        <w:bidi/>
      </w:pPr>
      <w:r>
        <w:rPr>
          <w:rFonts w:ascii="Arial" w:hAnsi="Arial" w:eastAsia="Arial"/>
          <w:b/>
          <w:color w:val="114637"/>
          <w:sz w:val="36"/>
        </w:rPr>
        <w:t>2. نطاق الوحدة داخل ERP</w:t>
      </w:r>
    </w:p>
    <w:tbl>
      <w:tblPr>
        <w:tblStyle w:val="TableGrid"/>
        <w:tblW w:type="auto" w:w="0"/>
        <w:jc w:val="center"/>
        <w:tblLook w:firstColumn="1" w:firstRow="1" w:lastColumn="0" w:lastRow="0" w:noHBand="0" w:noVBand="1" w:val="04A0"/>
      </w:tblPr>
      <w:tblGrid>
        <w:gridCol w:w="5328"/>
        <w:gridCol w:w="5328"/>
      </w:tblGrid>
      <w:tr>
        <w:tc>
          <w:tcPr>
            <w:tcW w:type="dxa" w:w="1872"/>
            <w:vAlign w:val="center"/>
            <w:shd w:fill="176B55"/>
          </w:tcPr>
          <w:p>
            <w:pPr>
              <w:jc w:val="center"/>
              <w:bidi/>
            </w:pPr>
            <w:r/>
            <w:r>
              <w:rPr>
                <w:rFonts w:ascii="Arial" w:hAnsi="Arial" w:eastAsia="Arial"/>
                <w:b/>
                <w:color w:val="FFFFFF"/>
                <w:sz w:val="17"/>
              </w:rPr>
              <w:t>المجال</w:t>
            </w:r>
          </w:p>
        </w:tc>
        <w:tc>
          <w:tcPr>
            <w:tcW w:type="dxa" w:w="8496"/>
            <w:vAlign w:val="center"/>
            <w:shd w:fill="176B55"/>
          </w:tcPr>
          <w:p>
            <w:pPr>
              <w:jc w:val="center"/>
              <w:bidi/>
            </w:pPr>
            <w:r/>
            <w:r>
              <w:rPr>
                <w:rFonts w:ascii="Arial" w:hAnsi="Arial" w:eastAsia="Arial"/>
                <w:b/>
                <w:color w:val="FFFFFF"/>
                <w:sz w:val="17"/>
              </w:rPr>
              <w:t>الوظائف الرئيسية</w:t>
            </w:r>
          </w:p>
        </w:tc>
      </w:tr>
      <w:tr>
        <w:tc>
          <w:tcPr>
            <w:tcW w:type="dxa" w:w="1872"/>
            <w:vAlign w:val="center"/>
            <w:shd w:fill="F2F7F4"/>
          </w:tcPr>
          <w:p>
            <w:pPr>
              <w:jc w:val="right"/>
              <w:bidi/>
            </w:pPr>
            <w:r/>
            <w:r>
              <w:rPr>
                <w:rFonts w:ascii="Arial" w:hAnsi="Arial" w:eastAsia="Arial"/>
                <w:b w:val="0"/>
                <w:sz w:val="17"/>
              </w:rPr>
              <w:t>لوحة المناقصات</w:t>
            </w:r>
          </w:p>
        </w:tc>
        <w:tc>
          <w:tcPr>
            <w:tcW w:type="dxa" w:w="8496"/>
            <w:vAlign w:val="center"/>
            <w:shd w:fill="F2F7F4"/>
          </w:tcPr>
          <w:p>
            <w:pPr>
              <w:jc w:val="right"/>
              <w:bidi/>
            </w:pPr>
            <w:r/>
            <w:r>
              <w:rPr>
                <w:rFonts w:ascii="Arial" w:hAnsi="Arial" w:eastAsia="Arial"/>
                <w:b w:val="0"/>
                <w:sz w:val="17"/>
              </w:rPr>
              <w:t>KPIs، التنبيهات، المناقصات النشطة، الإغلاقات القريبة، الاعتمادات المتأخرة.</w:t>
            </w:r>
          </w:p>
        </w:tc>
      </w:tr>
      <w:tr>
        <w:tc>
          <w:tcPr>
            <w:tcW w:type="dxa" w:w="1872"/>
            <w:vAlign w:val="center"/>
          </w:tcPr>
          <w:p>
            <w:pPr>
              <w:jc w:val="right"/>
              <w:bidi/>
            </w:pPr>
            <w:r/>
            <w:r>
              <w:rPr>
                <w:rFonts w:ascii="Arial" w:hAnsi="Arial" w:eastAsia="Arial"/>
                <w:b w:val="0"/>
                <w:sz w:val="17"/>
              </w:rPr>
              <w:t>إدارة المناقصات</w:t>
            </w:r>
          </w:p>
        </w:tc>
        <w:tc>
          <w:tcPr>
            <w:tcW w:type="dxa" w:w="8496"/>
            <w:vAlign w:val="center"/>
          </w:tcPr>
          <w:p>
            <w:pPr>
              <w:jc w:val="right"/>
              <w:bidi/>
            </w:pPr>
            <w:r/>
            <w:r>
              <w:rPr>
                <w:rFonts w:ascii="Arial" w:hAnsi="Arial" w:eastAsia="Arial"/>
                <w:b w:val="0"/>
                <w:sz w:val="17"/>
              </w:rPr>
              <w:t>إنشاء، تعديل، نشر، إغلاق، إلغاء، نسخ، أرشفة.</w:t>
            </w:r>
          </w:p>
        </w:tc>
      </w:tr>
      <w:tr>
        <w:tc>
          <w:tcPr>
            <w:tcW w:type="dxa" w:w="1872"/>
            <w:vAlign w:val="center"/>
            <w:shd w:fill="F2F7F4"/>
          </w:tcPr>
          <w:p>
            <w:pPr>
              <w:jc w:val="right"/>
              <w:bidi/>
            </w:pPr>
            <w:r/>
            <w:r>
              <w:rPr>
                <w:rFonts w:ascii="Arial" w:hAnsi="Arial" w:eastAsia="Arial"/>
                <w:b w:val="0"/>
                <w:sz w:val="17"/>
              </w:rPr>
              <w:t>BOQ</w:t>
            </w:r>
          </w:p>
        </w:tc>
        <w:tc>
          <w:tcPr>
            <w:tcW w:type="dxa" w:w="8496"/>
            <w:vAlign w:val="center"/>
            <w:shd w:fill="F2F7F4"/>
          </w:tcPr>
          <w:p>
            <w:pPr>
              <w:jc w:val="right"/>
              <w:bidi/>
            </w:pPr>
            <w:r/>
            <w:r>
              <w:rPr>
                <w:rFonts w:ascii="Arial" w:hAnsi="Arial" w:eastAsia="Arial"/>
                <w:b w:val="0"/>
                <w:sz w:val="17"/>
              </w:rPr>
              <w:t>أقسام غير محدودة، بنود، وحدات، كميات، مواصفات، ميزانيات تقديرية.</w:t>
            </w:r>
          </w:p>
        </w:tc>
      </w:tr>
      <w:tr>
        <w:tc>
          <w:tcPr>
            <w:tcW w:type="dxa" w:w="1872"/>
            <w:vAlign w:val="center"/>
          </w:tcPr>
          <w:p>
            <w:pPr>
              <w:jc w:val="right"/>
              <w:bidi/>
            </w:pPr>
            <w:r/>
            <w:r>
              <w:rPr>
                <w:rFonts w:ascii="Arial" w:hAnsi="Arial" w:eastAsia="Arial"/>
                <w:b w:val="0"/>
                <w:sz w:val="17"/>
              </w:rPr>
              <w:t>الموردون</w:t>
            </w:r>
          </w:p>
        </w:tc>
        <w:tc>
          <w:tcPr>
            <w:tcW w:type="dxa" w:w="8496"/>
            <w:vAlign w:val="center"/>
          </w:tcPr>
          <w:p>
            <w:pPr>
              <w:jc w:val="right"/>
              <w:bidi/>
            </w:pPr>
            <w:r/>
            <w:r>
              <w:rPr>
                <w:rFonts w:ascii="Arial" w:hAnsi="Arial" w:eastAsia="Arial"/>
                <w:b w:val="0"/>
                <w:sz w:val="17"/>
              </w:rPr>
              <w:t>دعوات، تأهيل، وثائق، تصنيف، أداء سابق، مخاطر.</w:t>
            </w:r>
          </w:p>
        </w:tc>
      </w:tr>
      <w:tr>
        <w:tc>
          <w:tcPr>
            <w:tcW w:type="dxa" w:w="1872"/>
            <w:vAlign w:val="center"/>
            <w:shd w:fill="F2F7F4"/>
          </w:tcPr>
          <w:p>
            <w:pPr>
              <w:jc w:val="right"/>
              <w:bidi/>
            </w:pPr>
            <w:r/>
            <w:r>
              <w:rPr>
                <w:rFonts w:ascii="Arial" w:hAnsi="Arial" w:eastAsia="Arial"/>
                <w:b w:val="0"/>
                <w:sz w:val="17"/>
              </w:rPr>
              <w:t>العروض</w:t>
            </w:r>
          </w:p>
        </w:tc>
        <w:tc>
          <w:tcPr>
            <w:tcW w:type="dxa" w:w="8496"/>
            <w:vAlign w:val="center"/>
            <w:shd w:fill="F2F7F4"/>
          </w:tcPr>
          <w:p>
            <w:pPr>
              <w:jc w:val="right"/>
              <w:bidi/>
            </w:pPr>
            <w:r/>
            <w:r>
              <w:rPr>
                <w:rFonts w:ascii="Arial" w:hAnsi="Arial" w:eastAsia="Arial"/>
                <w:b w:val="0"/>
                <w:sz w:val="17"/>
              </w:rPr>
              <w:t>إدخال أسعار، مرفقات، مدة توريد، بلد منشأ، علامة تجارية، شروط.</w:t>
            </w:r>
          </w:p>
        </w:tc>
      </w:tr>
      <w:tr>
        <w:tc>
          <w:tcPr>
            <w:tcW w:type="dxa" w:w="1872"/>
            <w:vAlign w:val="center"/>
          </w:tcPr>
          <w:p>
            <w:pPr>
              <w:jc w:val="right"/>
              <w:bidi/>
            </w:pPr>
            <w:r/>
            <w:r>
              <w:rPr>
                <w:rFonts w:ascii="Arial" w:hAnsi="Arial" w:eastAsia="Arial"/>
                <w:b w:val="0"/>
                <w:sz w:val="17"/>
              </w:rPr>
              <w:t>المقارنة</w:t>
            </w:r>
          </w:p>
        </w:tc>
        <w:tc>
          <w:tcPr>
            <w:tcW w:type="dxa" w:w="8496"/>
            <w:vAlign w:val="center"/>
          </w:tcPr>
          <w:p>
            <w:pPr>
              <w:jc w:val="right"/>
              <w:bidi/>
            </w:pPr>
            <w:r/>
            <w:r>
              <w:rPr>
                <w:rFonts w:ascii="Arial" w:hAnsi="Arial" w:eastAsia="Arial"/>
                <w:b w:val="0"/>
                <w:sz w:val="17"/>
              </w:rPr>
              <w:t>مقارنة إجمالية وبنداً بنداً، أقل/أعلى/متوسط، انحرافات، وفر.</w:t>
            </w:r>
          </w:p>
        </w:tc>
      </w:tr>
      <w:tr>
        <w:tc>
          <w:tcPr>
            <w:tcW w:type="dxa" w:w="1872"/>
            <w:vAlign w:val="center"/>
            <w:shd w:fill="F2F7F4"/>
          </w:tcPr>
          <w:p>
            <w:pPr>
              <w:jc w:val="right"/>
              <w:bidi/>
            </w:pPr>
            <w:r/>
            <w:r>
              <w:rPr>
                <w:rFonts w:ascii="Arial" w:hAnsi="Arial" w:eastAsia="Arial"/>
                <w:b w:val="0"/>
                <w:sz w:val="17"/>
              </w:rPr>
              <w:t>التقييم</w:t>
            </w:r>
          </w:p>
        </w:tc>
        <w:tc>
          <w:tcPr>
            <w:tcW w:type="dxa" w:w="8496"/>
            <w:vAlign w:val="center"/>
            <w:shd w:fill="F2F7F4"/>
          </w:tcPr>
          <w:p>
            <w:pPr>
              <w:jc w:val="right"/>
              <w:bidi/>
            </w:pPr>
            <w:r/>
            <w:r>
              <w:rPr>
                <w:rFonts w:ascii="Arial" w:hAnsi="Arial" w:eastAsia="Arial"/>
                <w:b w:val="0"/>
                <w:sz w:val="17"/>
              </w:rPr>
              <w:t>فني، مالي، تجاري، تسليم، أداء مورد، أوزان ومعايير.</w:t>
            </w:r>
          </w:p>
        </w:tc>
      </w:tr>
      <w:tr>
        <w:tc>
          <w:tcPr>
            <w:tcW w:type="dxa" w:w="1872"/>
            <w:vAlign w:val="center"/>
          </w:tcPr>
          <w:p>
            <w:pPr>
              <w:jc w:val="right"/>
              <w:bidi/>
            </w:pPr>
            <w:r/>
            <w:r>
              <w:rPr>
                <w:rFonts w:ascii="Arial" w:hAnsi="Arial" w:eastAsia="Arial"/>
                <w:b w:val="0"/>
                <w:sz w:val="17"/>
              </w:rPr>
              <w:t>الترسية</w:t>
            </w:r>
          </w:p>
        </w:tc>
        <w:tc>
          <w:tcPr>
            <w:tcW w:type="dxa" w:w="8496"/>
            <w:vAlign w:val="center"/>
          </w:tcPr>
          <w:p>
            <w:pPr>
              <w:jc w:val="right"/>
              <w:bidi/>
            </w:pPr>
            <w:r/>
            <w:r>
              <w:rPr>
                <w:rFonts w:ascii="Arial" w:hAnsi="Arial" w:eastAsia="Arial"/>
                <w:b w:val="0"/>
                <w:sz w:val="17"/>
              </w:rPr>
              <w:t>توصية، لجنة، اعتماد، إشعار ترسية، عقد/PO.</w:t>
            </w:r>
          </w:p>
        </w:tc>
      </w:tr>
      <w:tr>
        <w:tc>
          <w:tcPr>
            <w:tcW w:type="dxa" w:w="1872"/>
            <w:vAlign w:val="center"/>
            <w:shd w:fill="F2F7F4"/>
          </w:tcPr>
          <w:p>
            <w:pPr>
              <w:jc w:val="right"/>
              <w:bidi/>
            </w:pPr>
            <w:r/>
            <w:r>
              <w:rPr>
                <w:rFonts w:ascii="Arial" w:hAnsi="Arial" w:eastAsia="Arial"/>
                <w:b w:val="0"/>
                <w:sz w:val="17"/>
              </w:rPr>
              <w:t>التكامل</w:t>
            </w:r>
          </w:p>
        </w:tc>
        <w:tc>
          <w:tcPr>
            <w:tcW w:type="dxa" w:w="8496"/>
            <w:vAlign w:val="center"/>
            <w:shd w:fill="F2F7F4"/>
          </w:tcPr>
          <w:p>
            <w:pPr>
              <w:jc w:val="right"/>
              <w:bidi/>
            </w:pPr>
            <w:r/>
            <w:r>
              <w:rPr>
                <w:rFonts w:ascii="Arial" w:hAnsi="Arial" w:eastAsia="Arial"/>
                <w:b w:val="0"/>
                <w:sz w:val="17"/>
              </w:rPr>
              <w:t>المشتريات، المخزون، المالية، AP، العقود، الميزانية، التقارير.</w:t>
            </w:r>
          </w:p>
        </w:tc>
      </w:tr>
      <w:tr>
        <w:tc>
          <w:tcPr>
            <w:tcW w:type="dxa" w:w="1872"/>
            <w:vAlign w:val="center"/>
          </w:tcPr>
          <w:p>
            <w:pPr>
              <w:jc w:val="right"/>
              <w:bidi/>
            </w:pPr>
            <w:r/>
            <w:r>
              <w:rPr>
                <w:rFonts w:ascii="Arial" w:hAnsi="Arial" w:eastAsia="Arial"/>
                <w:b w:val="0"/>
                <w:sz w:val="17"/>
              </w:rPr>
              <w:t>التصدير والاستيراد</w:t>
            </w:r>
          </w:p>
        </w:tc>
        <w:tc>
          <w:tcPr>
            <w:tcW w:type="dxa" w:w="8496"/>
            <w:vAlign w:val="center"/>
          </w:tcPr>
          <w:p>
            <w:pPr>
              <w:jc w:val="right"/>
              <w:bidi/>
            </w:pPr>
            <w:r/>
            <w:r>
              <w:rPr>
                <w:rFonts w:ascii="Arial" w:hAnsi="Arial" w:eastAsia="Arial"/>
                <w:b w:val="0"/>
                <w:sz w:val="17"/>
              </w:rPr>
              <w:t>Excel/CSV، قوالب BOQ، PDF رسمي، تقارير مقارنة.</w:t>
            </w:r>
          </w:p>
        </w:tc>
      </w:tr>
    </w:tbl>
    <w:p>
      <w:pPr>
        <w:spacing w:after="40"/>
      </w:pPr>
    </w:p>
    <w:p>
      <w:pPr>
        <w:jc w:val="right"/>
        <w:bidi/>
      </w:pPr>
      <w:r>
        <w:rPr>
          <w:rFonts w:ascii="Arial" w:hAnsi="Arial" w:eastAsia="Arial"/>
          <w:b/>
          <w:color w:val="114637"/>
          <w:sz w:val="36"/>
        </w:rPr>
        <w:t>3. تحويل نموذج Excel الحالي إلى شاشة ERP</w:t>
      </w:r>
    </w:p>
    <w:tbl>
      <w:tblPr>
        <w:tblStyle w:val="TableGrid"/>
        <w:tblW w:type="auto" w:w="0"/>
        <w:jc w:val="center"/>
        <w:tblLook w:firstColumn="1" w:firstRow="1" w:lastColumn="0" w:lastRow="0" w:noHBand="0" w:noVBand="1" w:val="04A0"/>
      </w:tblPr>
      <w:tblGrid>
        <w:gridCol w:w="3552"/>
        <w:gridCol w:w="3552"/>
        <w:gridCol w:w="3552"/>
      </w:tblGrid>
      <w:tr>
        <w:tc>
          <w:tcPr>
            <w:tcW w:type="dxa" w:w="2160"/>
            <w:vAlign w:val="center"/>
            <w:shd w:fill="176B55"/>
          </w:tcPr>
          <w:p>
            <w:pPr>
              <w:jc w:val="center"/>
              <w:bidi/>
            </w:pPr>
            <w:r/>
            <w:r>
              <w:rPr>
                <w:rFonts w:ascii="Arial" w:hAnsi="Arial" w:eastAsia="Arial"/>
                <w:b/>
                <w:color w:val="FFFFFF"/>
                <w:sz w:val="16"/>
              </w:rPr>
              <w:t>العنصر في Excel</w:t>
            </w:r>
          </w:p>
        </w:tc>
        <w:tc>
          <w:tcPr>
            <w:tcW w:type="dxa" w:w="2448"/>
            <w:vAlign w:val="center"/>
            <w:shd w:fill="176B55"/>
          </w:tcPr>
          <w:p>
            <w:pPr>
              <w:jc w:val="center"/>
              <w:bidi/>
            </w:pPr>
            <w:r/>
            <w:r>
              <w:rPr>
                <w:rFonts w:ascii="Arial" w:hAnsi="Arial" w:eastAsia="Arial"/>
                <w:b/>
                <w:color w:val="FFFFFF"/>
                <w:sz w:val="16"/>
              </w:rPr>
              <w:t>المقابل في ERP</w:t>
            </w:r>
          </w:p>
        </w:tc>
        <w:tc>
          <w:tcPr>
            <w:tcW w:type="dxa" w:w="5760"/>
            <w:vAlign w:val="center"/>
            <w:shd w:fill="176B55"/>
          </w:tcPr>
          <w:p>
            <w:pPr>
              <w:jc w:val="center"/>
              <w:bidi/>
            </w:pPr>
            <w:r/>
            <w:r>
              <w:rPr>
                <w:rFonts w:ascii="Arial" w:hAnsi="Arial" w:eastAsia="Arial"/>
                <w:b/>
                <w:color w:val="FFFFFF"/>
                <w:sz w:val="16"/>
              </w:rPr>
              <w:t>التطوير المقترح</w:t>
            </w:r>
          </w:p>
        </w:tc>
      </w:tr>
      <w:tr>
        <w:tc>
          <w:tcPr>
            <w:tcW w:type="dxa" w:w="2160"/>
            <w:vAlign w:val="center"/>
            <w:shd w:fill="F2F7F4"/>
          </w:tcPr>
          <w:p>
            <w:pPr>
              <w:jc w:val="right"/>
              <w:bidi/>
            </w:pPr>
            <w:r/>
            <w:r>
              <w:rPr>
                <w:rFonts w:ascii="Arial" w:hAnsi="Arial" w:eastAsia="Arial"/>
                <w:b w:val="0"/>
                <w:sz w:val="16"/>
              </w:rPr>
              <w:t>اسم المؤسسة</w:t>
            </w:r>
          </w:p>
        </w:tc>
        <w:tc>
          <w:tcPr>
            <w:tcW w:type="dxa" w:w="2448"/>
            <w:vAlign w:val="center"/>
            <w:shd w:fill="F2F7F4"/>
          </w:tcPr>
          <w:p>
            <w:pPr>
              <w:jc w:val="right"/>
              <w:bidi/>
            </w:pPr>
            <w:r/>
            <w:r>
              <w:rPr>
                <w:rFonts w:ascii="Arial" w:hAnsi="Arial" w:eastAsia="Arial"/>
                <w:b w:val="0"/>
                <w:sz w:val="16"/>
              </w:rPr>
              <w:t>Supplier / Organization</w:t>
            </w:r>
          </w:p>
        </w:tc>
        <w:tc>
          <w:tcPr>
            <w:tcW w:type="dxa" w:w="5760"/>
            <w:vAlign w:val="center"/>
            <w:shd w:fill="F2F7F4"/>
          </w:tcPr>
          <w:p>
            <w:pPr>
              <w:jc w:val="right"/>
              <w:bidi/>
            </w:pPr>
            <w:r/>
            <w:r>
              <w:rPr>
                <w:rFonts w:ascii="Arial" w:hAnsi="Arial" w:eastAsia="Arial"/>
                <w:b w:val="0"/>
                <w:sz w:val="16"/>
              </w:rPr>
              <w:t>اختيار من Supplier Master مع جلب السجل والرقم الضريبي والوثائق.</w:t>
            </w:r>
          </w:p>
        </w:tc>
      </w:tr>
      <w:tr>
        <w:tc>
          <w:tcPr>
            <w:tcW w:type="dxa" w:w="2160"/>
            <w:vAlign w:val="center"/>
          </w:tcPr>
          <w:p>
            <w:pPr>
              <w:jc w:val="right"/>
              <w:bidi/>
            </w:pPr>
            <w:r/>
            <w:r>
              <w:rPr>
                <w:rFonts w:ascii="Arial" w:hAnsi="Arial" w:eastAsia="Arial"/>
                <w:b w:val="0"/>
                <w:sz w:val="16"/>
              </w:rPr>
              <w:t>رقم مرجعي</w:t>
            </w:r>
          </w:p>
        </w:tc>
        <w:tc>
          <w:tcPr>
            <w:tcW w:type="dxa" w:w="2448"/>
            <w:vAlign w:val="center"/>
          </w:tcPr>
          <w:p>
            <w:pPr>
              <w:jc w:val="right"/>
              <w:bidi/>
            </w:pPr>
            <w:r/>
            <w:r>
              <w:rPr>
                <w:rFonts w:ascii="Arial" w:hAnsi="Arial" w:eastAsia="Arial"/>
                <w:b w:val="0"/>
                <w:sz w:val="16"/>
              </w:rPr>
              <w:t>Tender Reference</w:t>
            </w:r>
          </w:p>
        </w:tc>
        <w:tc>
          <w:tcPr>
            <w:tcW w:type="dxa" w:w="5760"/>
            <w:vAlign w:val="center"/>
          </w:tcPr>
          <w:p>
            <w:pPr>
              <w:jc w:val="right"/>
              <w:bidi/>
            </w:pPr>
            <w:r/>
            <w:r>
              <w:rPr>
                <w:rFonts w:ascii="Arial" w:hAnsi="Arial" w:eastAsia="Arial"/>
                <w:b w:val="0"/>
                <w:sz w:val="16"/>
              </w:rPr>
              <w:t>توليد تلقائي حسب الشركة/السنة/الفرع.</w:t>
            </w:r>
          </w:p>
        </w:tc>
      </w:tr>
      <w:tr>
        <w:tc>
          <w:tcPr>
            <w:tcW w:type="dxa" w:w="2160"/>
            <w:vAlign w:val="center"/>
            <w:shd w:fill="F2F7F4"/>
          </w:tcPr>
          <w:p>
            <w:pPr>
              <w:jc w:val="right"/>
              <w:bidi/>
            </w:pPr>
            <w:r/>
            <w:r>
              <w:rPr>
                <w:rFonts w:ascii="Arial" w:hAnsi="Arial" w:eastAsia="Arial"/>
                <w:b w:val="0"/>
                <w:sz w:val="16"/>
              </w:rPr>
              <w:t>اسم المنافسة</w:t>
            </w:r>
          </w:p>
        </w:tc>
        <w:tc>
          <w:tcPr>
            <w:tcW w:type="dxa" w:w="2448"/>
            <w:vAlign w:val="center"/>
            <w:shd w:fill="F2F7F4"/>
          </w:tcPr>
          <w:p>
            <w:pPr>
              <w:jc w:val="right"/>
              <w:bidi/>
            </w:pPr>
            <w:r/>
            <w:r>
              <w:rPr>
                <w:rFonts w:ascii="Arial" w:hAnsi="Arial" w:eastAsia="Arial"/>
                <w:b w:val="0"/>
                <w:sz w:val="16"/>
              </w:rPr>
              <w:t>Tender Title</w:t>
            </w:r>
          </w:p>
        </w:tc>
        <w:tc>
          <w:tcPr>
            <w:tcW w:type="dxa" w:w="5760"/>
            <w:vAlign w:val="center"/>
            <w:shd w:fill="F2F7F4"/>
          </w:tcPr>
          <w:p>
            <w:pPr>
              <w:jc w:val="right"/>
              <w:bidi/>
            </w:pPr>
            <w:r/>
            <w:r>
              <w:rPr>
                <w:rFonts w:ascii="Arial" w:hAnsi="Arial" w:eastAsia="Arial"/>
                <w:b w:val="0"/>
                <w:sz w:val="16"/>
              </w:rPr>
              <w:t>عربي/إنجليزي + تصنيف + إدارة مالكة.</w:t>
            </w:r>
          </w:p>
        </w:tc>
      </w:tr>
      <w:tr>
        <w:tc>
          <w:tcPr>
            <w:tcW w:type="dxa" w:w="2160"/>
            <w:vAlign w:val="center"/>
          </w:tcPr>
          <w:p>
            <w:pPr>
              <w:jc w:val="right"/>
              <w:bidi/>
            </w:pPr>
            <w:r/>
            <w:r>
              <w:rPr>
                <w:rFonts w:ascii="Arial" w:hAnsi="Arial" w:eastAsia="Arial"/>
                <w:b w:val="0"/>
                <w:sz w:val="16"/>
              </w:rPr>
              <w:t>الجداول 1..40</w:t>
            </w:r>
          </w:p>
        </w:tc>
        <w:tc>
          <w:tcPr>
            <w:tcW w:type="dxa" w:w="2448"/>
            <w:vAlign w:val="center"/>
          </w:tcPr>
          <w:p>
            <w:pPr>
              <w:jc w:val="right"/>
              <w:bidi/>
            </w:pPr>
            <w:r/>
            <w:r>
              <w:rPr>
                <w:rFonts w:ascii="Arial" w:hAnsi="Arial" w:eastAsia="Arial"/>
                <w:b w:val="0"/>
                <w:sz w:val="16"/>
              </w:rPr>
              <w:t>BOQ Sections</w:t>
            </w:r>
          </w:p>
        </w:tc>
        <w:tc>
          <w:tcPr>
            <w:tcW w:type="dxa" w:w="5760"/>
            <w:vAlign w:val="center"/>
          </w:tcPr>
          <w:p>
            <w:pPr>
              <w:jc w:val="right"/>
              <w:bidi/>
            </w:pPr>
            <w:r/>
            <w:r>
              <w:rPr>
                <w:rFonts w:ascii="Arial" w:hAnsi="Arial" w:eastAsia="Arial"/>
                <w:b w:val="0"/>
                <w:sz w:val="16"/>
              </w:rPr>
              <w:t>عدد غير محدود، ترتيب وسحب وإفلات وقوالب.</w:t>
            </w:r>
          </w:p>
        </w:tc>
      </w:tr>
      <w:tr>
        <w:tc>
          <w:tcPr>
            <w:tcW w:type="dxa" w:w="2160"/>
            <w:vAlign w:val="center"/>
            <w:shd w:fill="F2F7F4"/>
          </w:tcPr>
          <w:p>
            <w:pPr>
              <w:jc w:val="right"/>
              <w:bidi/>
            </w:pPr>
            <w:r/>
            <w:r>
              <w:rPr>
                <w:rFonts w:ascii="Arial" w:hAnsi="Arial" w:eastAsia="Arial"/>
                <w:b w:val="0"/>
                <w:sz w:val="16"/>
              </w:rPr>
              <w:t>وصف البند</w:t>
            </w:r>
          </w:p>
        </w:tc>
        <w:tc>
          <w:tcPr>
            <w:tcW w:type="dxa" w:w="2448"/>
            <w:vAlign w:val="center"/>
            <w:shd w:fill="F2F7F4"/>
          </w:tcPr>
          <w:p>
            <w:pPr>
              <w:jc w:val="right"/>
              <w:bidi/>
            </w:pPr>
            <w:r/>
            <w:r>
              <w:rPr>
                <w:rFonts w:ascii="Arial" w:hAnsi="Arial" w:eastAsia="Arial"/>
                <w:b w:val="0"/>
                <w:sz w:val="16"/>
              </w:rPr>
              <w:t>Tender Item</w:t>
            </w:r>
          </w:p>
        </w:tc>
        <w:tc>
          <w:tcPr>
            <w:tcW w:type="dxa" w:w="5760"/>
            <w:vAlign w:val="center"/>
            <w:shd w:fill="F2F7F4"/>
          </w:tcPr>
          <w:p>
            <w:pPr>
              <w:jc w:val="right"/>
              <w:bidi/>
            </w:pPr>
            <w:r/>
            <w:r>
              <w:rPr>
                <w:rFonts w:ascii="Arial" w:hAnsi="Arial" w:eastAsia="Arial"/>
                <w:b w:val="0"/>
                <w:sz w:val="16"/>
              </w:rPr>
              <w:t>وصف، مواصفات، صور، ملفات، SKU/Service Code.</w:t>
            </w:r>
          </w:p>
        </w:tc>
      </w:tr>
      <w:tr>
        <w:tc>
          <w:tcPr>
            <w:tcW w:type="dxa" w:w="2160"/>
            <w:vAlign w:val="center"/>
          </w:tcPr>
          <w:p>
            <w:pPr>
              <w:jc w:val="right"/>
              <w:bidi/>
            </w:pPr>
            <w:r/>
            <w:r>
              <w:rPr>
                <w:rFonts w:ascii="Arial" w:hAnsi="Arial" w:eastAsia="Arial"/>
                <w:b w:val="0"/>
                <w:sz w:val="16"/>
              </w:rPr>
              <w:t>وحدة القياس</w:t>
            </w:r>
          </w:p>
        </w:tc>
        <w:tc>
          <w:tcPr>
            <w:tcW w:type="dxa" w:w="2448"/>
            <w:vAlign w:val="center"/>
          </w:tcPr>
          <w:p>
            <w:pPr>
              <w:jc w:val="right"/>
              <w:bidi/>
            </w:pPr>
            <w:r/>
            <w:r>
              <w:rPr>
                <w:rFonts w:ascii="Arial" w:hAnsi="Arial" w:eastAsia="Arial"/>
                <w:b w:val="0"/>
                <w:sz w:val="16"/>
              </w:rPr>
              <w:t>UOM</w:t>
            </w:r>
          </w:p>
        </w:tc>
        <w:tc>
          <w:tcPr>
            <w:tcW w:type="dxa" w:w="5760"/>
            <w:vAlign w:val="center"/>
          </w:tcPr>
          <w:p>
            <w:pPr>
              <w:jc w:val="right"/>
              <w:bidi/>
            </w:pPr>
            <w:r/>
            <w:r>
              <w:rPr>
                <w:rFonts w:ascii="Arial" w:hAnsi="Arial" w:eastAsia="Arial"/>
                <w:b w:val="0"/>
                <w:sz w:val="16"/>
              </w:rPr>
              <w:t>قاموس وحدات مركزي.</w:t>
            </w:r>
          </w:p>
        </w:tc>
      </w:tr>
      <w:tr>
        <w:tc>
          <w:tcPr>
            <w:tcW w:type="dxa" w:w="2160"/>
            <w:vAlign w:val="center"/>
            <w:shd w:fill="F2F7F4"/>
          </w:tcPr>
          <w:p>
            <w:pPr>
              <w:jc w:val="right"/>
              <w:bidi/>
            </w:pPr>
            <w:r/>
            <w:r>
              <w:rPr>
                <w:rFonts w:ascii="Arial" w:hAnsi="Arial" w:eastAsia="Arial"/>
                <w:b w:val="0"/>
                <w:sz w:val="16"/>
              </w:rPr>
              <w:t>الكمية</w:t>
            </w:r>
          </w:p>
        </w:tc>
        <w:tc>
          <w:tcPr>
            <w:tcW w:type="dxa" w:w="2448"/>
            <w:vAlign w:val="center"/>
            <w:shd w:fill="F2F7F4"/>
          </w:tcPr>
          <w:p>
            <w:pPr>
              <w:jc w:val="right"/>
              <w:bidi/>
            </w:pPr>
            <w:r/>
            <w:r>
              <w:rPr>
                <w:rFonts w:ascii="Arial" w:hAnsi="Arial" w:eastAsia="Arial"/>
                <w:b w:val="0"/>
                <w:sz w:val="16"/>
              </w:rPr>
              <w:t>Quantity</w:t>
            </w:r>
          </w:p>
        </w:tc>
        <w:tc>
          <w:tcPr>
            <w:tcW w:type="dxa" w:w="5760"/>
            <w:vAlign w:val="center"/>
            <w:shd w:fill="F2F7F4"/>
          </w:tcPr>
          <w:p>
            <w:pPr>
              <w:jc w:val="right"/>
              <w:bidi/>
            </w:pPr>
            <w:r/>
            <w:r>
              <w:rPr>
                <w:rFonts w:ascii="Arial" w:hAnsi="Arial" w:eastAsia="Arial"/>
                <w:b w:val="0"/>
                <w:sz w:val="16"/>
              </w:rPr>
              <w:t>تحقق من القيم وتاريخ التعديلات.</w:t>
            </w:r>
          </w:p>
        </w:tc>
      </w:tr>
      <w:tr>
        <w:tc>
          <w:tcPr>
            <w:tcW w:type="dxa" w:w="2160"/>
            <w:vAlign w:val="center"/>
          </w:tcPr>
          <w:p>
            <w:pPr>
              <w:jc w:val="right"/>
              <w:bidi/>
            </w:pPr>
            <w:r/>
            <w:r>
              <w:rPr>
                <w:rFonts w:ascii="Arial" w:hAnsi="Arial" w:eastAsia="Arial"/>
                <w:b w:val="0"/>
                <w:sz w:val="16"/>
              </w:rPr>
              <w:t>سعر الوحدة</w:t>
            </w:r>
          </w:p>
        </w:tc>
        <w:tc>
          <w:tcPr>
            <w:tcW w:type="dxa" w:w="2448"/>
            <w:vAlign w:val="center"/>
          </w:tcPr>
          <w:p>
            <w:pPr>
              <w:jc w:val="right"/>
              <w:bidi/>
            </w:pPr>
            <w:r/>
            <w:r>
              <w:rPr>
                <w:rFonts w:ascii="Arial" w:hAnsi="Arial" w:eastAsia="Arial"/>
                <w:b w:val="0"/>
                <w:sz w:val="16"/>
              </w:rPr>
              <w:t>Unit Price</w:t>
            </w:r>
          </w:p>
        </w:tc>
        <w:tc>
          <w:tcPr>
            <w:tcW w:type="dxa" w:w="5760"/>
            <w:vAlign w:val="center"/>
          </w:tcPr>
          <w:p>
            <w:pPr>
              <w:jc w:val="right"/>
              <w:bidi/>
            </w:pPr>
            <w:r/>
            <w:r>
              <w:rPr>
                <w:rFonts w:ascii="Arial" w:hAnsi="Arial" w:eastAsia="Arial"/>
                <w:b w:val="0"/>
                <w:sz w:val="16"/>
              </w:rPr>
              <w:t>عملة، دقة عشرية، قواعد ضريبة.</w:t>
            </w:r>
          </w:p>
        </w:tc>
      </w:tr>
      <w:tr>
        <w:tc>
          <w:tcPr>
            <w:tcW w:type="dxa" w:w="2160"/>
            <w:vAlign w:val="center"/>
            <w:shd w:fill="F2F7F4"/>
          </w:tcPr>
          <w:p>
            <w:pPr>
              <w:jc w:val="right"/>
              <w:bidi/>
            </w:pPr>
            <w:r/>
            <w:r>
              <w:rPr>
                <w:rFonts w:ascii="Arial" w:hAnsi="Arial" w:eastAsia="Arial"/>
                <w:b w:val="0"/>
                <w:sz w:val="16"/>
              </w:rPr>
              <w:t>السعر كتابة</w:t>
            </w:r>
          </w:p>
        </w:tc>
        <w:tc>
          <w:tcPr>
            <w:tcW w:type="dxa" w:w="2448"/>
            <w:vAlign w:val="center"/>
            <w:shd w:fill="F2F7F4"/>
          </w:tcPr>
          <w:p>
            <w:pPr>
              <w:jc w:val="right"/>
              <w:bidi/>
            </w:pPr>
            <w:r/>
            <w:r>
              <w:rPr>
                <w:rFonts w:ascii="Arial" w:hAnsi="Arial" w:eastAsia="Arial"/>
                <w:b w:val="0"/>
                <w:sz w:val="16"/>
              </w:rPr>
              <w:t>Amount in Words</w:t>
            </w:r>
          </w:p>
        </w:tc>
        <w:tc>
          <w:tcPr>
            <w:tcW w:type="dxa" w:w="5760"/>
            <w:vAlign w:val="center"/>
            <w:shd w:fill="F2F7F4"/>
          </w:tcPr>
          <w:p>
            <w:pPr>
              <w:jc w:val="right"/>
              <w:bidi/>
            </w:pPr>
            <w:r/>
            <w:r>
              <w:rPr>
                <w:rFonts w:ascii="Arial" w:hAnsi="Arial" w:eastAsia="Arial"/>
                <w:b w:val="0"/>
                <w:sz w:val="16"/>
              </w:rPr>
              <w:t>خدمة تفقيط عربية/إنجليزية متعددة العملات.</w:t>
            </w:r>
          </w:p>
        </w:tc>
      </w:tr>
      <w:tr>
        <w:tc>
          <w:tcPr>
            <w:tcW w:type="dxa" w:w="2160"/>
            <w:vAlign w:val="center"/>
          </w:tcPr>
          <w:p>
            <w:pPr>
              <w:jc w:val="right"/>
              <w:bidi/>
            </w:pPr>
            <w:r/>
            <w:r>
              <w:rPr>
                <w:rFonts w:ascii="Arial" w:hAnsi="Arial" w:eastAsia="Arial"/>
                <w:b w:val="0"/>
                <w:sz w:val="16"/>
              </w:rPr>
              <w:t>الضريبة</w:t>
            </w:r>
          </w:p>
        </w:tc>
        <w:tc>
          <w:tcPr>
            <w:tcW w:type="dxa" w:w="2448"/>
            <w:vAlign w:val="center"/>
          </w:tcPr>
          <w:p>
            <w:pPr>
              <w:jc w:val="right"/>
              <w:bidi/>
            </w:pPr>
            <w:r/>
            <w:r>
              <w:rPr>
                <w:rFonts w:ascii="Arial" w:hAnsi="Arial" w:eastAsia="Arial"/>
                <w:b w:val="0"/>
                <w:sz w:val="16"/>
              </w:rPr>
              <w:t>VAT</w:t>
            </w:r>
          </w:p>
        </w:tc>
        <w:tc>
          <w:tcPr>
            <w:tcW w:type="dxa" w:w="5760"/>
            <w:vAlign w:val="center"/>
          </w:tcPr>
          <w:p>
            <w:pPr>
              <w:jc w:val="right"/>
              <w:bidi/>
            </w:pPr>
            <w:r/>
            <w:r>
              <w:rPr>
                <w:rFonts w:ascii="Arial" w:hAnsi="Arial" w:eastAsia="Arial"/>
                <w:b w:val="0"/>
                <w:sz w:val="16"/>
              </w:rPr>
              <w:t>نسبة قابلة للتهيئة على مستوى المناقصة أو البند.</w:t>
            </w:r>
          </w:p>
        </w:tc>
      </w:tr>
      <w:tr>
        <w:tc>
          <w:tcPr>
            <w:tcW w:type="dxa" w:w="2160"/>
            <w:vAlign w:val="center"/>
            <w:shd w:fill="F2F7F4"/>
          </w:tcPr>
          <w:p>
            <w:pPr>
              <w:jc w:val="right"/>
              <w:bidi/>
            </w:pPr>
            <w:r/>
            <w:r>
              <w:rPr>
                <w:rFonts w:ascii="Arial" w:hAnsi="Arial" w:eastAsia="Arial"/>
                <w:b w:val="0"/>
                <w:sz w:val="16"/>
              </w:rPr>
              <w:t>الإجمالي شامل الضريبة</w:t>
            </w:r>
          </w:p>
        </w:tc>
        <w:tc>
          <w:tcPr>
            <w:tcW w:type="dxa" w:w="2448"/>
            <w:vAlign w:val="center"/>
            <w:shd w:fill="F2F7F4"/>
          </w:tcPr>
          <w:p>
            <w:pPr>
              <w:jc w:val="right"/>
              <w:bidi/>
            </w:pPr>
            <w:r/>
            <w:r>
              <w:rPr>
                <w:rFonts w:ascii="Arial" w:hAnsi="Arial" w:eastAsia="Arial"/>
                <w:b w:val="0"/>
                <w:sz w:val="16"/>
              </w:rPr>
              <w:t>Grand Total</w:t>
            </w:r>
          </w:p>
        </w:tc>
        <w:tc>
          <w:tcPr>
            <w:tcW w:type="dxa" w:w="5760"/>
            <w:vAlign w:val="center"/>
            <w:shd w:fill="F2F7F4"/>
          </w:tcPr>
          <w:p>
            <w:pPr>
              <w:jc w:val="right"/>
              <w:bidi/>
            </w:pPr>
            <w:r/>
            <w:r>
              <w:rPr>
                <w:rFonts w:ascii="Arial" w:hAnsi="Arial" w:eastAsia="Arial"/>
                <w:b w:val="0"/>
                <w:sz w:val="16"/>
              </w:rPr>
              <w:t>حساب Backend + إعادة تحقق عند الإرسال.</w:t>
            </w:r>
          </w:p>
        </w:tc>
      </w:tr>
      <w:tr>
        <w:tc>
          <w:tcPr>
            <w:tcW w:type="dxa" w:w="2160"/>
            <w:vAlign w:val="center"/>
          </w:tcPr>
          <w:p>
            <w:pPr>
              <w:jc w:val="right"/>
              <w:bidi/>
            </w:pPr>
            <w:r/>
            <w:r>
              <w:rPr>
                <w:rFonts w:ascii="Arial" w:hAnsi="Arial" w:eastAsia="Arial"/>
                <w:b w:val="0"/>
                <w:sz w:val="16"/>
              </w:rPr>
              <w:t>مدة التوريد</w:t>
            </w:r>
          </w:p>
        </w:tc>
        <w:tc>
          <w:tcPr>
            <w:tcW w:type="dxa" w:w="2448"/>
            <w:vAlign w:val="center"/>
          </w:tcPr>
          <w:p>
            <w:pPr>
              <w:jc w:val="right"/>
              <w:bidi/>
            </w:pPr>
            <w:r/>
            <w:r>
              <w:rPr>
                <w:rFonts w:ascii="Arial" w:hAnsi="Arial" w:eastAsia="Arial"/>
                <w:b w:val="0"/>
                <w:sz w:val="16"/>
              </w:rPr>
              <w:t>Delivery Terms</w:t>
            </w:r>
          </w:p>
        </w:tc>
        <w:tc>
          <w:tcPr>
            <w:tcW w:type="dxa" w:w="5760"/>
            <w:vAlign w:val="center"/>
          </w:tcPr>
          <w:p>
            <w:pPr>
              <w:jc w:val="right"/>
              <w:bidi/>
            </w:pPr>
            <w:r/>
            <w:r>
              <w:rPr>
                <w:rFonts w:ascii="Arial" w:hAnsi="Arial" w:eastAsia="Arial"/>
                <w:b w:val="0"/>
                <w:sz w:val="16"/>
              </w:rPr>
              <w:t>أيام/تاريخ/جدول تسليم مرحلي.</w:t>
            </w:r>
          </w:p>
        </w:tc>
      </w:tr>
      <w:tr>
        <w:tc>
          <w:tcPr>
            <w:tcW w:type="dxa" w:w="2160"/>
            <w:vAlign w:val="center"/>
            <w:shd w:fill="F2F7F4"/>
          </w:tcPr>
          <w:p>
            <w:pPr>
              <w:jc w:val="right"/>
              <w:bidi/>
            </w:pPr>
            <w:r/>
            <w:r>
              <w:rPr>
                <w:rFonts w:ascii="Arial" w:hAnsi="Arial" w:eastAsia="Arial"/>
                <w:b w:val="0"/>
                <w:sz w:val="16"/>
              </w:rPr>
              <w:t>صلاحية العرض</w:t>
            </w:r>
          </w:p>
        </w:tc>
        <w:tc>
          <w:tcPr>
            <w:tcW w:type="dxa" w:w="2448"/>
            <w:vAlign w:val="center"/>
            <w:shd w:fill="F2F7F4"/>
          </w:tcPr>
          <w:p>
            <w:pPr>
              <w:jc w:val="right"/>
              <w:bidi/>
            </w:pPr>
            <w:r/>
            <w:r>
              <w:rPr>
                <w:rFonts w:ascii="Arial" w:hAnsi="Arial" w:eastAsia="Arial"/>
                <w:b w:val="0"/>
                <w:sz w:val="16"/>
              </w:rPr>
              <w:t>Validity</w:t>
            </w:r>
          </w:p>
        </w:tc>
        <w:tc>
          <w:tcPr>
            <w:tcW w:type="dxa" w:w="5760"/>
            <w:vAlign w:val="center"/>
            <w:shd w:fill="F2F7F4"/>
          </w:tcPr>
          <w:p>
            <w:pPr>
              <w:jc w:val="right"/>
              <w:bidi/>
            </w:pPr>
            <w:r/>
            <w:r>
              <w:rPr>
                <w:rFonts w:ascii="Arial" w:hAnsi="Arial" w:eastAsia="Arial"/>
                <w:b w:val="0"/>
                <w:sz w:val="16"/>
              </w:rPr>
              <w:t>تاريخ انتهاء وتنبيهات تلقائية.</w:t>
            </w:r>
          </w:p>
        </w:tc>
      </w:tr>
    </w:tbl>
    <w:p>
      <w:pPr>
        <w:spacing w:after="40"/>
      </w:pPr>
    </w:p>
    <w:p>
      <w:pPr>
        <w:jc w:val="right"/>
        <w:bidi/>
      </w:pPr>
      <w:r>
        <w:rPr>
          <w:rFonts w:ascii="Arial" w:hAnsi="Arial" w:eastAsia="Arial"/>
          <w:b/>
          <w:color w:val="114637"/>
          <w:sz w:val="36"/>
        </w:rPr>
        <w:t>4. دورة العمل Workflow</w:t>
      </w:r>
    </w:p>
    <w:p>
      <w:pPr>
        <w:spacing w:after="60" w:line="259" w:lineRule="auto"/>
        <w:jc w:val="right"/>
        <w:bidi/>
      </w:pPr>
      <w:r>
        <w:rPr>
          <w:rFonts w:ascii="Arial" w:hAnsi="Arial" w:eastAsia="Arial"/>
          <w:sz w:val="21"/>
        </w:rPr>
        <w:t>الدورة القياسية المقترحة:</w:t>
      </w:r>
    </w:p>
    <w:p>
      <w:pPr>
        <w:spacing w:after="60" w:line="259" w:lineRule="auto"/>
        <w:jc w:val="right"/>
        <w:bidi/>
      </w:pPr>
      <w:r>
        <w:rPr>
          <w:rFonts w:ascii="Arial" w:hAnsi="Arial" w:eastAsia="Arial"/>
          <w:sz w:val="21"/>
        </w:rPr>
        <w:t>طلب شراء/احتياج → إنشاء مناقصة → إعداد BOQ → مراجعة داخلية → اعتماد النشر → دعوة الموردين → استلام عروض مختومة → إغلاق تلقائي → فتح العروض بصلاحية لجنة → فحص الامتثال → تقييم فني → تقييم مالي → تحليل المخاطر → توصية → اعتماد الترسية → عقد/PO → استلام → فاتورة مورد → دفع → تقييم المورد → إغلاق المناقصة.</w:t>
      </w:r>
    </w:p>
    <w:p>
      <w:pPr>
        <w:spacing w:after="60" w:line="259" w:lineRule="auto"/>
        <w:jc w:val="right"/>
        <w:bidi/>
      </w:pPr>
      <w:r>
        <w:rPr>
          <w:rFonts w:ascii="Arial" w:hAnsi="Arial" w:eastAsia="Arial"/>
          <w:sz w:val="21"/>
        </w:rPr>
        <w:t>يجب أن يدعم النظام مسارات بديلة: مناقصة عامة، مناقصة محدودة، RFQ سريع، إعادة طرح، تمديد موعد، انسحاب مورد، استبعاد عرض، إلغاء، ترسية جزئية على أكثر من مورد.</w:t>
      </w:r>
    </w:p>
    <w:p>
      <w:pPr>
        <w:jc w:val="right"/>
        <w:bidi/>
      </w:pPr>
      <w:r>
        <w:rPr>
          <w:rFonts w:ascii="Arial" w:hAnsi="Arial" w:eastAsia="Arial"/>
          <w:b/>
          <w:color w:val="114637"/>
          <w:sz w:val="36"/>
        </w:rPr>
        <w:t>5. محرك الحسابات والتفقيط</w:t>
      </w:r>
    </w:p>
    <w:tbl>
      <w:tblPr>
        <w:tblStyle w:val="TableGrid"/>
        <w:tblW w:type="auto" w:w="0"/>
        <w:jc w:val="center"/>
        <w:tblLook w:firstColumn="1" w:firstRow="1" w:lastColumn="0" w:lastRow="0" w:noHBand="0" w:noVBand="1" w:val="04A0"/>
      </w:tblPr>
      <w:tblGrid>
        <w:gridCol w:w="5328"/>
        <w:gridCol w:w="5328"/>
      </w:tblGrid>
      <w:tr>
        <w:tc>
          <w:tcPr>
            <w:tcW w:type="dxa" w:w="3024"/>
            <w:vAlign w:val="center"/>
            <w:shd w:fill="176B55"/>
          </w:tcPr>
          <w:p>
            <w:pPr>
              <w:jc w:val="center"/>
              <w:bidi/>
            </w:pPr>
            <w:r/>
            <w:r>
              <w:rPr>
                <w:rFonts w:ascii="Arial" w:hAnsi="Arial" w:eastAsia="Arial"/>
                <w:b/>
                <w:color w:val="FFFFFF"/>
                <w:sz w:val="17"/>
              </w:rPr>
              <w:t>المعادلة</w:t>
            </w:r>
          </w:p>
        </w:tc>
        <w:tc>
          <w:tcPr>
            <w:tcW w:type="dxa" w:w="7344"/>
            <w:vAlign w:val="center"/>
            <w:shd w:fill="176B55"/>
          </w:tcPr>
          <w:p>
            <w:pPr>
              <w:jc w:val="center"/>
              <w:bidi/>
            </w:pPr>
            <w:r/>
            <w:r>
              <w:rPr>
                <w:rFonts w:ascii="Arial" w:hAnsi="Arial" w:eastAsia="Arial"/>
                <w:b/>
                <w:color w:val="FFFFFF"/>
                <w:sz w:val="17"/>
              </w:rPr>
              <w:t>التعريف</w:t>
            </w:r>
          </w:p>
        </w:tc>
      </w:tr>
      <w:tr>
        <w:tc>
          <w:tcPr>
            <w:tcW w:type="dxa" w:w="3024"/>
            <w:vAlign w:val="center"/>
            <w:shd w:fill="F2F7F4"/>
          </w:tcPr>
          <w:p>
            <w:pPr>
              <w:jc w:val="right"/>
              <w:bidi/>
            </w:pPr>
            <w:r/>
            <w:r>
              <w:rPr>
                <w:rFonts w:ascii="Arial" w:hAnsi="Arial" w:eastAsia="Arial"/>
                <w:b w:val="0"/>
                <w:sz w:val="17"/>
              </w:rPr>
              <w:t>Line Subtotal</w:t>
            </w:r>
          </w:p>
        </w:tc>
        <w:tc>
          <w:tcPr>
            <w:tcW w:type="dxa" w:w="7344"/>
            <w:vAlign w:val="center"/>
            <w:shd w:fill="F2F7F4"/>
          </w:tcPr>
          <w:p>
            <w:pPr>
              <w:jc w:val="right"/>
              <w:bidi/>
            </w:pPr>
            <w:r/>
            <w:r>
              <w:rPr>
                <w:rFonts w:ascii="Arial" w:hAnsi="Arial" w:eastAsia="Arial"/>
                <w:b w:val="0"/>
                <w:sz w:val="17"/>
              </w:rPr>
              <w:t>Quantity × Unit Price</w:t>
            </w:r>
          </w:p>
        </w:tc>
      </w:tr>
      <w:tr>
        <w:tc>
          <w:tcPr>
            <w:tcW w:type="dxa" w:w="3024"/>
            <w:vAlign w:val="center"/>
          </w:tcPr>
          <w:p>
            <w:pPr>
              <w:jc w:val="right"/>
              <w:bidi/>
            </w:pPr>
            <w:r/>
            <w:r>
              <w:rPr>
                <w:rFonts w:ascii="Arial" w:hAnsi="Arial" w:eastAsia="Arial"/>
                <w:b w:val="0"/>
                <w:sz w:val="17"/>
              </w:rPr>
              <w:t>Discounted Subtotal</w:t>
            </w:r>
          </w:p>
        </w:tc>
        <w:tc>
          <w:tcPr>
            <w:tcW w:type="dxa" w:w="7344"/>
            <w:vAlign w:val="center"/>
          </w:tcPr>
          <w:p>
            <w:pPr>
              <w:jc w:val="right"/>
              <w:bidi/>
            </w:pPr>
            <w:r/>
            <w:r>
              <w:rPr>
                <w:rFonts w:ascii="Arial" w:hAnsi="Arial" w:eastAsia="Arial"/>
                <w:b w:val="0"/>
                <w:sz w:val="17"/>
              </w:rPr>
              <w:t>Subtotal − Discount</w:t>
            </w:r>
          </w:p>
        </w:tc>
      </w:tr>
      <w:tr>
        <w:tc>
          <w:tcPr>
            <w:tcW w:type="dxa" w:w="3024"/>
            <w:vAlign w:val="center"/>
            <w:shd w:fill="F2F7F4"/>
          </w:tcPr>
          <w:p>
            <w:pPr>
              <w:jc w:val="right"/>
              <w:bidi/>
            </w:pPr>
            <w:r/>
            <w:r>
              <w:rPr>
                <w:rFonts w:ascii="Arial" w:hAnsi="Arial" w:eastAsia="Arial"/>
                <w:b w:val="0"/>
                <w:sz w:val="17"/>
              </w:rPr>
              <w:t>VAT Amount</w:t>
            </w:r>
          </w:p>
        </w:tc>
        <w:tc>
          <w:tcPr>
            <w:tcW w:type="dxa" w:w="7344"/>
            <w:vAlign w:val="center"/>
            <w:shd w:fill="F2F7F4"/>
          </w:tcPr>
          <w:p>
            <w:pPr>
              <w:jc w:val="right"/>
              <w:bidi/>
            </w:pPr>
            <w:r/>
            <w:r>
              <w:rPr>
                <w:rFonts w:ascii="Arial" w:hAnsi="Arial" w:eastAsia="Arial"/>
                <w:b w:val="0"/>
                <w:sz w:val="17"/>
              </w:rPr>
              <w:t>Taxable Amount × VAT Rate</w:t>
            </w:r>
          </w:p>
        </w:tc>
      </w:tr>
      <w:tr>
        <w:tc>
          <w:tcPr>
            <w:tcW w:type="dxa" w:w="3024"/>
            <w:vAlign w:val="center"/>
          </w:tcPr>
          <w:p>
            <w:pPr>
              <w:jc w:val="right"/>
              <w:bidi/>
            </w:pPr>
            <w:r/>
            <w:r>
              <w:rPr>
                <w:rFonts w:ascii="Arial" w:hAnsi="Arial" w:eastAsia="Arial"/>
                <w:b w:val="0"/>
                <w:sz w:val="17"/>
              </w:rPr>
              <w:t>Line Total</w:t>
            </w:r>
          </w:p>
        </w:tc>
        <w:tc>
          <w:tcPr>
            <w:tcW w:type="dxa" w:w="7344"/>
            <w:vAlign w:val="center"/>
          </w:tcPr>
          <w:p>
            <w:pPr>
              <w:jc w:val="right"/>
              <w:bidi/>
            </w:pPr>
            <w:r/>
            <w:r>
              <w:rPr>
                <w:rFonts w:ascii="Arial" w:hAnsi="Arial" w:eastAsia="Arial"/>
                <w:b w:val="0"/>
                <w:sz w:val="17"/>
              </w:rPr>
              <w:t>Taxable Amount + VAT</w:t>
            </w:r>
          </w:p>
        </w:tc>
      </w:tr>
      <w:tr>
        <w:tc>
          <w:tcPr>
            <w:tcW w:type="dxa" w:w="3024"/>
            <w:vAlign w:val="center"/>
            <w:shd w:fill="F2F7F4"/>
          </w:tcPr>
          <w:p>
            <w:pPr>
              <w:jc w:val="right"/>
              <w:bidi/>
            </w:pPr>
            <w:r/>
            <w:r>
              <w:rPr>
                <w:rFonts w:ascii="Arial" w:hAnsi="Arial" w:eastAsia="Arial"/>
                <w:b w:val="0"/>
                <w:sz w:val="17"/>
              </w:rPr>
              <w:t>Tender Subtotal</w:t>
            </w:r>
          </w:p>
        </w:tc>
        <w:tc>
          <w:tcPr>
            <w:tcW w:type="dxa" w:w="7344"/>
            <w:vAlign w:val="center"/>
            <w:shd w:fill="F2F7F4"/>
          </w:tcPr>
          <w:p>
            <w:pPr>
              <w:jc w:val="right"/>
              <w:bidi/>
            </w:pPr>
            <w:r/>
            <w:r>
              <w:rPr>
                <w:rFonts w:ascii="Arial" w:hAnsi="Arial" w:eastAsia="Arial"/>
                <w:b w:val="0"/>
                <w:sz w:val="17"/>
              </w:rPr>
              <w:t>SUM(Line Subtotal)</w:t>
            </w:r>
          </w:p>
        </w:tc>
      </w:tr>
      <w:tr>
        <w:tc>
          <w:tcPr>
            <w:tcW w:type="dxa" w:w="3024"/>
            <w:vAlign w:val="center"/>
          </w:tcPr>
          <w:p>
            <w:pPr>
              <w:jc w:val="right"/>
              <w:bidi/>
            </w:pPr>
            <w:r/>
            <w:r>
              <w:rPr>
                <w:rFonts w:ascii="Arial" w:hAnsi="Arial" w:eastAsia="Arial"/>
                <w:b w:val="0"/>
                <w:sz w:val="17"/>
              </w:rPr>
              <w:t>Tender VAT</w:t>
            </w:r>
          </w:p>
        </w:tc>
        <w:tc>
          <w:tcPr>
            <w:tcW w:type="dxa" w:w="7344"/>
            <w:vAlign w:val="center"/>
          </w:tcPr>
          <w:p>
            <w:pPr>
              <w:jc w:val="right"/>
              <w:bidi/>
            </w:pPr>
            <w:r/>
            <w:r>
              <w:rPr>
                <w:rFonts w:ascii="Arial" w:hAnsi="Arial" w:eastAsia="Arial"/>
                <w:b w:val="0"/>
                <w:sz w:val="17"/>
              </w:rPr>
              <w:t>SUM(Line VAT)</w:t>
            </w:r>
          </w:p>
        </w:tc>
      </w:tr>
      <w:tr>
        <w:tc>
          <w:tcPr>
            <w:tcW w:type="dxa" w:w="3024"/>
            <w:vAlign w:val="center"/>
            <w:shd w:fill="F2F7F4"/>
          </w:tcPr>
          <w:p>
            <w:pPr>
              <w:jc w:val="right"/>
              <w:bidi/>
            </w:pPr>
            <w:r/>
            <w:r>
              <w:rPr>
                <w:rFonts w:ascii="Arial" w:hAnsi="Arial" w:eastAsia="Arial"/>
                <w:b w:val="0"/>
                <w:sz w:val="17"/>
              </w:rPr>
              <w:t>Grand Total</w:t>
            </w:r>
          </w:p>
        </w:tc>
        <w:tc>
          <w:tcPr>
            <w:tcW w:type="dxa" w:w="7344"/>
            <w:vAlign w:val="center"/>
            <w:shd w:fill="F2F7F4"/>
          </w:tcPr>
          <w:p>
            <w:pPr>
              <w:jc w:val="right"/>
              <w:bidi/>
            </w:pPr>
            <w:r/>
            <w:r>
              <w:rPr>
                <w:rFonts w:ascii="Arial" w:hAnsi="Arial" w:eastAsia="Arial"/>
                <w:b w:val="0"/>
                <w:sz w:val="17"/>
              </w:rPr>
              <w:t>Subtotal + VAT + Other Charges − Discounts</w:t>
            </w:r>
          </w:p>
        </w:tc>
      </w:tr>
      <w:tr>
        <w:tc>
          <w:tcPr>
            <w:tcW w:type="dxa" w:w="3024"/>
            <w:vAlign w:val="center"/>
          </w:tcPr>
          <w:p>
            <w:pPr>
              <w:jc w:val="right"/>
              <w:bidi/>
            </w:pPr>
            <w:r/>
            <w:r>
              <w:rPr>
                <w:rFonts w:ascii="Arial" w:hAnsi="Arial" w:eastAsia="Arial"/>
                <w:b w:val="0"/>
                <w:sz w:val="17"/>
              </w:rPr>
              <w:t>Savings</w:t>
            </w:r>
          </w:p>
        </w:tc>
        <w:tc>
          <w:tcPr>
            <w:tcW w:type="dxa" w:w="7344"/>
            <w:vAlign w:val="center"/>
          </w:tcPr>
          <w:p>
            <w:pPr>
              <w:jc w:val="right"/>
              <w:bidi/>
            </w:pPr>
            <w:r/>
            <w:r>
              <w:rPr>
                <w:rFonts w:ascii="Arial" w:hAnsi="Arial" w:eastAsia="Arial"/>
                <w:b w:val="0"/>
                <w:sz w:val="17"/>
              </w:rPr>
              <w:t>Approved Budget − Award Value</w:t>
            </w:r>
          </w:p>
        </w:tc>
      </w:tr>
      <w:tr>
        <w:tc>
          <w:tcPr>
            <w:tcW w:type="dxa" w:w="3024"/>
            <w:vAlign w:val="center"/>
            <w:shd w:fill="F2F7F4"/>
          </w:tcPr>
          <w:p>
            <w:pPr>
              <w:jc w:val="right"/>
              <w:bidi/>
            </w:pPr>
            <w:r/>
            <w:r>
              <w:rPr>
                <w:rFonts w:ascii="Arial" w:hAnsi="Arial" w:eastAsia="Arial"/>
                <w:b w:val="0"/>
                <w:sz w:val="17"/>
              </w:rPr>
              <w:t>Savings %</w:t>
            </w:r>
          </w:p>
        </w:tc>
        <w:tc>
          <w:tcPr>
            <w:tcW w:type="dxa" w:w="7344"/>
            <w:vAlign w:val="center"/>
            <w:shd w:fill="F2F7F4"/>
          </w:tcPr>
          <w:p>
            <w:pPr>
              <w:jc w:val="right"/>
              <w:bidi/>
            </w:pPr>
            <w:r/>
            <w:r>
              <w:rPr>
                <w:rFonts w:ascii="Arial" w:hAnsi="Arial" w:eastAsia="Arial"/>
                <w:b w:val="0"/>
                <w:sz w:val="17"/>
              </w:rPr>
              <w:t>Savings ÷ Approved Budget × 100</w:t>
            </w:r>
          </w:p>
        </w:tc>
      </w:tr>
    </w:tbl>
    <w:p>
      <w:pPr>
        <w:spacing w:after="40"/>
      </w:pPr>
    </w:p>
    <w:p>
      <w:pPr>
        <w:spacing w:after="60" w:line="259" w:lineRule="auto"/>
        <w:jc w:val="right"/>
        <w:bidi/>
      </w:pPr>
      <w:r>
        <w:rPr>
          <w:rFonts w:ascii="Arial" w:hAnsi="Arial" w:eastAsia="Arial"/>
          <w:sz w:val="21"/>
        </w:rPr>
        <w:t>التفقيط يجب أن يكون خدمة مركزية تدعم الريال والهللة، العملات الأخرى، الصفر، الكسور، الأرقام الكبيرة، وصيغ مثل «فقط ... ريالاً سعودياً ... هللة لا غير». ويجب عدم الاعتماد على VBA داخل النظام.</w:t>
      </w:r>
    </w:p>
    <w:p>
      <w:pPr>
        <w:jc w:val="right"/>
        <w:bidi/>
      </w:pPr>
      <w:r>
        <w:rPr>
          <w:rFonts w:ascii="Arial" w:hAnsi="Arial" w:eastAsia="Arial"/>
          <w:b/>
          <w:color w:val="114637"/>
          <w:sz w:val="36"/>
        </w:rPr>
        <w:t>6. بوابة المورد Supplier Portal</w:t>
      </w:r>
    </w:p>
    <w:p>
      <w:pPr>
        <w:spacing w:after="40"/>
        <w:ind w:left="216"/>
        <w:jc w:val="right"/>
        <w:bidi/>
      </w:pPr>
      <w:r>
        <w:rPr>
          <w:rFonts w:ascii="Arial" w:hAnsi="Arial" w:eastAsia="Arial"/>
          <w:sz w:val="20"/>
        </w:rPr>
        <w:t>• عرض المناقصات المدعو إليها فقط، مع NDA أو إقرار قبل فتح المستندات عند الحاجة.</w:t>
      </w:r>
    </w:p>
    <w:p>
      <w:pPr>
        <w:spacing w:after="40"/>
        <w:ind w:left="216"/>
        <w:jc w:val="right"/>
        <w:bidi/>
      </w:pPr>
      <w:r>
        <w:rPr>
          <w:rFonts w:ascii="Arial" w:hAnsi="Arial" w:eastAsia="Arial"/>
          <w:sz w:val="20"/>
        </w:rPr>
        <w:t>• تنزيل وثائق المنافسة وطرح الاستفسارات واستلام الإجابات الرسمية.</w:t>
      </w:r>
    </w:p>
    <w:p>
      <w:pPr>
        <w:spacing w:after="40"/>
        <w:ind w:left="216"/>
        <w:jc w:val="right"/>
        <w:bidi/>
      </w:pPr>
      <w:r>
        <w:rPr>
          <w:rFonts w:ascii="Arial" w:hAnsi="Arial" w:eastAsia="Arial"/>
          <w:sz w:val="20"/>
        </w:rPr>
        <w:t>• إدخال سعر كل بند، العلامة التجارية، بلد المنشأ، البديل، مدة التوريد، الضمان والملاحظات.</w:t>
      </w:r>
    </w:p>
    <w:p>
      <w:pPr>
        <w:spacing w:after="40"/>
        <w:ind w:left="216"/>
        <w:jc w:val="right"/>
        <w:bidi/>
      </w:pPr>
      <w:r>
        <w:rPr>
          <w:rFonts w:ascii="Arial" w:hAnsi="Arial" w:eastAsia="Arial"/>
          <w:sz w:val="20"/>
        </w:rPr>
        <w:t>• حفظ مسودة تلقائي، تحقق من البنود الناقصة، معاينة نهائية قبل الإرسال.</w:t>
      </w:r>
    </w:p>
    <w:p>
      <w:pPr>
        <w:spacing w:after="40"/>
        <w:ind w:left="216"/>
        <w:jc w:val="right"/>
        <w:bidi/>
      </w:pPr>
      <w:r>
        <w:rPr>
          <w:rFonts w:ascii="Arial" w:hAnsi="Arial" w:eastAsia="Arial"/>
          <w:sz w:val="20"/>
        </w:rPr>
        <w:t>• رفع العرض الفني والمالي والمستندات والشهادات.</w:t>
      </w:r>
    </w:p>
    <w:p>
      <w:pPr>
        <w:spacing w:after="40"/>
        <w:ind w:left="216"/>
        <w:jc w:val="right"/>
        <w:bidi/>
      </w:pPr>
      <w:r>
        <w:rPr>
          <w:rFonts w:ascii="Arial" w:hAnsi="Arial" w:eastAsia="Arial"/>
          <w:sz w:val="20"/>
        </w:rPr>
        <w:t>• Sealed Bid: إخفاء الأسعار حتى موعد الفتح وعدم السماح بالتعديل بعد الإغلاق.</w:t>
      </w:r>
    </w:p>
    <w:p>
      <w:pPr>
        <w:spacing w:after="40"/>
        <w:ind w:left="216"/>
        <w:jc w:val="right"/>
        <w:bidi/>
      </w:pPr>
      <w:r>
        <w:rPr>
          <w:rFonts w:ascii="Arial" w:hAnsi="Arial" w:eastAsia="Arial"/>
          <w:sz w:val="20"/>
        </w:rPr>
        <w:t>• سجل إرسال موثق: التاريخ، المستخدم، النسخة، Hash للمرفقات، حالة العرض.</w:t>
      </w:r>
    </w:p>
    <w:p>
      <w:pPr>
        <w:spacing w:after="40"/>
        <w:ind w:left="216"/>
        <w:jc w:val="right"/>
        <w:bidi/>
      </w:pPr>
      <w:r>
        <w:rPr>
          <w:rFonts w:ascii="Arial" w:hAnsi="Arial" w:eastAsia="Arial"/>
          <w:sz w:val="20"/>
        </w:rPr>
        <w:t>• إشعارات الدعوة، التذكير، التمديد، الاستفسارات، النتيجة والترسية.</w:t>
      </w:r>
    </w:p>
    <w:p>
      <w:pPr>
        <w:jc w:val="right"/>
        <w:bidi/>
      </w:pPr>
      <w:r>
        <w:rPr>
          <w:rFonts w:ascii="Arial" w:hAnsi="Arial" w:eastAsia="Arial"/>
          <w:b/>
          <w:color w:val="114637"/>
          <w:sz w:val="36"/>
        </w:rPr>
        <w:t>7. التحليلات والمؤشرات التنفيذية</w:t>
      </w:r>
    </w:p>
    <w:p>
      <w:pPr>
        <w:spacing w:after="60" w:line="259" w:lineRule="auto"/>
        <w:jc w:val="right"/>
        <w:bidi/>
      </w:pPr>
      <w:r>
        <w:rPr>
          <w:rFonts w:ascii="Arial" w:hAnsi="Arial" w:eastAsia="Arial"/>
          <w:sz w:val="21"/>
        </w:rPr>
        <w:t>تكون لوحة التحليلات طبقة مستقلة فوق بيانات المناقصات والمشتريات والعقود والموردين، مع فلاتر الشركة والفرع والإدارة والفئة والمورد والفترة وحالة المناقصة.</w:t>
      </w:r>
    </w:p>
    <w:p>
      <w:pPr>
        <w:jc w:val="right"/>
        <w:bidi/>
      </w:pPr>
      <w:r>
        <w:rPr>
          <w:rFonts w:ascii="Arial" w:hAnsi="Arial" w:eastAsia="Arial"/>
          <w:b/>
          <w:color w:val="114637"/>
          <w:sz w:val="28"/>
        </w:rPr>
        <w:t>7.1 مؤشرات المناقصات الأساسية</w:t>
      </w:r>
    </w:p>
    <w:tbl>
      <w:tblPr>
        <w:tblStyle w:val="TableGrid"/>
        <w:tblW w:type="auto" w:w="0"/>
        <w:jc w:val="center"/>
        <w:tblLook w:firstColumn="1" w:firstRow="1" w:lastColumn="0" w:lastRow="0" w:noHBand="0" w:noVBand="1" w:val="04A0"/>
      </w:tblPr>
      <w:tblGrid>
        <w:gridCol w:w="5328"/>
        <w:gridCol w:w="5328"/>
      </w:tblGrid>
      <w:tr>
        <w:tc>
          <w:tcPr>
            <w:tcW w:type="dxa" w:w="3312"/>
            <w:vAlign w:val="center"/>
            <w:shd w:fill="176B55"/>
          </w:tcPr>
          <w:p>
            <w:pPr>
              <w:jc w:val="center"/>
              <w:bidi/>
            </w:pPr>
            <w:r/>
            <w:r>
              <w:rPr>
                <w:rFonts w:ascii="Arial" w:hAnsi="Arial" w:eastAsia="Arial"/>
                <w:b/>
                <w:color w:val="FFFFFF"/>
                <w:sz w:val="16"/>
              </w:rPr>
              <w:t>المؤشر</w:t>
            </w:r>
          </w:p>
        </w:tc>
        <w:tc>
          <w:tcPr>
            <w:tcW w:type="dxa" w:w="7056"/>
            <w:vAlign w:val="center"/>
            <w:shd w:fill="176B55"/>
          </w:tcPr>
          <w:p>
            <w:pPr>
              <w:jc w:val="center"/>
              <w:bidi/>
            </w:pPr>
            <w:r/>
            <w:r>
              <w:rPr>
                <w:rFonts w:ascii="Arial" w:hAnsi="Arial" w:eastAsia="Arial"/>
                <w:b/>
                <w:color w:val="FFFFFF"/>
                <w:sz w:val="16"/>
              </w:rPr>
              <w:t>طريقة القياس / الاستخدام</w:t>
            </w:r>
          </w:p>
        </w:tc>
      </w:tr>
      <w:tr>
        <w:tc>
          <w:tcPr>
            <w:tcW w:type="dxa" w:w="3312"/>
            <w:vAlign w:val="center"/>
            <w:shd w:fill="F2F7F4"/>
          </w:tcPr>
          <w:p>
            <w:pPr>
              <w:jc w:val="right"/>
              <w:bidi/>
            </w:pPr>
            <w:r/>
            <w:r>
              <w:rPr>
                <w:rFonts w:ascii="Arial" w:hAnsi="Arial" w:eastAsia="Arial"/>
                <w:b w:val="0"/>
                <w:sz w:val="16"/>
              </w:rPr>
              <w:t>Active Tenders</w:t>
            </w:r>
          </w:p>
        </w:tc>
        <w:tc>
          <w:tcPr>
            <w:tcW w:type="dxa" w:w="7056"/>
            <w:vAlign w:val="center"/>
            <w:shd w:fill="F2F7F4"/>
          </w:tcPr>
          <w:p>
            <w:pPr>
              <w:jc w:val="right"/>
              <w:bidi/>
            </w:pPr>
            <w:r/>
            <w:r>
              <w:rPr>
                <w:rFonts w:ascii="Arial" w:hAnsi="Arial" w:eastAsia="Arial"/>
                <w:b w:val="0"/>
                <w:sz w:val="16"/>
              </w:rPr>
              <w:t>عدد المناقصات المفتوحة حالياً.</w:t>
            </w:r>
          </w:p>
        </w:tc>
      </w:tr>
      <w:tr>
        <w:tc>
          <w:tcPr>
            <w:tcW w:type="dxa" w:w="3312"/>
            <w:vAlign w:val="center"/>
          </w:tcPr>
          <w:p>
            <w:pPr>
              <w:jc w:val="right"/>
              <w:bidi/>
            </w:pPr>
            <w:r/>
            <w:r>
              <w:rPr>
                <w:rFonts w:ascii="Arial" w:hAnsi="Arial" w:eastAsia="Arial"/>
                <w:b w:val="0"/>
                <w:sz w:val="16"/>
              </w:rPr>
              <w:t>Closing Soon</w:t>
            </w:r>
          </w:p>
        </w:tc>
        <w:tc>
          <w:tcPr>
            <w:tcW w:type="dxa" w:w="7056"/>
            <w:vAlign w:val="center"/>
          </w:tcPr>
          <w:p>
            <w:pPr>
              <w:jc w:val="right"/>
              <w:bidi/>
            </w:pPr>
            <w:r/>
            <w:r>
              <w:rPr>
                <w:rFonts w:ascii="Arial" w:hAnsi="Arial" w:eastAsia="Arial"/>
                <w:b w:val="0"/>
                <w:sz w:val="16"/>
              </w:rPr>
              <w:t>المناقصات التي تغلق خلال X أيام.</w:t>
            </w:r>
          </w:p>
        </w:tc>
      </w:tr>
      <w:tr>
        <w:tc>
          <w:tcPr>
            <w:tcW w:type="dxa" w:w="3312"/>
            <w:vAlign w:val="center"/>
            <w:shd w:fill="F2F7F4"/>
          </w:tcPr>
          <w:p>
            <w:pPr>
              <w:jc w:val="right"/>
              <w:bidi/>
            </w:pPr>
            <w:r/>
            <w:r>
              <w:rPr>
                <w:rFonts w:ascii="Arial" w:hAnsi="Arial" w:eastAsia="Arial"/>
                <w:b w:val="0"/>
                <w:sz w:val="16"/>
              </w:rPr>
              <w:t>Pending Evaluation</w:t>
            </w:r>
          </w:p>
        </w:tc>
        <w:tc>
          <w:tcPr>
            <w:tcW w:type="dxa" w:w="7056"/>
            <w:vAlign w:val="center"/>
            <w:shd w:fill="F2F7F4"/>
          </w:tcPr>
          <w:p>
            <w:pPr>
              <w:jc w:val="right"/>
              <w:bidi/>
            </w:pPr>
            <w:r/>
            <w:r>
              <w:rPr>
                <w:rFonts w:ascii="Arial" w:hAnsi="Arial" w:eastAsia="Arial"/>
                <w:b w:val="0"/>
                <w:sz w:val="16"/>
              </w:rPr>
              <w:t>عروض تنتظر الفني/المالي.</w:t>
            </w:r>
          </w:p>
        </w:tc>
      </w:tr>
      <w:tr>
        <w:tc>
          <w:tcPr>
            <w:tcW w:type="dxa" w:w="3312"/>
            <w:vAlign w:val="center"/>
          </w:tcPr>
          <w:p>
            <w:pPr>
              <w:jc w:val="right"/>
              <w:bidi/>
            </w:pPr>
            <w:r/>
            <w:r>
              <w:rPr>
                <w:rFonts w:ascii="Arial" w:hAnsi="Arial" w:eastAsia="Arial"/>
                <w:b w:val="0"/>
                <w:sz w:val="16"/>
              </w:rPr>
              <w:t>Pending Approval</w:t>
            </w:r>
          </w:p>
        </w:tc>
        <w:tc>
          <w:tcPr>
            <w:tcW w:type="dxa" w:w="7056"/>
            <w:vAlign w:val="center"/>
          </w:tcPr>
          <w:p>
            <w:pPr>
              <w:jc w:val="right"/>
              <w:bidi/>
            </w:pPr>
            <w:r/>
            <w:r>
              <w:rPr>
                <w:rFonts w:ascii="Arial" w:hAnsi="Arial" w:eastAsia="Arial"/>
                <w:b w:val="0"/>
                <w:sz w:val="16"/>
              </w:rPr>
              <w:t>ترسيات أو قرارات متوقفة عند الاعتماد.</w:t>
            </w:r>
          </w:p>
        </w:tc>
      </w:tr>
      <w:tr>
        <w:tc>
          <w:tcPr>
            <w:tcW w:type="dxa" w:w="3312"/>
            <w:vAlign w:val="center"/>
            <w:shd w:fill="F2F7F4"/>
          </w:tcPr>
          <w:p>
            <w:pPr>
              <w:jc w:val="right"/>
              <w:bidi/>
            </w:pPr>
            <w:r/>
            <w:r>
              <w:rPr>
                <w:rFonts w:ascii="Arial" w:hAnsi="Arial" w:eastAsia="Arial"/>
                <w:b w:val="0"/>
                <w:sz w:val="16"/>
              </w:rPr>
              <w:t>Awarded Value</w:t>
            </w:r>
          </w:p>
        </w:tc>
        <w:tc>
          <w:tcPr>
            <w:tcW w:type="dxa" w:w="7056"/>
            <w:vAlign w:val="center"/>
            <w:shd w:fill="F2F7F4"/>
          </w:tcPr>
          <w:p>
            <w:pPr>
              <w:jc w:val="right"/>
              <w:bidi/>
            </w:pPr>
            <w:r/>
            <w:r>
              <w:rPr>
                <w:rFonts w:ascii="Arial" w:hAnsi="Arial" w:eastAsia="Arial"/>
                <w:b w:val="0"/>
                <w:sz w:val="16"/>
              </w:rPr>
              <w:t>إجمالي قيمة المناقصات المرسّاة.</w:t>
            </w:r>
          </w:p>
        </w:tc>
      </w:tr>
      <w:tr>
        <w:tc>
          <w:tcPr>
            <w:tcW w:type="dxa" w:w="3312"/>
            <w:vAlign w:val="center"/>
          </w:tcPr>
          <w:p>
            <w:pPr>
              <w:jc w:val="right"/>
              <w:bidi/>
            </w:pPr>
            <w:r/>
            <w:r>
              <w:rPr>
                <w:rFonts w:ascii="Arial" w:hAnsi="Arial" w:eastAsia="Arial"/>
                <w:b w:val="0"/>
                <w:sz w:val="16"/>
              </w:rPr>
              <w:t>Tender Pipeline</w:t>
            </w:r>
          </w:p>
        </w:tc>
        <w:tc>
          <w:tcPr>
            <w:tcW w:type="dxa" w:w="7056"/>
            <w:vAlign w:val="center"/>
          </w:tcPr>
          <w:p>
            <w:pPr>
              <w:jc w:val="right"/>
              <w:bidi/>
            </w:pPr>
            <w:r/>
            <w:r>
              <w:rPr>
                <w:rFonts w:ascii="Arial" w:hAnsi="Arial" w:eastAsia="Arial"/>
                <w:b w:val="0"/>
                <w:sz w:val="16"/>
              </w:rPr>
              <w:t>قيمة المناقصات حسب Draft/Open/Evaluation/Award.</w:t>
            </w:r>
          </w:p>
        </w:tc>
      </w:tr>
      <w:tr>
        <w:tc>
          <w:tcPr>
            <w:tcW w:type="dxa" w:w="3312"/>
            <w:vAlign w:val="center"/>
            <w:shd w:fill="F2F7F4"/>
          </w:tcPr>
          <w:p>
            <w:pPr>
              <w:jc w:val="right"/>
              <w:bidi/>
            </w:pPr>
            <w:r/>
            <w:r>
              <w:rPr>
                <w:rFonts w:ascii="Arial" w:hAnsi="Arial" w:eastAsia="Arial"/>
                <w:b w:val="0"/>
                <w:sz w:val="16"/>
              </w:rPr>
              <w:t>Average Tender Cycle Time</w:t>
            </w:r>
          </w:p>
        </w:tc>
        <w:tc>
          <w:tcPr>
            <w:tcW w:type="dxa" w:w="7056"/>
            <w:vAlign w:val="center"/>
            <w:shd w:fill="F2F7F4"/>
          </w:tcPr>
          <w:p>
            <w:pPr>
              <w:jc w:val="right"/>
              <w:bidi/>
            </w:pPr>
            <w:r/>
            <w:r>
              <w:rPr>
                <w:rFonts w:ascii="Arial" w:hAnsi="Arial" w:eastAsia="Arial"/>
                <w:b w:val="0"/>
                <w:sz w:val="16"/>
              </w:rPr>
              <w:t>متوسط الأيام من الإنشاء حتى الترسية.</w:t>
            </w:r>
          </w:p>
        </w:tc>
      </w:tr>
      <w:tr>
        <w:tc>
          <w:tcPr>
            <w:tcW w:type="dxa" w:w="3312"/>
            <w:vAlign w:val="center"/>
          </w:tcPr>
          <w:p>
            <w:pPr>
              <w:jc w:val="right"/>
              <w:bidi/>
            </w:pPr>
            <w:r/>
            <w:r>
              <w:rPr>
                <w:rFonts w:ascii="Arial" w:hAnsi="Arial" w:eastAsia="Arial"/>
                <w:b w:val="0"/>
                <w:sz w:val="16"/>
              </w:rPr>
              <w:t>Bid Participation Rate</w:t>
            </w:r>
          </w:p>
        </w:tc>
        <w:tc>
          <w:tcPr>
            <w:tcW w:type="dxa" w:w="7056"/>
            <w:vAlign w:val="center"/>
          </w:tcPr>
          <w:p>
            <w:pPr>
              <w:jc w:val="right"/>
              <w:bidi/>
            </w:pPr>
            <w:r/>
            <w:r>
              <w:rPr>
                <w:rFonts w:ascii="Arial" w:hAnsi="Arial" w:eastAsia="Arial"/>
                <w:b w:val="0"/>
                <w:sz w:val="16"/>
              </w:rPr>
              <w:t>عدد الموردين الذين قدموا ÷ المدعوين.</w:t>
            </w:r>
          </w:p>
        </w:tc>
      </w:tr>
      <w:tr>
        <w:tc>
          <w:tcPr>
            <w:tcW w:type="dxa" w:w="3312"/>
            <w:vAlign w:val="center"/>
            <w:shd w:fill="F2F7F4"/>
          </w:tcPr>
          <w:p>
            <w:pPr>
              <w:jc w:val="right"/>
              <w:bidi/>
            </w:pPr>
            <w:r/>
            <w:r>
              <w:rPr>
                <w:rFonts w:ascii="Arial" w:hAnsi="Arial" w:eastAsia="Arial"/>
                <w:b w:val="0"/>
                <w:sz w:val="16"/>
              </w:rPr>
              <w:t>No-Bid Rate</w:t>
            </w:r>
          </w:p>
        </w:tc>
        <w:tc>
          <w:tcPr>
            <w:tcW w:type="dxa" w:w="7056"/>
            <w:vAlign w:val="center"/>
            <w:shd w:fill="F2F7F4"/>
          </w:tcPr>
          <w:p>
            <w:pPr>
              <w:jc w:val="right"/>
              <w:bidi/>
            </w:pPr>
            <w:r/>
            <w:r>
              <w:rPr>
                <w:rFonts w:ascii="Arial" w:hAnsi="Arial" w:eastAsia="Arial"/>
                <w:b w:val="0"/>
                <w:sz w:val="16"/>
              </w:rPr>
              <w:t>المدعوون الذين لم يقدموا عرضاً.</w:t>
            </w:r>
          </w:p>
        </w:tc>
      </w:tr>
      <w:tr>
        <w:tc>
          <w:tcPr>
            <w:tcW w:type="dxa" w:w="3312"/>
            <w:vAlign w:val="center"/>
          </w:tcPr>
          <w:p>
            <w:pPr>
              <w:jc w:val="right"/>
              <w:bidi/>
            </w:pPr>
            <w:r/>
            <w:r>
              <w:rPr>
                <w:rFonts w:ascii="Arial" w:hAnsi="Arial" w:eastAsia="Arial"/>
                <w:b w:val="0"/>
                <w:sz w:val="16"/>
              </w:rPr>
              <w:t>Re-Tender Rate</w:t>
            </w:r>
          </w:p>
        </w:tc>
        <w:tc>
          <w:tcPr>
            <w:tcW w:type="dxa" w:w="7056"/>
            <w:vAlign w:val="center"/>
          </w:tcPr>
          <w:p>
            <w:pPr>
              <w:jc w:val="right"/>
              <w:bidi/>
            </w:pPr>
            <w:r/>
            <w:r>
              <w:rPr>
                <w:rFonts w:ascii="Arial" w:hAnsi="Arial" w:eastAsia="Arial"/>
                <w:b w:val="0"/>
                <w:sz w:val="16"/>
              </w:rPr>
              <w:t>نسبة المناقصات المعاد طرحها.</w:t>
            </w:r>
          </w:p>
        </w:tc>
      </w:tr>
      <w:tr>
        <w:tc>
          <w:tcPr>
            <w:tcW w:type="dxa" w:w="3312"/>
            <w:vAlign w:val="center"/>
            <w:shd w:fill="F2F7F4"/>
          </w:tcPr>
          <w:p>
            <w:pPr>
              <w:jc w:val="right"/>
              <w:bidi/>
            </w:pPr>
            <w:r/>
            <w:r>
              <w:rPr>
                <w:rFonts w:ascii="Arial" w:hAnsi="Arial" w:eastAsia="Arial"/>
                <w:b w:val="0"/>
                <w:sz w:val="16"/>
              </w:rPr>
              <w:t>Cancellation Rate</w:t>
            </w:r>
          </w:p>
        </w:tc>
        <w:tc>
          <w:tcPr>
            <w:tcW w:type="dxa" w:w="7056"/>
            <w:vAlign w:val="center"/>
            <w:shd w:fill="F2F7F4"/>
          </w:tcPr>
          <w:p>
            <w:pPr>
              <w:jc w:val="right"/>
              <w:bidi/>
            </w:pPr>
            <w:r/>
            <w:r>
              <w:rPr>
                <w:rFonts w:ascii="Arial" w:hAnsi="Arial" w:eastAsia="Arial"/>
                <w:b w:val="0"/>
                <w:sz w:val="16"/>
              </w:rPr>
              <w:t>نسبة المناقصات الملغاة.</w:t>
            </w:r>
          </w:p>
        </w:tc>
      </w:tr>
      <w:tr>
        <w:tc>
          <w:tcPr>
            <w:tcW w:type="dxa" w:w="3312"/>
            <w:vAlign w:val="center"/>
          </w:tcPr>
          <w:p>
            <w:pPr>
              <w:jc w:val="right"/>
              <w:bidi/>
            </w:pPr>
            <w:r/>
            <w:r>
              <w:rPr>
                <w:rFonts w:ascii="Arial" w:hAnsi="Arial" w:eastAsia="Arial"/>
                <w:b w:val="0"/>
                <w:sz w:val="16"/>
              </w:rPr>
              <w:t>On-Time Closure</w:t>
            </w:r>
          </w:p>
        </w:tc>
        <w:tc>
          <w:tcPr>
            <w:tcW w:type="dxa" w:w="7056"/>
            <w:vAlign w:val="center"/>
          </w:tcPr>
          <w:p>
            <w:pPr>
              <w:jc w:val="right"/>
              <w:bidi/>
            </w:pPr>
            <w:r/>
            <w:r>
              <w:rPr>
                <w:rFonts w:ascii="Arial" w:hAnsi="Arial" w:eastAsia="Arial"/>
                <w:b w:val="0"/>
                <w:sz w:val="16"/>
              </w:rPr>
              <w:t>المناقصات المغلقة وفق الخطة ÷ الإجمالي.</w:t>
            </w:r>
          </w:p>
        </w:tc>
      </w:tr>
    </w:tbl>
    <w:p>
      <w:pPr>
        <w:spacing w:after="40"/>
      </w:pPr>
    </w:p>
    <w:p>
      <w:pPr>
        <w:jc w:val="right"/>
        <w:bidi/>
      </w:pPr>
      <w:r>
        <w:rPr>
          <w:rFonts w:ascii="Arial" w:hAnsi="Arial" w:eastAsia="Arial"/>
          <w:b/>
          <w:color w:val="114637"/>
          <w:sz w:val="28"/>
        </w:rPr>
        <w:t>7.2 مؤشرات الأسعار والتوفير</w:t>
      </w:r>
    </w:p>
    <w:tbl>
      <w:tblPr>
        <w:tblStyle w:val="TableGrid"/>
        <w:tblW w:type="auto" w:w="0"/>
        <w:jc w:val="center"/>
        <w:tblLook w:firstColumn="1" w:firstRow="1" w:lastColumn="0" w:lastRow="0" w:noHBand="0" w:noVBand="1" w:val="04A0"/>
      </w:tblPr>
      <w:tblGrid>
        <w:gridCol w:w="5328"/>
        <w:gridCol w:w="5328"/>
      </w:tblGrid>
      <w:tr>
        <w:tc>
          <w:tcPr>
            <w:tcW w:type="dxa" w:w="3312"/>
            <w:vAlign w:val="center"/>
            <w:shd w:fill="176B55"/>
          </w:tcPr>
          <w:p>
            <w:pPr>
              <w:jc w:val="center"/>
              <w:bidi/>
            </w:pPr>
            <w:r/>
            <w:r>
              <w:rPr>
                <w:rFonts w:ascii="Arial" w:hAnsi="Arial" w:eastAsia="Arial"/>
                <w:b/>
                <w:color w:val="FFFFFF"/>
                <w:sz w:val="16"/>
              </w:rPr>
              <w:t>المؤشر</w:t>
            </w:r>
          </w:p>
        </w:tc>
        <w:tc>
          <w:tcPr>
            <w:tcW w:type="dxa" w:w="7056"/>
            <w:vAlign w:val="center"/>
            <w:shd w:fill="176B55"/>
          </w:tcPr>
          <w:p>
            <w:pPr>
              <w:jc w:val="center"/>
              <w:bidi/>
            </w:pPr>
            <w:r/>
            <w:r>
              <w:rPr>
                <w:rFonts w:ascii="Arial" w:hAnsi="Arial" w:eastAsia="Arial"/>
                <w:b/>
                <w:color w:val="FFFFFF"/>
                <w:sz w:val="16"/>
              </w:rPr>
              <w:t>التحليل</w:t>
            </w:r>
          </w:p>
        </w:tc>
      </w:tr>
      <w:tr>
        <w:tc>
          <w:tcPr>
            <w:tcW w:type="dxa" w:w="3312"/>
            <w:vAlign w:val="center"/>
            <w:shd w:fill="F2F7F4"/>
          </w:tcPr>
          <w:p>
            <w:pPr>
              <w:jc w:val="right"/>
              <w:bidi/>
            </w:pPr>
            <w:r/>
            <w:r>
              <w:rPr>
                <w:rFonts w:ascii="Arial" w:hAnsi="Arial" w:eastAsia="Arial"/>
                <w:b w:val="0"/>
                <w:sz w:val="16"/>
              </w:rPr>
              <w:t>Budget vs Award</w:t>
            </w:r>
          </w:p>
        </w:tc>
        <w:tc>
          <w:tcPr>
            <w:tcW w:type="dxa" w:w="7056"/>
            <w:vAlign w:val="center"/>
            <w:shd w:fill="F2F7F4"/>
          </w:tcPr>
          <w:p>
            <w:pPr>
              <w:jc w:val="right"/>
              <w:bidi/>
            </w:pPr>
            <w:r/>
            <w:r>
              <w:rPr>
                <w:rFonts w:ascii="Arial" w:hAnsi="Arial" w:eastAsia="Arial"/>
                <w:b w:val="0"/>
                <w:sz w:val="16"/>
              </w:rPr>
              <w:t>الميزانية المعتمدة مقابل قيمة الترسية.</w:t>
            </w:r>
          </w:p>
        </w:tc>
      </w:tr>
      <w:tr>
        <w:tc>
          <w:tcPr>
            <w:tcW w:type="dxa" w:w="3312"/>
            <w:vAlign w:val="center"/>
          </w:tcPr>
          <w:p>
            <w:pPr>
              <w:jc w:val="right"/>
              <w:bidi/>
            </w:pPr>
            <w:r/>
            <w:r>
              <w:rPr>
                <w:rFonts w:ascii="Arial" w:hAnsi="Arial" w:eastAsia="Arial"/>
                <w:b w:val="0"/>
                <w:sz w:val="16"/>
              </w:rPr>
              <w:t>Realized Savings</w:t>
            </w:r>
          </w:p>
        </w:tc>
        <w:tc>
          <w:tcPr>
            <w:tcW w:type="dxa" w:w="7056"/>
            <w:vAlign w:val="center"/>
          </w:tcPr>
          <w:p>
            <w:pPr>
              <w:jc w:val="right"/>
              <w:bidi/>
            </w:pPr>
            <w:r/>
            <w:r>
              <w:rPr>
                <w:rFonts w:ascii="Arial" w:hAnsi="Arial" w:eastAsia="Arial"/>
                <w:b w:val="0"/>
                <w:sz w:val="16"/>
              </w:rPr>
              <w:t>الميزانية − قيمة الترسية.</w:t>
            </w:r>
          </w:p>
        </w:tc>
      </w:tr>
      <w:tr>
        <w:tc>
          <w:tcPr>
            <w:tcW w:type="dxa" w:w="3312"/>
            <w:vAlign w:val="center"/>
            <w:shd w:fill="F2F7F4"/>
          </w:tcPr>
          <w:p>
            <w:pPr>
              <w:jc w:val="right"/>
              <w:bidi/>
            </w:pPr>
            <w:r/>
            <w:r>
              <w:rPr>
                <w:rFonts w:ascii="Arial" w:hAnsi="Arial" w:eastAsia="Arial"/>
                <w:b w:val="0"/>
                <w:sz w:val="16"/>
              </w:rPr>
              <w:t>Savings %</w:t>
            </w:r>
          </w:p>
        </w:tc>
        <w:tc>
          <w:tcPr>
            <w:tcW w:type="dxa" w:w="7056"/>
            <w:vAlign w:val="center"/>
            <w:shd w:fill="F2F7F4"/>
          </w:tcPr>
          <w:p>
            <w:pPr>
              <w:jc w:val="right"/>
              <w:bidi/>
            </w:pPr>
            <w:r/>
            <w:r>
              <w:rPr>
                <w:rFonts w:ascii="Arial" w:hAnsi="Arial" w:eastAsia="Arial"/>
                <w:b w:val="0"/>
                <w:sz w:val="16"/>
              </w:rPr>
              <w:t>نسبة الوفر من الميزانية.</w:t>
            </w:r>
          </w:p>
        </w:tc>
      </w:tr>
      <w:tr>
        <w:tc>
          <w:tcPr>
            <w:tcW w:type="dxa" w:w="3312"/>
            <w:vAlign w:val="center"/>
          </w:tcPr>
          <w:p>
            <w:pPr>
              <w:jc w:val="right"/>
              <w:bidi/>
            </w:pPr>
            <w:r/>
            <w:r>
              <w:rPr>
                <w:rFonts w:ascii="Arial" w:hAnsi="Arial" w:eastAsia="Arial"/>
                <w:b w:val="0"/>
                <w:sz w:val="16"/>
              </w:rPr>
              <w:t>Price Variance</w:t>
            </w:r>
          </w:p>
        </w:tc>
        <w:tc>
          <w:tcPr>
            <w:tcW w:type="dxa" w:w="7056"/>
            <w:vAlign w:val="center"/>
          </w:tcPr>
          <w:p>
            <w:pPr>
              <w:jc w:val="right"/>
              <w:bidi/>
            </w:pPr>
            <w:r/>
            <w:r>
              <w:rPr>
                <w:rFonts w:ascii="Arial" w:hAnsi="Arial" w:eastAsia="Arial"/>
                <w:b w:val="0"/>
                <w:sz w:val="16"/>
              </w:rPr>
              <w:t>تباين أسعار الموردين لكل بند.</w:t>
            </w:r>
          </w:p>
        </w:tc>
      </w:tr>
      <w:tr>
        <w:tc>
          <w:tcPr>
            <w:tcW w:type="dxa" w:w="3312"/>
            <w:vAlign w:val="center"/>
            <w:shd w:fill="F2F7F4"/>
          </w:tcPr>
          <w:p>
            <w:pPr>
              <w:jc w:val="right"/>
              <w:bidi/>
            </w:pPr>
            <w:r/>
            <w:r>
              <w:rPr>
                <w:rFonts w:ascii="Arial" w:hAnsi="Arial" w:eastAsia="Arial"/>
                <w:b w:val="0"/>
                <w:sz w:val="16"/>
              </w:rPr>
              <w:t>Lowest/Highest Spread</w:t>
            </w:r>
          </w:p>
        </w:tc>
        <w:tc>
          <w:tcPr>
            <w:tcW w:type="dxa" w:w="7056"/>
            <w:vAlign w:val="center"/>
            <w:shd w:fill="F2F7F4"/>
          </w:tcPr>
          <w:p>
            <w:pPr>
              <w:jc w:val="right"/>
              <w:bidi/>
            </w:pPr>
            <w:r/>
            <w:r>
              <w:rPr>
                <w:rFonts w:ascii="Arial" w:hAnsi="Arial" w:eastAsia="Arial"/>
                <w:b w:val="0"/>
                <w:sz w:val="16"/>
              </w:rPr>
              <w:t>الفارق بين أقل وأعلى عرض.</w:t>
            </w:r>
          </w:p>
        </w:tc>
      </w:tr>
      <w:tr>
        <w:tc>
          <w:tcPr>
            <w:tcW w:type="dxa" w:w="3312"/>
            <w:vAlign w:val="center"/>
          </w:tcPr>
          <w:p>
            <w:pPr>
              <w:jc w:val="right"/>
              <w:bidi/>
            </w:pPr>
            <w:r/>
            <w:r>
              <w:rPr>
                <w:rFonts w:ascii="Arial" w:hAnsi="Arial" w:eastAsia="Arial"/>
                <w:b w:val="0"/>
                <w:sz w:val="16"/>
              </w:rPr>
              <w:t>Median Bid</w:t>
            </w:r>
          </w:p>
        </w:tc>
        <w:tc>
          <w:tcPr>
            <w:tcW w:type="dxa" w:w="7056"/>
            <w:vAlign w:val="center"/>
          </w:tcPr>
          <w:p>
            <w:pPr>
              <w:jc w:val="right"/>
              <w:bidi/>
            </w:pPr>
            <w:r/>
            <w:r>
              <w:rPr>
                <w:rFonts w:ascii="Arial" w:hAnsi="Arial" w:eastAsia="Arial"/>
                <w:b w:val="0"/>
                <w:sz w:val="16"/>
              </w:rPr>
              <w:t>الوسيط لتقليل أثر الأسعار الشاذة.</w:t>
            </w:r>
          </w:p>
        </w:tc>
      </w:tr>
      <w:tr>
        <w:tc>
          <w:tcPr>
            <w:tcW w:type="dxa" w:w="3312"/>
            <w:vAlign w:val="center"/>
            <w:shd w:fill="F2F7F4"/>
          </w:tcPr>
          <w:p>
            <w:pPr>
              <w:jc w:val="right"/>
              <w:bidi/>
            </w:pPr>
            <w:r/>
            <w:r>
              <w:rPr>
                <w:rFonts w:ascii="Arial" w:hAnsi="Arial" w:eastAsia="Arial"/>
                <w:b w:val="0"/>
                <w:sz w:val="16"/>
              </w:rPr>
              <w:t>Historical Price Index</w:t>
            </w:r>
          </w:p>
        </w:tc>
        <w:tc>
          <w:tcPr>
            <w:tcW w:type="dxa" w:w="7056"/>
            <w:vAlign w:val="center"/>
            <w:shd w:fill="F2F7F4"/>
          </w:tcPr>
          <w:p>
            <w:pPr>
              <w:jc w:val="right"/>
              <w:bidi/>
            </w:pPr>
            <w:r/>
            <w:r>
              <w:rPr>
                <w:rFonts w:ascii="Arial" w:hAnsi="Arial" w:eastAsia="Arial"/>
                <w:b w:val="0"/>
                <w:sz w:val="16"/>
              </w:rPr>
              <w:t>تغير سعر نفس الصنف عبر الزمن.</w:t>
            </w:r>
          </w:p>
        </w:tc>
      </w:tr>
      <w:tr>
        <w:tc>
          <w:tcPr>
            <w:tcW w:type="dxa" w:w="3312"/>
            <w:vAlign w:val="center"/>
          </w:tcPr>
          <w:p>
            <w:pPr>
              <w:jc w:val="right"/>
              <w:bidi/>
            </w:pPr>
            <w:r/>
            <w:r>
              <w:rPr>
                <w:rFonts w:ascii="Arial" w:hAnsi="Arial" w:eastAsia="Arial"/>
                <w:b w:val="0"/>
                <w:sz w:val="16"/>
              </w:rPr>
              <w:t>Unit Price Trend</w:t>
            </w:r>
          </w:p>
        </w:tc>
        <w:tc>
          <w:tcPr>
            <w:tcW w:type="dxa" w:w="7056"/>
            <w:vAlign w:val="center"/>
          </w:tcPr>
          <w:p>
            <w:pPr>
              <w:jc w:val="right"/>
              <w:bidi/>
            </w:pPr>
            <w:r/>
            <w:r>
              <w:rPr>
                <w:rFonts w:ascii="Arial" w:hAnsi="Arial" w:eastAsia="Arial"/>
                <w:b w:val="0"/>
                <w:sz w:val="16"/>
              </w:rPr>
              <w:t>اتجاه سعر الوحدة حسب شهر/ربع/سنة.</w:t>
            </w:r>
          </w:p>
        </w:tc>
      </w:tr>
      <w:tr>
        <w:tc>
          <w:tcPr>
            <w:tcW w:type="dxa" w:w="3312"/>
            <w:vAlign w:val="center"/>
            <w:shd w:fill="F2F7F4"/>
          </w:tcPr>
          <w:p>
            <w:pPr>
              <w:jc w:val="right"/>
              <w:bidi/>
            </w:pPr>
            <w:r/>
            <w:r>
              <w:rPr>
                <w:rFonts w:ascii="Arial" w:hAnsi="Arial" w:eastAsia="Arial"/>
                <w:b w:val="0"/>
                <w:sz w:val="16"/>
              </w:rPr>
              <w:t>Negotiation Gain</w:t>
            </w:r>
          </w:p>
        </w:tc>
        <w:tc>
          <w:tcPr>
            <w:tcW w:type="dxa" w:w="7056"/>
            <w:vAlign w:val="center"/>
            <w:shd w:fill="F2F7F4"/>
          </w:tcPr>
          <w:p>
            <w:pPr>
              <w:jc w:val="right"/>
              <w:bidi/>
            </w:pPr>
            <w:r/>
            <w:r>
              <w:rPr>
                <w:rFonts w:ascii="Arial" w:hAnsi="Arial" w:eastAsia="Arial"/>
                <w:b w:val="0"/>
                <w:sz w:val="16"/>
              </w:rPr>
              <w:t>السعر الأول − السعر النهائي بعد التفاوض.</w:t>
            </w:r>
          </w:p>
        </w:tc>
      </w:tr>
      <w:tr>
        <w:tc>
          <w:tcPr>
            <w:tcW w:type="dxa" w:w="3312"/>
            <w:vAlign w:val="center"/>
          </w:tcPr>
          <w:p>
            <w:pPr>
              <w:jc w:val="right"/>
              <w:bidi/>
            </w:pPr>
            <w:r/>
            <w:r>
              <w:rPr>
                <w:rFonts w:ascii="Arial" w:hAnsi="Arial" w:eastAsia="Arial"/>
                <w:b w:val="0"/>
                <w:sz w:val="16"/>
              </w:rPr>
              <w:t>Cost Avoidance</w:t>
            </w:r>
          </w:p>
        </w:tc>
        <w:tc>
          <w:tcPr>
            <w:tcW w:type="dxa" w:w="7056"/>
            <w:vAlign w:val="center"/>
          </w:tcPr>
          <w:p>
            <w:pPr>
              <w:jc w:val="right"/>
              <w:bidi/>
            </w:pPr>
            <w:r/>
            <w:r>
              <w:rPr>
                <w:rFonts w:ascii="Arial" w:hAnsi="Arial" w:eastAsia="Arial"/>
                <w:b w:val="0"/>
                <w:sz w:val="16"/>
              </w:rPr>
              <w:t>وفر تقديري ناتج عن منع زيادة متوقعة أو تغيير شروط.</w:t>
            </w:r>
          </w:p>
        </w:tc>
      </w:tr>
    </w:tbl>
    <w:p>
      <w:pPr>
        <w:spacing w:after="40"/>
      </w:pPr>
    </w:p>
    <w:p>
      <w:pPr>
        <w:jc w:val="right"/>
        <w:bidi/>
      </w:pPr>
      <w:r>
        <w:rPr>
          <w:rFonts w:ascii="Arial" w:hAnsi="Arial" w:eastAsia="Arial"/>
          <w:b/>
          <w:color w:val="114637"/>
          <w:sz w:val="28"/>
        </w:rPr>
        <w:t>7.3 مؤشرات الموردين</w:t>
      </w:r>
    </w:p>
    <w:tbl>
      <w:tblPr>
        <w:tblStyle w:val="TableGrid"/>
        <w:tblW w:type="auto" w:w="0"/>
        <w:jc w:val="center"/>
        <w:tblLook w:firstColumn="1" w:firstRow="1" w:lastColumn="0" w:lastRow="0" w:noHBand="0" w:noVBand="1" w:val="04A0"/>
      </w:tblPr>
      <w:tblGrid>
        <w:gridCol w:w="5328"/>
        <w:gridCol w:w="5328"/>
      </w:tblGrid>
      <w:tr>
        <w:tc>
          <w:tcPr>
            <w:tcW w:type="dxa" w:w="3312"/>
            <w:vAlign w:val="center"/>
            <w:shd w:fill="176B55"/>
          </w:tcPr>
          <w:p>
            <w:pPr>
              <w:jc w:val="center"/>
              <w:bidi/>
            </w:pPr>
            <w:r/>
            <w:r>
              <w:rPr>
                <w:rFonts w:ascii="Arial" w:hAnsi="Arial" w:eastAsia="Arial"/>
                <w:b/>
                <w:color w:val="FFFFFF"/>
                <w:sz w:val="16"/>
              </w:rPr>
              <w:t>KPI</w:t>
            </w:r>
          </w:p>
        </w:tc>
        <w:tc>
          <w:tcPr>
            <w:tcW w:type="dxa" w:w="7056"/>
            <w:vAlign w:val="center"/>
            <w:shd w:fill="176B55"/>
          </w:tcPr>
          <w:p>
            <w:pPr>
              <w:jc w:val="center"/>
              <w:bidi/>
            </w:pPr>
            <w:r/>
            <w:r>
              <w:rPr>
                <w:rFonts w:ascii="Arial" w:hAnsi="Arial" w:eastAsia="Arial"/>
                <w:b/>
                <w:color w:val="FFFFFF"/>
                <w:sz w:val="16"/>
              </w:rPr>
              <w:t>أمثلة</w:t>
            </w:r>
          </w:p>
        </w:tc>
      </w:tr>
      <w:tr>
        <w:tc>
          <w:tcPr>
            <w:tcW w:type="dxa" w:w="3312"/>
            <w:vAlign w:val="center"/>
            <w:shd w:fill="F2F7F4"/>
          </w:tcPr>
          <w:p>
            <w:pPr>
              <w:jc w:val="right"/>
              <w:bidi/>
            </w:pPr>
            <w:r/>
            <w:r>
              <w:rPr>
                <w:rFonts w:ascii="Arial" w:hAnsi="Arial" w:eastAsia="Arial"/>
                <w:b w:val="0"/>
                <w:sz w:val="16"/>
              </w:rPr>
              <w:t>Participation</w:t>
            </w:r>
          </w:p>
        </w:tc>
        <w:tc>
          <w:tcPr>
            <w:tcW w:type="dxa" w:w="7056"/>
            <w:vAlign w:val="center"/>
            <w:shd w:fill="F2F7F4"/>
          </w:tcPr>
          <w:p>
            <w:pPr>
              <w:jc w:val="right"/>
              <w:bidi/>
            </w:pPr>
            <w:r/>
            <w:r>
              <w:rPr>
                <w:rFonts w:ascii="Arial" w:hAnsi="Arial" w:eastAsia="Arial"/>
                <w:b w:val="0"/>
                <w:sz w:val="16"/>
              </w:rPr>
              <w:t>الدعوات، المشاركات، معدل الاستجابة.</w:t>
            </w:r>
          </w:p>
        </w:tc>
      </w:tr>
      <w:tr>
        <w:tc>
          <w:tcPr>
            <w:tcW w:type="dxa" w:w="3312"/>
            <w:vAlign w:val="center"/>
          </w:tcPr>
          <w:p>
            <w:pPr>
              <w:jc w:val="right"/>
              <w:bidi/>
            </w:pPr>
            <w:r/>
            <w:r>
              <w:rPr>
                <w:rFonts w:ascii="Arial" w:hAnsi="Arial" w:eastAsia="Arial"/>
                <w:b w:val="0"/>
                <w:sz w:val="16"/>
              </w:rPr>
              <w:t>Win Rate</w:t>
            </w:r>
          </w:p>
        </w:tc>
        <w:tc>
          <w:tcPr>
            <w:tcW w:type="dxa" w:w="7056"/>
            <w:vAlign w:val="center"/>
          </w:tcPr>
          <w:p>
            <w:pPr>
              <w:jc w:val="right"/>
              <w:bidi/>
            </w:pPr>
            <w:r/>
            <w:r>
              <w:rPr>
                <w:rFonts w:ascii="Arial" w:hAnsi="Arial" w:eastAsia="Arial"/>
                <w:b w:val="0"/>
                <w:sz w:val="16"/>
              </w:rPr>
              <w:t>عدد مرات الفوز ÷ العروض المؤهلة.</w:t>
            </w:r>
          </w:p>
        </w:tc>
      </w:tr>
      <w:tr>
        <w:tc>
          <w:tcPr>
            <w:tcW w:type="dxa" w:w="3312"/>
            <w:vAlign w:val="center"/>
            <w:shd w:fill="F2F7F4"/>
          </w:tcPr>
          <w:p>
            <w:pPr>
              <w:jc w:val="right"/>
              <w:bidi/>
            </w:pPr>
            <w:r/>
            <w:r>
              <w:rPr>
                <w:rFonts w:ascii="Arial" w:hAnsi="Arial" w:eastAsia="Arial"/>
                <w:b w:val="0"/>
                <w:sz w:val="16"/>
              </w:rPr>
              <w:t>Price Competitiveness</w:t>
            </w:r>
          </w:p>
        </w:tc>
        <w:tc>
          <w:tcPr>
            <w:tcW w:type="dxa" w:w="7056"/>
            <w:vAlign w:val="center"/>
            <w:shd w:fill="F2F7F4"/>
          </w:tcPr>
          <w:p>
            <w:pPr>
              <w:jc w:val="right"/>
              <w:bidi/>
            </w:pPr>
            <w:r/>
            <w:r>
              <w:rPr>
                <w:rFonts w:ascii="Arial" w:hAnsi="Arial" w:eastAsia="Arial"/>
                <w:b w:val="0"/>
                <w:sz w:val="16"/>
              </w:rPr>
              <w:t>موقع سعر المورد مقابل الوسيط والسوق.</w:t>
            </w:r>
          </w:p>
        </w:tc>
      </w:tr>
      <w:tr>
        <w:tc>
          <w:tcPr>
            <w:tcW w:type="dxa" w:w="3312"/>
            <w:vAlign w:val="center"/>
          </w:tcPr>
          <w:p>
            <w:pPr>
              <w:jc w:val="right"/>
              <w:bidi/>
            </w:pPr>
            <w:r/>
            <w:r>
              <w:rPr>
                <w:rFonts w:ascii="Arial" w:hAnsi="Arial" w:eastAsia="Arial"/>
                <w:b w:val="0"/>
                <w:sz w:val="16"/>
              </w:rPr>
              <w:t>On-Time Delivery</w:t>
            </w:r>
          </w:p>
        </w:tc>
        <w:tc>
          <w:tcPr>
            <w:tcW w:type="dxa" w:w="7056"/>
            <w:vAlign w:val="center"/>
          </w:tcPr>
          <w:p>
            <w:pPr>
              <w:jc w:val="right"/>
              <w:bidi/>
            </w:pPr>
            <w:r/>
            <w:r>
              <w:rPr>
                <w:rFonts w:ascii="Arial" w:hAnsi="Arial" w:eastAsia="Arial"/>
                <w:b w:val="0"/>
                <w:sz w:val="16"/>
              </w:rPr>
              <w:t>التسليم في الموعد ÷ إجمالي أوامر التوريد.</w:t>
            </w:r>
          </w:p>
        </w:tc>
      </w:tr>
      <w:tr>
        <w:tc>
          <w:tcPr>
            <w:tcW w:type="dxa" w:w="3312"/>
            <w:vAlign w:val="center"/>
            <w:shd w:fill="F2F7F4"/>
          </w:tcPr>
          <w:p>
            <w:pPr>
              <w:jc w:val="right"/>
              <w:bidi/>
            </w:pPr>
            <w:r/>
            <w:r>
              <w:rPr>
                <w:rFonts w:ascii="Arial" w:hAnsi="Arial" w:eastAsia="Arial"/>
                <w:b w:val="0"/>
                <w:sz w:val="16"/>
              </w:rPr>
              <w:t>Quality Acceptance</w:t>
            </w:r>
          </w:p>
        </w:tc>
        <w:tc>
          <w:tcPr>
            <w:tcW w:type="dxa" w:w="7056"/>
            <w:vAlign w:val="center"/>
            <w:shd w:fill="F2F7F4"/>
          </w:tcPr>
          <w:p>
            <w:pPr>
              <w:jc w:val="right"/>
              <w:bidi/>
            </w:pPr>
            <w:r/>
            <w:r>
              <w:rPr>
                <w:rFonts w:ascii="Arial" w:hAnsi="Arial" w:eastAsia="Arial"/>
                <w:b w:val="0"/>
                <w:sz w:val="16"/>
              </w:rPr>
              <w:t>المقبول من أول فحص ÷ المستلم.</w:t>
            </w:r>
          </w:p>
        </w:tc>
      </w:tr>
      <w:tr>
        <w:tc>
          <w:tcPr>
            <w:tcW w:type="dxa" w:w="3312"/>
            <w:vAlign w:val="center"/>
          </w:tcPr>
          <w:p>
            <w:pPr>
              <w:jc w:val="right"/>
              <w:bidi/>
            </w:pPr>
            <w:r/>
            <w:r>
              <w:rPr>
                <w:rFonts w:ascii="Arial" w:hAnsi="Arial" w:eastAsia="Arial"/>
                <w:b w:val="0"/>
                <w:sz w:val="16"/>
              </w:rPr>
              <w:t>Invoice Accuracy</w:t>
            </w:r>
          </w:p>
        </w:tc>
        <w:tc>
          <w:tcPr>
            <w:tcW w:type="dxa" w:w="7056"/>
            <w:vAlign w:val="center"/>
          </w:tcPr>
          <w:p>
            <w:pPr>
              <w:jc w:val="right"/>
              <w:bidi/>
            </w:pPr>
            <w:r/>
            <w:r>
              <w:rPr>
                <w:rFonts w:ascii="Arial" w:hAnsi="Arial" w:eastAsia="Arial"/>
                <w:b w:val="0"/>
                <w:sz w:val="16"/>
              </w:rPr>
              <w:t>الفواتير الصحيحة دون نزاع.</w:t>
            </w:r>
          </w:p>
        </w:tc>
      </w:tr>
      <w:tr>
        <w:tc>
          <w:tcPr>
            <w:tcW w:type="dxa" w:w="3312"/>
            <w:vAlign w:val="center"/>
            <w:shd w:fill="F2F7F4"/>
          </w:tcPr>
          <w:p>
            <w:pPr>
              <w:jc w:val="right"/>
              <w:bidi/>
            </w:pPr>
            <w:r/>
            <w:r>
              <w:rPr>
                <w:rFonts w:ascii="Arial" w:hAnsi="Arial" w:eastAsia="Arial"/>
                <w:b w:val="0"/>
                <w:sz w:val="16"/>
              </w:rPr>
              <w:t>Contract Compliance</w:t>
            </w:r>
          </w:p>
        </w:tc>
        <w:tc>
          <w:tcPr>
            <w:tcW w:type="dxa" w:w="7056"/>
            <w:vAlign w:val="center"/>
            <w:shd w:fill="F2F7F4"/>
          </w:tcPr>
          <w:p>
            <w:pPr>
              <w:jc w:val="right"/>
              <w:bidi/>
            </w:pPr>
            <w:r/>
            <w:r>
              <w:rPr>
                <w:rFonts w:ascii="Arial" w:hAnsi="Arial" w:eastAsia="Arial"/>
                <w:b w:val="0"/>
                <w:sz w:val="16"/>
              </w:rPr>
              <w:t>الالتزام بالسعر والكمية والـSLA.</w:t>
            </w:r>
          </w:p>
        </w:tc>
      </w:tr>
      <w:tr>
        <w:tc>
          <w:tcPr>
            <w:tcW w:type="dxa" w:w="3312"/>
            <w:vAlign w:val="center"/>
          </w:tcPr>
          <w:p>
            <w:pPr>
              <w:jc w:val="right"/>
              <w:bidi/>
            </w:pPr>
            <w:r/>
            <w:r>
              <w:rPr>
                <w:rFonts w:ascii="Arial" w:hAnsi="Arial" w:eastAsia="Arial"/>
                <w:b w:val="0"/>
                <w:sz w:val="16"/>
              </w:rPr>
              <w:t>Document Compliance</w:t>
            </w:r>
          </w:p>
        </w:tc>
        <w:tc>
          <w:tcPr>
            <w:tcW w:type="dxa" w:w="7056"/>
            <w:vAlign w:val="center"/>
          </w:tcPr>
          <w:p>
            <w:pPr>
              <w:jc w:val="right"/>
              <w:bidi/>
            </w:pPr>
            <w:r/>
            <w:r>
              <w:rPr>
                <w:rFonts w:ascii="Arial" w:hAnsi="Arial" w:eastAsia="Arial"/>
                <w:b w:val="0"/>
                <w:sz w:val="16"/>
              </w:rPr>
              <w:t>صلاحية السجل، الضرائب، الشهادات، التأمين.</w:t>
            </w:r>
          </w:p>
        </w:tc>
      </w:tr>
      <w:tr>
        <w:tc>
          <w:tcPr>
            <w:tcW w:type="dxa" w:w="3312"/>
            <w:vAlign w:val="center"/>
            <w:shd w:fill="F2F7F4"/>
          </w:tcPr>
          <w:p>
            <w:pPr>
              <w:jc w:val="right"/>
              <w:bidi/>
            </w:pPr>
            <w:r/>
            <w:r>
              <w:rPr>
                <w:rFonts w:ascii="Arial" w:hAnsi="Arial" w:eastAsia="Arial"/>
                <w:b w:val="0"/>
                <w:sz w:val="16"/>
              </w:rPr>
              <w:t>Dispute Rate</w:t>
            </w:r>
          </w:p>
        </w:tc>
        <w:tc>
          <w:tcPr>
            <w:tcW w:type="dxa" w:w="7056"/>
            <w:vAlign w:val="center"/>
            <w:shd w:fill="F2F7F4"/>
          </w:tcPr>
          <w:p>
            <w:pPr>
              <w:jc w:val="right"/>
              <w:bidi/>
            </w:pPr>
            <w:r/>
            <w:r>
              <w:rPr>
                <w:rFonts w:ascii="Arial" w:hAnsi="Arial" w:eastAsia="Arial"/>
                <w:b w:val="0"/>
                <w:sz w:val="16"/>
              </w:rPr>
              <w:t>النزاعات/المطالبات لكل مورد.</w:t>
            </w:r>
          </w:p>
        </w:tc>
      </w:tr>
      <w:tr>
        <w:tc>
          <w:tcPr>
            <w:tcW w:type="dxa" w:w="3312"/>
            <w:vAlign w:val="center"/>
          </w:tcPr>
          <w:p>
            <w:pPr>
              <w:jc w:val="right"/>
              <w:bidi/>
            </w:pPr>
            <w:r/>
            <w:r>
              <w:rPr>
                <w:rFonts w:ascii="Arial" w:hAnsi="Arial" w:eastAsia="Arial"/>
                <w:b w:val="0"/>
                <w:sz w:val="16"/>
              </w:rPr>
              <w:t>Supplier Risk Score</w:t>
            </w:r>
          </w:p>
        </w:tc>
        <w:tc>
          <w:tcPr>
            <w:tcW w:type="dxa" w:w="7056"/>
            <w:vAlign w:val="center"/>
          </w:tcPr>
          <w:p>
            <w:pPr>
              <w:jc w:val="right"/>
              <w:bidi/>
            </w:pPr>
            <w:r/>
            <w:r>
              <w:rPr>
                <w:rFonts w:ascii="Arial" w:hAnsi="Arial" w:eastAsia="Arial"/>
                <w:b w:val="0"/>
                <w:sz w:val="16"/>
              </w:rPr>
              <w:t>مركب من الأداء، الوثائق، الاعتماد، التركّز والمخالفات.</w:t>
            </w:r>
          </w:p>
        </w:tc>
      </w:tr>
    </w:tbl>
    <w:p>
      <w:pPr>
        <w:spacing w:after="40"/>
      </w:pPr>
    </w:p>
    <w:p>
      <w:pPr>
        <w:jc w:val="right"/>
        <w:bidi/>
      </w:pPr>
      <w:r>
        <w:rPr>
          <w:rFonts w:ascii="Arial" w:hAnsi="Arial" w:eastAsia="Arial"/>
          <w:b/>
          <w:color w:val="114637"/>
          <w:sz w:val="28"/>
        </w:rPr>
        <w:t>7.4 مؤشرات BOQ والبنود</w:t>
      </w:r>
    </w:p>
    <w:p>
      <w:pPr>
        <w:spacing w:after="40"/>
        <w:ind w:left="216"/>
        <w:jc w:val="right"/>
        <w:bidi/>
      </w:pPr>
      <w:r>
        <w:rPr>
          <w:rFonts w:ascii="Arial" w:hAnsi="Arial" w:eastAsia="Arial"/>
          <w:sz w:val="20"/>
        </w:rPr>
        <w:t>• عدد البنود، البنود غير المسعّرة، البنود المستبعدة، البنود ذات عرض واحد فقط.</w:t>
      </w:r>
    </w:p>
    <w:p>
      <w:pPr>
        <w:spacing w:after="40"/>
        <w:ind w:left="216"/>
        <w:jc w:val="right"/>
        <w:bidi/>
      </w:pPr>
      <w:r>
        <w:rPr>
          <w:rFonts w:ascii="Arial" w:hAnsi="Arial" w:eastAsia="Arial"/>
          <w:sz w:val="20"/>
        </w:rPr>
        <w:t>• Average Bids per Item: متوسط عدد الأسعار الصالحة لكل بند.</w:t>
      </w:r>
    </w:p>
    <w:p>
      <w:pPr>
        <w:spacing w:after="40"/>
        <w:ind w:left="216"/>
        <w:jc w:val="right"/>
        <w:bidi/>
      </w:pPr>
      <w:r>
        <w:rPr>
          <w:rFonts w:ascii="Arial" w:hAnsi="Arial" w:eastAsia="Arial"/>
          <w:sz w:val="20"/>
        </w:rPr>
        <w:t>• Single-Source Exposure: نسبة البنود التي لا يوجد لها إلا مورد مؤهل واحد.</w:t>
      </w:r>
    </w:p>
    <w:p>
      <w:pPr>
        <w:spacing w:after="40"/>
        <w:ind w:left="216"/>
        <w:jc w:val="right"/>
        <w:bidi/>
      </w:pPr>
      <w:r>
        <w:rPr>
          <w:rFonts w:ascii="Arial" w:hAnsi="Arial" w:eastAsia="Arial"/>
          <w:sz w:val="20"/>
        </w:rPr>
        <w:t>• Price Outlier Detection: كشف الأسعار الشاذة مقارنة بالوسيط أو التاريخ.</w:t>
      </w:r>
    </w:p>
    <w:p>
      <w:pPr>
        <w:spacing w:after="40"/>
        <w:ind w:left="216"/>
        <w:jc w:val="right"/>
        <w:bidi/>
      </w:pPr>
      <w:r>
        <w:rPr>
          <w:rFonts w:ascii="Arial" w:hAnsi="Arial" w:eastAsia="Arial"/>
          <w:sz w:val="20"/>
        </w:rPr>
        <w:t>• Specification Exception Rate: نسبة البنود التي قدم لها المورد بدائل أو تحفظات.</w:t>
      </w:r>
    </w:p>
    <w:p>
      <w:pPr>
        <w:spacing w:after="40"/>
        <w:ind w:left="216"/>
        <w:jc w:val="right"/>
        <w:bidi/>
      </w:pPr>
      <w:r>
        <w:rPr>
          <w:rFonts w:ascii="Arial" w:hAnsi="Arial" w:eastAsia="Arial"/>
          <w:sz w:val="20"/>
        </w:rPr>
        <w:t>• Budget Hotspots: البنود التي تمثل أكبر نسبة من إجمالي قيمة المناقصة.</w:t>
      </w:r>
    </w:p>
    <w:p>
      <w:pPr>
        <w:spacing w:after="40"/>
        <w:ind w:left="216"/>
        <w:jc w:val="right"/>
        <w:bidi/>
      </w:pPr>
      <w:r>
        <w:rPr>
          <w:rFonts w:ascii="Arial" w:hAnsi="Arial" w:eastAsia="Arial"/>
          <w:sz w:val="20"/>
        </w:rPr>
        <w:t>• Pareto 80/20: البنود التي تشكل 80% من القيمة المالية.</w:t>
      </w:r>
    </w:p>
    <w:p>
      <w:pPr>
        <w:spacing w:after="40"/>
        <w:ind w:left="216"/>
        <w:jc w:val="right"/>
        <w:bidi/>
      </w:pPr>
      <w:r>
        <w:rPr>
          <w:rFonts w:ascii="Arial" w:hAnsi="Arial" w:eastAsia="Arial"/>
          <w:sz w:val="20"/>
        </w:rPr>
        <w:t>• Quantity × Price Sensitivity: أثر تغيير الكمية أو السعر على الإجمالي والميزانية.</w:t>
      </w:r>
    </w:p>
    <w:p>
      <w:pPr>
        <w:jc w:val="right"/>
        <w:bidi/>
      </w:pPr>
      <w:r>
        <w:rPr>
          <w:rFonts w:ascii="Arial" w:hAnsi="Arial" w:eastAsia="Arial"/>
          <w:b/>
          <w:color w:val="114637"/>
          <w:sz w:val="36"/>
        </w:rPr>
        <w:t>8. تحليلات متقدمة وذكاء القرار</w:t>
      </w:r>
    </w:p>
    <w:p>
      <w:pPr>
        <w:spacing w:after="40"/>
        <w:ind w:left="216"/>
        <w:jc w:val="right"/>
        <w:bidi/>
      </w:pPr>
      <w:r>
        <w:rPr>
          <w:rFonts w:ascii="Arial" w:hAnsi="Arial" w:eastAsia="Arial"/>
          <w:sz w:val="20"/>
        </w:rPr>
        <w:t>• Should-Cost Analysis: تقدير سعر منطقي للبند اعتماداً على التاريخ والعقود السابقة والمؤشرات الداخلية.</w:t>
      </w:r>
    </w:p>
    <w:p>
      <w:pPr>
        <w:spacing w:after="40"/>
        <w:ind w:left="216"/>
        <w:jc w:val="right"/>
        <w:bidi/>
      </w:pPr>
      <w:r>
        <w:rPr>
          <w:rFonts w:ascii="Arial" w:hAnsi="Arial" w:eastAsia="Arial"/>
          <w:sz w:val="20"/>
        </w:rPr>
        <w:t>• Anomaly Detection: اكتشاف عرض منخفض أو مرتفع بصورة غير معتادة، أو تكرار أنماط أسعار غير طبيعية.</w:t>
      </w:r>
    </w:p>
    <w:p>
      <w:pPr>
        <w:spacing w:after="40"/>
        <w:ind w:left="216"/>
        <w:jc w:val="right"/>
        <w:bidi/>
      </w:pPr>
      <w:r>
        <w:rPr>
          <w:rFonts w:ascii="Arial" w:hAnsi="Arial" w:eastAsia="Arial"/>
          <w:sz w:val="20"/>
        </w:rPr>
        <w:t>• Bid Concentration: قياس اعتماد الشركة على عدد محدود من الموردين.</w:t>
      </w:r>
    </w:p>
    <w:p>
      <w:pPr>
        <w:spacing w:after="40"/>
        <w:ind w:left="216"/>
        <w:jc w:val="right"/>
        <w:bidi/>
      </w:pPr>
      <w:r>
        <w:rPr>
          <w:rFonts w:ascii="Arial" w:hAnsi="Arial" w:eastAsia="Arial"/>
          <w:sz w:val="20"/>
        </w:rPr>
        <w:t>• Supplier Dependency: نسبة الإنفاق مع مورد واحد داخل فئة معينة.</w:t>
      </w:r>
    </w:p>
    <w:p>
      <w:pPr>
        <w:spacing w:after="40"/>
        <w:ind w:left="216"/>
        <w:jc w:val="right"/>
        <w:bidi/>
      </w:pPr>
      <w:r>
        <w:rPr>
          <w:rFonts w:ascii="Arial" w:hAnsi="Arial" w:eastAsia="Arial"/>
          <w:sz w:val="20"/>
        </w:rPr>
        <w:t>• Scenario Analysis: ماذا يحدث للميزانية إذا تغير السعر ±5% أو الكمية ±10% أو VAT/رسوم أخرى.</w:t>
      </w:r>
    </w:p>
    <w:p>
      <w:pPr>
        <w:spacing w:after="40"/>
        <w:ind w:left="216"/>
        <w:jc w:val="right"/>
        <w:bidi/>
      </w:pPr>
      <w:r>
        <w:rPr>
          <w:rFonts w:ascii="Arial" w:hAnsi="Arial" w:eastAsia="Arial"/>
          <w:sz w:val="20"/>
        </w:rPr>
        <w:t>• Forecast Award Value: تقدير قيمة الترسية قبل الإغلاق استناداً إلى البيانات التاريخية عند توفر بيانات كافية.</w:t>
      </w:r>
    </w:p>
    <w:p>
      <w:pPr>
        <w:spacing w:after="40"/>
        <w:ind w:left="216"/>
        <w:jc w:val="right"/>
        <w:bidi/>
      </w:pPr>
      <w:r>
        <w:rPr>
          <w:rFonts w:ascii="Arial" w:hAnsi="Arial" w:eastAsia="Arial"/>
          <w:sz w:val="20"/>
        </w:rPr>
        <w:t>• Lead-Time Risk: توقع مخاطر التأخير اعتماداً على تاريخ المورد والفئة والموقع.</w:t>
      </w:r>
    </w:p>
    <w:p>
      <w:pPr>
        <w:spacing w:after="40"/>
        <w:ind w:left="216"/>
        <w:jc w:val="right"/>
        <w:bidi/>
      </w:pPr>
      <w:r>
        <w:rPr>
          <w:rFonts w:ascii="Arial" w:hAnsi="Arial" w:eastAsia="Arial"/>
          <w:sz w:val="20"/>
        </w:rPr>
        <w:t>• Renewal / Expiry Intelligence: تنبيه العقود والوثائق والضمانات التي ستنتهي.</w:t>
      </w:r>
    </w:p>
    <w:p>
      <w:pPr>
        <w:spacing w:after="40"/>
        <w:ind w:left="216"/>
        <w:jc w:val="right"/>
        <w:bidi/>
      </w:pPr>
      <w:r>
        <w:rPr>
          <w:rFonts w:ascii="Arial" w:hAnsi="Arial" w:eastAsia="Arial"/>
          <w:sz w:val="20"/>
        </w:rPr>
        <w:t>• Spend Cube: تحليل الإنفاق حسب الشركة × الإدارة × الفئة × المورد × الزمن.</w:t>
      </w:r>
    </w:p>
    <w:p>
      <w:pPr>
        <w:spacing w:after="40"/>
        <w:ind w:left="216"/>
        <w:jc w:val="right"/>
        <w:bidi/>
      </w:pPr>
      <w:r>
        <w:rPr>
          <w:rFonts w:ascii="Arial" w:hAnsi="Arial" w:eastAsia="Arial"/>
          <w:sz w:val="20"/>
        </w:rPr>
        <w:t>• Procurement Opportunity Finder: اقتراح الفئات التي يمكن دمج مشترياتها أو إعادة التفاوض عليها لخفض التكلفة.</w:t>
      </w:r>
    </w:p>
    <w:p>
      <w:pPr>
        <w:jc w:val="right"/>
        <w:bidi/>
      </w:pPr>
      <w:r>
        <w:rPr>
          <w:rFonts w:ascii="Arial" w:hAnsi="Arial" w:eastAsia="Arial"/>
          <w:b/>
          <w:color w:val="114637"/>
          <w:sz w:val="36"/>
        </w:rPr>
        <w:t>9. مؤشرات الحوكمة والامتثال</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76B55"/>
          </w:tcPr>
          <w:p>
            <w:pPr>
              <w:jc w:val="center"/>
              <w:bidi/>
            </w:pPr>
            <w:r/>
            <w:r>
              <w:rPr>
                <w:rFonts w:ascii="Arial" w:hAnsi="Arial" w:eastAsia="Arial"/>
                <w:b/>
                <w:color w:val="FFFFFF"/>
                <w:sz w:val="16"/>
              </w:rPr>
              <w:t>المؤشر</w:t>
            </w:r>
          </w:p>
        </w:tc>
        <w:tc>
          <w:tcPr>
            <w:tcW w:type="dxa" w:w="7200"/>
            <w:vAlign w:val="center"/>
            <w:shd w:fill="176B55"/>
          </w:tcPr>
          <w:p>
            <w:pPr>
              <w:jc w:val="center"/>
              <w:bidi/>
            </w:pPr>
            <w:r/>
            <w:r>
              <w:rPr>
                <w:rFonts w:ascii="Arial" w:hAnsi="Arial" w:eastAsia="Arial"/>
                <w:b/>
                <w:color w:val="FFFFFF"/>
                <w:sz w:val="16"/>
              </w:rPr>
              <w:t>الغرض</w:t>
            </w:r>
          </w:p>
        </w:tc>
      </w:tr>
      <w:tr>
        <w:tc>
          <w:tcPr>
            <w:tcW w:type="dxa" w:w="3168"/>
            <w:vAlign w:val="center"/>
            <w:shd w:fill="F2F7F4"/>
          </w:tcPr>
          <w:p>
            <w:pPr>
              <w:jc w:val="right"/>
              <w:bidi/>
            </w:pPr>
            <w:r/>
            <w:r>
              <w:rPr>
                <w:rFonts w:ascii="Arial" w:hAnsi="Arial" w:eastAsia="Arial"/>
                <w:b w:val="0"/>
                <w:sz w:val="16"/>
              </w:rPr>
              <w:t>Approval SLA</w:t>
            </w:r>
          </w:p>
        </w:tc>
        <w:tc>
          <w:tcPr>
            <w:tcW w:type="dxa" w:w="7200"/>
            <w:vAlign w:val="center"/>
            <w:shd w:fill="F2F7F4"/>
          </w:tcPr>
          <w:p>
            <w:pPr>
              <w:jc w:val="right"/>
              <w:bidi/>
            </w:pPr>
            <w:r/>
            <w:r>
              <w:rPr>
                <w:rFonts w:ascii="Arial" w:hAnsi="Arial" w:eastAsia="Arial"/>
                <w:b w:val="0"/>
                <w:sz w:val="16"/>
              </w:rPr>
              <w:t>مدة بقاء الطلب في كل مستوى اعتماد.</w:t>
            </w:r>
          </w:p>
        </w:tc>
      </w:tr>
      <w:tr>
        <w:tc>
          <w:tcPr>
            <w:tcW w:type="dxa" w:w="3168"/>
            <w:vAlign w:val="center"/>
          </w:tcPr>
          <w:p>
            <w:pPr>
              <w:jc w:val="right"/>
              <w:bidi/>
            </w:pPr>
            <w:r/>
            <w:r>
              <w:rPr>
                <w:rFonts w:ascii="Arial" w:hAnsi="Arial" w:eastAsia="Arial"/>
                <w:b w:val="0"/>
                <w:sz w:val="16"/>
              </w:rPr>
              <w:t>Segregation of Duties</w:t>
            </w:r>
          </w:p>
        </w:tc>
        <w:tc>
          <w:tcPr>
            <w:tcW w:type="dxa" w:w="7200"/>
            <w:vAlign w:val="center"/>
          </w:tcPr>
          <w:p>
            <w:pPr>
              <w:jc w:val="right"/>
              <w:bidi/>
            </w:pPr>
            <w:r/>
            <w:r>
              <w:rPr>
                <w:rFonts w:ascii="Arial" w:hAnsi="Arial" w:eastAsia="Arial"/>
                <w:b w:val="0"/>
                <w:sz w:val="16"/>
              </w:rPr>
              <w:t>كشف تعارض إنشاء/تقييم/اعتماد بواسطة نفس المستخدم عند منع ذلك.</w:t>
            </w:r>
          </w:p>
        </w:tc>
      </w:tr>
      <w:tr>
        <w:tc>
          <w:tcPr>
            <w:tcW w:type="dxa" w:w="3168"/>
            <w:vAlign w:val="center"/>
            <w:shd w:fill="F2F7F4"/>
          </w:tcPr>
          <w:p>
            <w:pPr>
              <w:jc w:val="right"/>
              <w:bidi/>
            </w:pPr>
            <w:r/>
            <w:r>
              <w:rPr>
                <w:rFonts w:ascii="Arial" w:hAnsi="Arial" w:eastAsia="Arial"/>
                <w:b w:val="0"/>
                <w:sz w:val="16"/>
              </w:rPr>
              <w:t>Late Bid Attempts</w:t>
            </w:r>
          </w:p>
        </w:tc>
        <w:tc>
          <w:tcPr>
            <w:tcW w:type="dxa" w:w="7200"/>
            <w:vAlign w:val="center"/>
            <w:shd w:fill="F2F7F4"/>
          </w:tcPr>
          <w:p>
            <w:pPr>
              <w:jc w:val="right"/>
              <w:bidi/>
            </w:pPr>
            <w:r/>
            <w:r>
              <w:rPr>
                <w:rFonts w:ascii="Arial" w:hAnsi="Arial" w:eastAsia="Arial"/>
                <w:b w:val="0"/>
                <w:sz w:val="16"/>
              </w:rPr>
              <w:t>محاولات الإرسال بعد الموعد.</w:t>
            </w:r>
          </w:p>
        </w:tc>
      </w:tr>
      <w:tr>
        <w:tc>
          <w:tcPr>
            <w:tcW w:type="dxa" w:w="3168"/>
            <w:vAlign w:val="center"/>
          </w:tcPr>
          <w:p>
            <w:pPr>
              <w:jc w:val="right"/>
              <w:bidi/>
            </w:pPr>
            <w:r/>
            <w:r>
              <w:rPr>
                <w:rFonts w:ascii="Arial" w:hAnsi="Arial" w:eastAsia="Arial"/>
                <w:b w:val="0"/>
                <w:sz w:val="16"/>
              </w:rPr>
              <w:t>Bid Opening Log</w:t>
            </w:r>
          </w:p>
        </w:tc>
        <w:tc>
          <w:tcPr>
            <w:tcW w:type="dxa" w:w="7200"/>
            <w:vAlign w:val="center"/>
          </w:tcPr>
          <w:p>
            <w:pPr>
              <w:jc w:val="right"/>
              <w:bidi/>
            </w:pPr>
            <w:r/>
            <w:r>
              <w:rPr>
                <w:rFonts w:ascii="Arial" w:hAnsi="Arial" w:eastAsia="Arial"/>
                <w:b w:val="0"/>
                <w:sz w:val="16"/>
              </w:rPr>
              <w:t>من فتح العروض ومتى.</w:t>
            </w:r>
          </w:p>
        </w:tc>
      </w:tr>
      <w:tr>
        <w:tc>
          <w:tcPr>
            <w:tcW w:type="dxa" w:w="3168"/>
            <w:vAlign w:val="center"/>
            <w:shd w:fill="F2F7F4"/>
          </w:tcPr>
          <w:p>
            <w:pPr>
              <w:jc w:val="right"/>
              <w:bidi/>
            </w:pPr>
            <w:r/>
            <w:r>
              <w:rPr>
                <w:rFonts w:ascii="Arial" w:hAnsi="Arial" w:eastAsia="Arial"/>
                <w:b w:val="0"/>
                <w:sz w:val="16"/>
              </w:rPr>
              <w:t>Manual Price Override</w:t>
            </w:r>
          </w:p>
        </w:tc>
        <w:tc>
          <w:tcPr>
            <w:tcW w:type="dxa" w:w="7200"/>
            <w:vAlign w:val="center"/>
            <w:shd w:fill="F2F7F4"/>
          </w:tcPr>
          <w:p>
            <w:pPr>
              <w:jc w:val="right"/>
              <w:bidi/>
            </w:pPr>
            <w:r/>
            <w:r>
              <w:rPr>
                <w:rFonts w:ascii="Arial" w:hAnsi="Arial" w:eastAsia="Arial"/>
                <w:b w:val="0"/>
                <w:sz w:val="16"/>
              </w:rPr>
              <w:t>عدد وقيمة التعديلات اليدوية بعد الاستلام.</w:t>
            </w:r>
          </w:p>
        </w:tc>
      </w:tr>
      <w:tr>
        <w:tc>
          <w:tcPr>
            <w:tcW w:type="dxa" w:w="3168"/>
            <w:vAlign w:val="center"/>
          </w:tcPr>
          <w:p>
            <w:pPr>
              <w:jc w:val="right"/>
              <w:bidi/>
            </w:pPr>
            <w:r/>
            <w:r>
              <w:rPr>
                <w:rFonts w:ascii="Arial" w:hAnsi="Arial" w:eastAsia="Arial"/>
                <w:b w:val="0"/>
                <w:sz w:val="16"/>
              </w:rPr>
              <w:t>Audit Exceptions</w:t>
            </w:r>
          </w:p>
        </w:tc>
        <w:tc>
          <w:tcPr>
            <w:tcW w:type="dxa" w:w="7200"/>
            <w:vAlign w:val="center"/>
          </w:tcPr>
          <w:p>
            <w:pPr>
              <w:jc w:val="right"/>
              <w:bidi/>
            </w:pPr>
            <w:r/>
            <w:r>
              <w:rPr>
                <w:rFonts w:ascii="Arial" w:hAnsi="Arial" w:eastAsia="Arial"/>
                <w:b w:val="0"/>
                <w:sz w:val="16"/>
              </w:rPr>
              <w:t>الحركات غير الطبيعية أو التي تحتاج مراجعة.</w:t>
            </w:r>
          </w:p>
        </w:tc>
      </w:tr>
      <w:tr>
        <w:tc>
          <w:tcPr>
            <w:tcW w:type="dxa" w:w="3168"/>
            <w:vAlign w:val="center"/>
            <w:shd w:fill="F2F7F4"/>
          </w:tcPr>
          <w:p>
            <w:pPr>
              <w:jc w:val="right"/>
              <w:bidi/>
            </w:pPr>
            <w:r/>
            <w:r>
              <w:rPr>
                <w:rFonts w:ascii="Arial" w:hAnsi="Arial" w:eastAsia="Arial"/>
                <w:b w:val="0"/>
                <w:sz w:val="16"/>
              </w:rPr>
              <w:t>Document Expiry</w:t>
            </w:r>
          </w:p>
        </w:tc>
        <w:tc>
          <w:tcPr>
            <w:tcW w:type="dxa" w:w="7200"/>
            <w:vAlign w:val="center"/>
            <w:shd w:fill="F2F7F4"/>
          </w:tcPr>
          <w:p>
            <w:pPr>
              <w:jc w:val="right"/>
              <w:bidi/>
            </w:pPr>
            <w:r/>
            <w:r>
              <w:rPr>
                <w:rFonts w:ascii="Arial" w:hAnsi="Arial" w:eastAsia="Arial"/>
                <w:b w:val="0"/>
                <w:sz w:val="16"/>
              </w:rPr>
              <w:t>الموردون بوثائق منتهية أو قريبة الانتهاء.</w:t>
            </w:r>
          </w:p>
        </w:tc>
      </w:tr>
      <w:tr>
        <w:tc>
          <w:tcPr>
            <w:tcW w:type="dxa" w:w="3168"/>
            <w:vAlign w:val="center"/>
          </w:tcPr>
          <w:p>
            <w:pPr>
              <w:jc w:val="right"/>
              <w:bidi/>
            </w:pPr>
            <w:r/>
            <w:r>
              <w:rPr>
                <w:rFonts w:ascii="Arial" w:hAnsi="Arial" w:eastAsia="Arial"/>
                <w:b w:val="0"/>
                <w:sz w:val="16"/>
              </w:rPr>
              <w:t>Policy Compliance</w:t>
            </w:r>
          </w:p>
        </w:tc>
        <w:tc>
          <w:tcPr>
            <w:tcW w:type="dxa" w:w="7200"/>
            <w:vAlign w:val="center"/>
          </w:tcPr>
          <w:p>
            <w:pPr>
              <w:jc w:val="right"/>
              <w:bidi/>
            </w:pPr>
            <w:r/>
            <w:r>
              <w:rPr>
                <w:rFonts w:ascii="Arial" w:hAnsi="Arial" w:eastAsia="Arial"/>
                <w:b w:val="0"/>
                <w:sz w:val="16"/>
              </w:rPr>
              <w:t>مدى الالتزام بعدد عروض أدنى، حدود الصلاحيات، وسياسة المشتريات.</w:t>
            </w:r>
          </w:p>
        </w:tc>
      </w:tr>
    </w:tbl>
    <w:p>
      <w:pPr>
        <w:spacing w:after="40"/>
      </w:pPr>
    </w:p>
    <w:p>
      <w:pPr>
        <w:jc w:val="right"/>
        <w:bidi/>
      </w:pPr>
      <w:r>
        <w:rPr>
          <w:rFonts w:ascii="Arial" w:hAnsi="Arial" w:eastAsia="Arial"/>
          <w:b/>
          <w:color w:val="114637"/>
          <w:sz w:val="36"/>
        </w:rPr>
        <w:t>10. لوحات المعلومات Dashboards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76B55"/>
          </w:tcPr>
          <w:p>
            <w:pPr>
              <w:jc w:val="center"/>
              <w:bidi/>
            </w:pPr>
            <w:r/>
            <w:r>
              <w:rPr>
                <w:rFonts w:ascii="Arial" w:hAnsi="Arial" w:eastAsia="Arial"/>
                <w:b/>
                <w:color w:val="FFFFFF"/>
                <w:sz w:val="16"/>
              </w:rPr>
              <w:t>اللوحة</w:t>
            </w:r>
          </w:p>
        </w:tc>
        <w:tc>
          <w:tcPr>
            <w:tcW w:type="dxa" w:w="7488"/>
            <w:vAlign w:val="center"/>
            <w:shd w:fill="176B55"/>
          </w:tcPr>
          <w:p>
            <w:pPr>
              <w:jc w:val="center"/>
              <w:bidi/>
            </w:pPr>
            <w:r/>
            <w:r>
              <w:rPr>
                <w:rFonts w:ascii="Arial" w:hAnsi="Arial" w:eastAsia="Arial"/>
                <w:b/>
                <w:color w:val="FFFFFF"/>
                <w:sz w:val="16"/>
              </w:rPr>
              <w:t>المحتوى</w:t>
            </w:r>
          </w:p>
        </w:tc>
      </w:tr>
      <w:tr>
        <w:tc>
          <w:tcPr>
            <w:tcW w:type="dxa" w:w="2880"/>
            <w:vAlign w:val="center"/>
            <w:shd w:fill="F2F7F4"/>
          </w:tcPr>
          <w:p>
            <w:pPr>
              <w:jc w:val="right"/>
              <w:bidi/>
            </w:pPr>
            <w:r/>
            <w:r>
              <w:rPr>
                <w:rFonts w:ascii="Arial" w:hAnsi="Arial" w:eastAsia="Arial"/>
                <w:b w:val="0"/>
                <w:sz w:val="16"/>
              </w:rPr>
              <w:t>Executive Procurement</w:t>
            </w:r>
          </w:p>
        </w:tc>
        <w:tc>
          <w:tcPr>
            <w:tcW w:type="dxa" w:w="7488"/>
            <w:vAlign w:val="center"/>
            <w:shd w:fill="F2F7F4"/>
          </w:tcPr>
          <w:p>
            <w:pPr>
              <w:jc w:val="right"/>
              <w:bidi/>
            </w:pPr>
            <w:r/>
            <w:r>
              <w:rPr>
                <w:rFonts w:ascii="Arial" w:hAnsi="Arial" w:eastAsia="Arial"/>
                <w:b w:val="0"/>
                <w:sz w:val="16"/>
              </w:rPr>
              <w:t>الإنفاق، الوفر، المناقصات، دورة الشراء، أعلى الفئات والموردين، المخاطر.</w:t>
            </w:r>
          </w:p>
        </w:tc>
      </w:tr>
      <w:tr>
        <w:tc>
          <w:tcPr>
            <w:tcW w:type="dxa" w:w="2880"/>
            <w:vAlign w:val="center"/>
          </w:tcPr>
          <w:p>
            <w:pPr>
              <w:jc w:val="right"/>
              <w:bidi/>
            </w:pPr>
            <w:r/>
            <w:r>
              <w:rPr>
                <w:rFonts w:ascii="Arial" w:hAnsi="Arial" w:eastAsia="Arial"/>
                <w:b w:val="0"/>
                <w:sz w:val="16"/>
              </w:rPr>
              <w:t>Tender Operations</w:t>
            </w:r>
          </w:p>
        </w:tc>
        <w:tc>
          <w:tcPr>
            <w:tcW w:type="dxa" w:w="7488"/>
            <w:vAlign w:val="center"/>
          </w:tcPr>
          <w:p>
            <w:pPr>
              <w:jc w:val="right"/>
              <w:bidi/>
            </w:pPr>
            <w:r/>
            <w:r>
              <w:rPr>
                <w:rFonts w:ascii="Arial" w:hAnsi="Arial" w:eastAsia="Arial"/>
                <w:b w:val="0"/>
                <w:sz w:val="16"/>
              </w:rPr>
              <w:t>المناقصات حسب المرحلة، المهام المتأخرة، الإغلاق القريب، المشاركة.</w:t>
            </w:r>
          </w:p>
        </w:tc>
      </w:tr>
      <w:tr>
        <w:tc>
          <w:tcPr>
            <w:tcW w:type="dxa" w:w="2880"/>
            <w:vAlign w:val="center"/>
            <w:shd w:fill="F2F7F4"/>
          </w:tcPr>
          <w:p>
            <w:pPr>
              <w:jc w:val="right"/>
              <w:bidi/>
            </w:pPr>
            <w:r/>
            <w:r>
              <w:rPr>
                <w:rFonts w:ascii="Arial" w:hAnsi="Arial" w:eastAsia="Arial"/>
                <w:b w:val="0"/>
                <w:sz w:val="16"/>
              </w:rPr>
              <w:t>Financial Analysis</w:t>
            </w:r>
          </w:p>
        </w:tc>
        <w:tc>
          <w:tcPr>
            <w:tcW w:type="dxa" w:w="7488"/>
            <w:vAlign w:val="center"/>
            <w:shd w:fill="F2F7F4"/>
          </w:tcPr>
          <w:p>
            <w:pPr>
              <w:jc w:val="right"/>
              <w:bidi/>
            </w:pPr>
            <w:r/>
            <w:r>
              <w:rPr>
                <w:rFonts w:ascii="Arial" w:hAnsi="Arial" w:eastAsia="Arial"/>
                <w:b w:val="0"/>
                <w:sz w:val="16"/>
              </w:rPr>
              <w:t>Budget vs Award، VAT، الانحرافات، توقعات الالتزام المالي.</w:t>
            </w:r>
          </w:p>
        </w:tc>
      </w:tr>
      <w:tr>
        <w:tc>
          <w:tcPr>
            <w:tcW w:type="dxa" w:w="2880"/>
            <w:vAlign w:val="center"/>
          </w:tcPr>
          <w:p>
            <w:pPr>
              <w:jc w:val="right"/>
              <w:bidi/>
            </w:pPr>
            <w:r/>
            <w:r>
              <w:rPr>
                <w:rFonts w:ascii="Arial" w:hAnsi="Arial" w:eastAsia="Arial"/>
                <w:b w:val="0"/>
                <w:sz w:val="16"/>
              </w:rPr>
              <w:t>Supplier Performance</w:t>
            </w:r>
          </w:p>
        </w:tc>
        <w:tc>
          <w:tcPr>
            <w:tcW w:type="dxa" w:w="7488"/>
            <w:vAlign w:val="center"/>
          </w:tcPr>
          <w:p>
            <w:pPr>
              <w:jc w:val="right"/>
              <w:bidi/>
            </w:pPr>
            <w:r/>
            <w:r>
              <w:rPr>
                <w:rFonts w:ascii="Arial" w:hAnsi="Arial" w:eastAsia="Arial"/>
                <w:b w:val="0"/>
                <w:sz w:val="16"/>
              </w:rPr>
              <w:t>Scorecards، التسليم، الجودة، الفوز، الأسعار، المخاطر.</w:t>
            </w:r>
          </w:p>
        </w:tc>
      </w:tr>
      <w:tr>
        <w:tc>
          <w:tcPr>
            <w:tcW w:type="dxa" w:w="2880"/>
            <w:vAlign w:val="center"/>
            <w:shd w:fill="F2F7F4"/>
          </w:tcPr>
          <w:p>
            <w:pPr>
              <w:jc w:val="right"/>
              <w:bidi/>
            </w:pPr>
            <w:r/>
            <w:r>
              <w:rPr>
                <w:rFonts w:ascii="Arial" w:hAnsi="Arial" w:eastAsia="Arial"/>
                <w:b w:val="0"/>
                <w:sz w:val="16"/>
              </w:rPr>
              <w:t>BOQ Analytics</w:t>
            </w:r>
          </w:p>
        </w:tc>
        <w:tc>
          <w:tcPr>
            <w:tcW w:type="dxa" w:w="7488"/>
            <w:vAlign w:val="center"/>
            <w:shd w:fill="F2F7F4"/>
          </w:tcPr>
          <w:p>
            <w:pPr>
              <w:jc w:val="right"/>
              <w:bidi/>
            </w:pPr>
            <w:r/>
            <w:r>
              <w:rPr>
                <w:rFonts w:ascii="Arial" w:hAnsi="Arial" w:eastAsia="Arial"/>
                <w:b w:val="0"/>
                <w:sz w:val="16"/>
              </w:rPr>
              <w:t>Heatmap للبنود، Pareto، الأسعار الشاذة، البنود غير المسعرة.</w:t>
            </w:r>
          </w:p>
        </w:tc>
      </w:tr>
      <w:tr>
        <w:tc>
          <w:tcPr>
            <w:tcW w:type="dxa" w:w="2880"/>
            <w:vAlign w:val="center"/>
          </w:tcPr>
          <w:p>
            <w:pPr>
              <w:jc w:val="right"/>
              <w:bidi/>
            </w:pPr>
            <w:r/>
            <w:r>
              <w:rPr>
                <w:rFonts w:ascii="Arial" w:hAnsi="Arial" w:eastAsia="Arial"/>
                <w:b w:val="0"/>
                <w:sz w:val="16"/>
              </w:rPr>
              <w:t>Compliance &amp; Audit</w:t>
            </w:r>
          </w:p>
        </w:tc>
        <w:tc>
          <w:tcPr>
            <w:tcW w:type="dxa" w:w="7488"/>
            <w:vAlign w:val="center"/>
          </w:tcPr>
          <w:p>
            <w:pPr>
              <w:jc w:val="right"/>
              <w:bidi/>
            </w:pPr>
            <w:r/>
            <w:r>
              <w:rPr>
                <w:rFonts w:ascii="Arial" w:hAnsi="Arial" w:eastAsia="Arial"/>
                <w:b w:val="0"/>
                <w:sz w:val="16"/>
              </w:rPr>
              <w:t>الاعتمادات، فصل الصلاحيات، تعديلات الأسعار، الوثائق، سجل الفتح.</w:t>
            </w:r>
          </w:p>
        </w:tc>
      </w:tr>
      <w:tr>
        <w:tc>
          <w:tcPr>
            <w:tcW w:type="dxa" w:w="2880"/>
            <w:vAlign w:val="center"/>
            <w:shd w:fill="F2F7F4"/>
          </w:tcPr>
          <w:p>
            <w:pPr>
              <w:jc w:val="right"/>
              <w:bidi/>
            </w:pPr>
            <w:r/>
            <w:r>
              <w:rPr>
                <w:rFonts w:ascii="Arial" w:hAnsi="Arial" w:eastAsia="Arial"/>
                <w:b w:val="0"/>
                <w:sz w:val="16"/>
              </w:rPr>
              <w:t>Department Dashboard</w:t>
            </w:r>
          </w:p>
        </w:tc>
        <w:tc>
          <w:tcPr>
            <w:tcW w:type="dxa" w:w="7488"/>
            <w:vAlign w:val="center"/>
            <w:shd w:fill="F2F7F4"/>
          </w:tcPr>
          <w:p>
            <w:pPr>
              <w:jc w:val="right"/>
              <w:bidi/>
            </w:pPr>
            <w:r/>
            <w:r>
              <w:rPr>
                <w:rFonts w:ascii="Arial" w:hAnsi="Arial" w:eastAsia="Arial"/>
                <w:b w:val="0"/>
                <w:sz w:val="16"/>
              </w:rPr>
              <w:t>مؤشرات كل إدارة أو مركز تكلفة.</w:t>
            </w:r>
          </w:p>
        </w:tc>
      </w:tr>
      <w:tr>
        <w:tc>
          <w:tcPr>
            <w:tcW w:type="dxa" w:w="2880"/>
            <w:vAlign w:val="center"/>
          </w:tcPr>
          <w:p>
            <w:pPr>
              <w:jc w:val="right"/>
              <w:bidi/>
            </w:pPr>
            <w:r/>
            <w:r>
              <w:rPr>
                <w:rFonts w:ascii="Arial" w:hAnsi="Arial" w:eastAsia="Arial"/>
                <w:b w:val="0"/>
                <w:sz w:val="16"/>
              </w:rPr>
              <w:t>Category Dashboard</w:t>
            </w:r>
          </w:p>
        </w:tc>
        <w:tc>
          <w:tcPr>
            <w:tcW w:type="dxa" w:w="7488"/>
            <w:vAlign w:val="center"/>
          </w:tcPr>
          <w:p>
            <w:pPr>
              <w:jc w:val="right"/>
              <w:bidi/>
            </w:pPr>
            <w:r/>
            <w:r>
              <w:rPr>
                <w:rFonts w:ascii="Arial" w:hAnsi="Arial" w:eastAsia="Arial"/>
                <w:b w:val="0"/>
                <w:sz w:val="16"/>
              </w:rPr>
              <w:t>تحليل فئات الإنفاق والعقود والأسعار والموردين.</w:t>
            </w:r>
          </w:p>
        </w:tc>
      </w:tr>
    </w:tbl>
    <w:p>
      <w:pPr>
        <w:spacing w:after="40"/>
      </w:pPr>
    </w:p>
    <w:p>
      <w:pPr>
        <w:jc w:val="right"/>
        <w:bidi/>
      </w:pPr>
      <w:r>
        <w:rPr>
          <w:rFonts w:ascii="Arial" w:hAnsi="Arial" w:eastAsia="Arial"/>
          <w:b/>
          <w:color w:val="114637"/>
          <w:sz w:val="36"/>
        </w:rPr>
        <w:t>11. نظام التنبيهات الذكية</w:t>
      </w:r>
    </w:p>
    <w:p>
      <w:pPr>
        <w:spacing w:after="40"/>
        <w:ind w:left="216"/>
        <w:jc w:val="right"/>
        <w:bidi/>
      </w:pPr>
      <w:r>
        <w:rPr>
          <w:rFonts w:ascii="Arial" w:hAnsi="Arial" w:eastAsia="Arial"/>
          <w:sz w:val="20"/>
        </w:rPr>
        <w:t>• مناقصة ستغلق خلال 72/48/24 ساعة.</w:t>
      </w:r>
    </w:p>
    <w:p>
      <w:pPr>
        <w:spacing w:after="40"/>
        <w:ind w:left="216"/>
        <w:jc w:val="right"/>
        <w:bidi/>
      </w:pPr>
      <w:r>
        <w:rPr>
          <w:rFonts w:ascii="Arial" w:hAnsi="Arial" w:eastAsia="Arial"/>
          <w:sz w:val="20"/>
        </w:rPr>
        <w:t>• مورد مدعو لم يفتح الدعوة أو لم يبدأ العرض.</w:t>
      </w:r>
    </w:p>
    <w:p>
      <w:pPr>
        <w:spacing w:after="40"/>
        <w:ind w:left="216"/>
        <w:jc w:val="right"/>
        <w:bidi/>
      </w:pPr>
      <w:r>
        <w:rPr>
          <w:rFonts w:ascii="Arial" w:hAnsi="Arial" w:eastAsia="Arial"/>
          <w:sz w:val="20"/>
        </w:rPr>
        <w:t>• عرض ناقص أو يحتوي بنوداً دون سعر.</w:t>
      </w:r>
    </w:p>
    <w:p>
      <w:pPr>
        <w:spacing w:after="40"/>
        <w:ind w:left="216"/>
        <w:jc w:val="right"/>
        <w:bidi/>
      </w:pPr>
      <w:r>
        <w:rPr>
          <w:rFonts w:ascii="Arial" w:hAnsi="Arial" w:eastAsia="Arial"/>
          <w:sz w:val="20"/>
        </w:rPr>
        <w:t>• سعر بند أعلى من التاريخ بنسبة يحددها النظام.</w:t>
      </w:r>
    </w:p>
    <w:p>
      <w:pPr>
        <w:spacing w:after="40"/>
        <w:ind w:left="216"/>
        <w:jc w:val="right"/>
        <w:bidi/>
      </w:pPr>
      <w:r>
        <w:rPr>
          <w:rFonts w:ascii="Arial" w:hAnsi="Arial" w:eastAsia="Arial"/>
          <w:sz w:val="20"/>
        </w:rPr>
        <w:t>• عرض أقل بصورة شاذة وقد يحتاج تحققاً فنياً.</w:t>
      </w:r>
    </w:p>
    <w:p>
      <w:pPr>
        <w:spacing w:after="40"/>
        <w:ind w:left="216"/>
        <w:jc w:val="right"/>
        <w:bidi/>
      </w:pPr>
      <w:r>
        <w:rPr>
          <w:rFonts w:ascii="Arial" w:hAnsi="Arial" w:eastAsia="Arial"/>
          <w:sz w:val="20"/>
        </w:rPr>
        <w:t>• قيمة الترسية تتجاوز الميزانية.</w:t>
      </w:r>
    </w:p>
    <w:p>
      <w:pPr>
        <w:spacing w:after="40"/>
        <w:ind w:left="216"/>
        <w:jc w:val="right"/>
        <w:bidi/>
      </w:pPr>
      <w:r>
        <w:rPr>
          <w:rFonts w:ascii="Arial" w:hAnsi="Arial" w:eastAsia="Arial"/>
          <w:sz w:val="20"/>
        </w:rPr>
        <w:t>• انخفاض عدد الموردين المؤهلين عن الحد الأدنى.</w:t>
      </w:r>
    </w:p>
    <w:p>
      <w:pPr>
        <w:spacing w:after="40"/>
        <w:ind w:left="216"/>
        <w:jc w:val="right"/>
        <w:bidi/>
      </w:pPr>
      <w:r>
        <w:rPr>
          <w:rFonts w:ascii="Arial" w:hAnsi="Arial" w:eastAsia="Arial"/>
          <w:sz w:val="20"/>
        </w:rPr>
        <w:t>• تأخر تقييم فني أو مالي عن SLA.</w:t>
      </w:r>
    </w:p>
    <w:p>
      <w:pPr>
        <w:spacing w:after="40"/>
        <w:ind w:left="216"/>
        <w:jc w:val="right"/>
        <w:bidi/>
      </w:pPr>
      <w:r>
        <w:rPr>
          <w:rFonts w:ascii="Arial" w:hAnsi="Arial" w:eastAsia="Arial"/>
          <w:sz w:val="20"/>
        </w:rPr>
        <w:t>• وثيقة مورد ستنتهي.</w:t>
      </w:r>
    </w:p>
    <w:p>
      <w:pPr>
        <w:spacing w:after="40"/>
        <w:ind w:left="216"/>
        <w:jc w:val="right"/>
        <w:bidi/>
      </w:pPr>
      <w:r>
        <w:rPr>
          <w:rFonts w:ascii="Arial" w:hAnsi="Arial" w:eastAsia="Arial"/>
          <w:sz w:val="20"/>
        </w:rPr>
        <w:t>• PO أو عقد لا يتطابق مع قرار الترسية.</w:t>
      </w:r>
    </w:p>
    <w:p>
      <w:pPr>
        <w:spacing w:after="40"/>
        <w:ind w:left="216"/>
        <w:jc w:val="right"/>
        <w:bidi/>
      </w:pPr>
      <w:r>
        <w:rPr>
          <w:rFonts w:ascii="Arial" w:hAnsi="Arial" w:eastAsia="Arial"/>
          <w:sz w:val="20"/>
        </w:rPr>
        <w:t>• تأخر توريد أو ارتفاع معدل رفض الجودة.</w:t>
      </w:r>
    </w:p>
    <w:p>
      <w:pPr>
        <w:jc w:val="right"/>
        <w:bidi/>
      </w:pPr>
      <w:r>
        <w:rPr>
          <w:rFonts w:ascii="Arial" w:hAnsi="Arial" w:eastAsia="Arial"/>
          <w:b/>
          <w:color w:val="114637"/>
          <w:sz w:val="36"/>
        </w:rPr>
        <w:t>12. محرك التقييم والترسية</w:t>
      </w:r>
    </w:p>
    <w:p>
      <w:pPr>
        <w:spacing w:after="60" w:line="259" w:lineRule="auto"/>
        <w:jc w:val="right"/>
        <w:bidi/>
      </w:pPr>
      <w:r>
        <w:rPr>
          <w:rFonts w:ascii="Arial" w:hAnsi="Arial" w:eastAsia="Arial"/>
          <w:sz w:val="21"/>
        </w:rPr>
        <w:t>يجب أن يسمح النظام ببناء Evaluation Template لكل نوع مناقصة. مثال:</w:t>
      </w:r>
    </w:p>
    <w:tbl>
      <w:tblPr>
        <w:tblStyle w:val="TableGrid"/>
        <w:tblW w:type="auto" w:w="0"/>
        <w:jc w:val="center"/>
        <w:tblLook w:firstColumn="1" w:firstRow="1" w:lastColumn="0" w:lastRow="0" w:noHBand="0" w:noVBand="1" w:val="04A0"/>
      </w:tblPr>
      <w:tblGrid>
        <w:gridCol w:w="5328"/>
        <w:gridCol w:w="5328"/>
      </w:tblGrid>
      <w:tr>
        <w:tc>
          <w:tcPr>
            <w:tcW w:type="dxa" w:w="6480"/>
            <w:vAlign w:val="center"/>
            <w:shd w:fill="176B55"/>
          </w:tcPr>
          <w:p>
            <w:pPr>
              <w:jc w:val="center"/>
              <w:bidi/>
            </w:pPr>
            <w:r/>
            <w:r>
              <w:rPr>
                <w:rFonts w:ascii="Arial" w:hAnsi="Arial" w:eastAsia="Arial"/>
                <w:b/>
                <w:color w:val="FFFFFF"/>
                <w:sz w:val="18"/>
              </w:rPr>
              <w:t>المعيار</w:t>
            </w:r>
          </w:p>
        </w:tc>
        <w:tc>
          <w:tcPr>
            <w:tcW w:type="dxa" w:w="2880"/>
            <w:vAlign w:val="center"/>
            <w:shd w:fill="176B55"/>
          </w:tcPr>
          <w:p>
            <w:pPr>
              <w:jc w:val="center"/>
              <w:bidi/>
            </w:pPr>
            <w:r/>
            <w:r>
              <w:rPr>
                <w:rFonts w:ascii="Arial" w:hAnsi="Arial" w:eastAsia="Arial"/>
                <w:b/>
                <w:color w:val="FFFFFF"/>
                <w:sz w:val="18"/>
              </w:rPr>
              <w:t>الوزن</w:t>
            </w:r>
          </w:p>
        </w:tc>
      </w:tr>
      <w:tr>
        <w:tc>
          <w:tcPr>
            <w:tcW w:type="dxa" w:w="6480"/>
            <w:vAlign w:val="center"/>
            <w:shd w:fill="F2F7F4"/>
          </w:tcPr>
          <w:p>
            <w:pPr>
              <w:jc w:val="right"/>
              <w:bidi/>
            </w:pPr>
            <w:r/>
            <w:r>
              <w:rPr>
                <w:rFonts w:ascii="Arial" w:hAnsi="Arial" w:eastAsia="Arial"/>
                <w:b w:val="0"/>
                <w:sz w:val="18"/>
              </w:rPr>
              <w:t>التقييم الفني</w:t>
            </w:r>
          </w:p>
        </w:tc>
        <w:tc>
          <w:tcPr>
            <w:tcW w:type="dxa" w:w="2880"/>
            <w:vAlign w:val="center"/>
            <w:shd w:fill="F2F7F4"/>
          </w:tcPr>
          <w:p>
            <w:pPr>
              <w:jc w:val="right"/>
              <w:bidi/>
            </w:pPr>
            <w:r/>
            <w:r>
              <w:rPr>
                <w:rFonts w:ascii="Arial" w:hAnsi="Arial" w:eastAsia="Arial"/>
                <w:b w:val="0"/>
                <w:sz w:val="18"/>
              </w:rPr>
              <w:t>40%</w:t>
            </w:r>
          </w:p>
        </w:tc>
      </w:tr>
      <w:tr>
        <w:tc>
          <w:tcPr>
            <w:tcW w:type="dxa" w:w="6480"/>
            <w:vAlign w:val="center"/>
          </w:tcPr>
          <w:p>
            <w:pPr>
              <w:jc w:val="right"/>
              <w:bidi/>
            </w:pPr>
            <w:r/>
            <w:r>
              <w:rPr>
                <w:rFonts w:ascii="Arial" w:hAnsi="Arial" w:eastAsia="Arial"/>
                <w:b w:val="0"/>
                <w:sz w:val="18"/>
              </w:rPr>
              <w:t>التقييم المالي</w:t>
            </w:r>
          </w:p>
        </w:tc>
        <w:tc>
          <w:tcPr>
            <w:tcW w:type="dxa" w:w="2880"/>
            <w:vAlign w:val="center"/>
          </w:tcPr>
          <w:p>
            <w:pPr>
              <w:jc w:val="right"/>
              <w:bidi/>
            </w:pPr>
            <w:r/>
            <w:r>
              <w:rPr>
                <w:rFonts w:ascii="Arial" w:hAnsi="Arial" w:eastAsia="Arial"/>
                <w:b w:val="0"/>
                <w:sz w:val="18"/>
              </w:rPr>
              <w:t>45%</w:t>
            </w:r>
          </w:p>
        </w:tc>
      </w:tr>
      <w:tr>
        <w:tc>
          <w:tcPr>
            <w:tcW w:type="dxa" w:w="6480"/>
            <w:vAlign w:val="center"/>
            <w:shd w:fill="F2F7F4"/>
          </w:tcPr>
          <w:p>
            <w:pPr>
              <w:jc w:val="right"/>
              <w:bidi/>
            </w:pPr>
            <w:r/>
            <w:r>
              <w:rPr>
                <w:rFonts w:ascii="Arial" w:hAnsi="Arial" w:eastAsia="Arial"/>
                <w:b w:val="0"/>
                <w:sz w:val="18"/>
              </w:rPr>
              <w:t>مدة التوريد</w:t>
            </w:r>
          </w:p>
        </w:tc>
        <w:tc>
          <w:tcPr>
            <w:tcW w:type="dxa" w:w="2880"/>
            <w:vAlign w:val="center"/>
            <w:shd w:fill="F2F7F4"/>
          </w:tcPr>
          <w:p>
            <w:pPr>
              <w:jc w:val="right"/>
              <w:bidi/>
            </w:pPr>
            <w:r/>
            <w:r>
              <w:rPr>
                <w:rFonts w:ascii="Arial" w:hAnsi="Arial" w:eastAsia="Arial"/>
                <w:b w:val="0"/>
                <w:sz w:val="18"/>
              </w:rPr>
              <w:t>5%</w:t>
            </w:r>
          </w:p>
        </w:tc>
      </w:tr>
      <w:tr>
        <w:tc>
          <w:tcPr>
            <w:tcW w:type="dxa" w:w="6480"/>
            <w:vAlign w:val="center"/>
          </w:tcPr>
          <w:p>
            <w:pPr>
              <w:jc w:val="right"/>
              <w:bidi/>
            </w:pPr>
            <w:r/>
            <w:r>
              <w:rPr>
                <w:rFonts w:ascii="Arial" w:hAnsi="Arial" w:eastAsia="Arial"/>
                <w:b w:val="0"/>
                <w:sz w:val="18"/>
              </w:rPr>
              <w:t>الضمان والخدمة</w:t>
            </w:r>
          </w:p>
        </w:tc>
        <w:tc>
          <w:tcPr>
            <w:tcW w:type="dxa" w:w="2880"/>
            <w:vAlign w:val="center"/>
          </w:tcPr>
          <w:p>
            <w:pPr>
              <w:jc w:val="right"/>
              <w:bidi/>
            </w:pPr>
            <w:r/>
            <w:r>
              <w:rPr>
                <w:rFonts w:ascii="Arial" w:hAnsi="Arial" w:eastAsia="Arial"/>
                <w:b w:val="0"/>
                <w:sz w:val="18"/>
              </w:rPr>
              <w:t>5%</w:t>
            </w:r>
          </w:p>
        </w:tc>
      </w:tr>
      <w:tr>
        <w:tc>
          <w:tcPr>
            <w:tcW w:type="dxa" w:w="6480"/>
            <w:vAlign w:val="center"/>
            <w:shd w:fill="F2F7F4"/>
          </w:tcPr>
          <w:p>
            <w:pPr>
              <w:jc w:val="right"/>
              <w:bidi/>
            </w:pPr>
            <w:r/>
            <w:r>
              <w:rPr>
                <w:rFonts w:ascii="Arial" w:hAnsi="Arial" w:eastAsia="Arial"/>
                <w:b w:val="0"/>
                <w:sz w:val="18"/>
              </w:rPr>
              <w:t>أداء المورد التاريخي</w:t>
            </w:r>
          </w:p>
        </w:tc>
        <w:tc>
          <w:tcPr>
            <w:tcW w:type="dxa" w:w="2880"/>
            <w:vAlign w:val="center"/>
            <w:shd w:fill="F2F7F4"/>
          </w:tcPr>
          <w:p>
            <w:pPr>
              <w:jc w:val="right"/>
              <w:bidi/>
            </w:pPr>
            <w:r/>
            <w:r>
              <w:rPr>
                <w:rFonts w:ascii="Arial" w:hAnsi="Arial" w:eastAsia="Arial"/>
                <w:b w:val="0"/>
                <w:sz w:val="18"/>
              </w:rPr>
              <w:t>5%</w:t>
            </w:r>
          </w:p>
        </w:tc>
      </w:tr>
    </w:tbl>
    <w:p>
      <w:pPr>
        <w:spacing w:after="40"/>
      </w:pPr>
    </w:p>
    <w:p>
      <w:pPr>
        <w:spacing w:after="60" w:line="259" w:lineRule="auto"/>
        <w:jc w:val="right"/>
        <w:bidi/>
      </w:pPr>
      <w:r>
        <w:rPr>
          <w:rFonts w:ascii="Arial" w:hAnsi="Arial" w:eastAsia="Arial"/>
          <w:sz w:val="21"/>
        </w:rPr>
        <w:t>Final Score = Technical Score × Weight + Financial Score × Weight + Delivery Score × Weight + Supplier Score × Weight. ويجب دعم Pass/Fail قبل احتساب النقاط، مع إمكانية منع فتح العرض المالي قبل اجتياز الفني.</w:t>
      </w:r>
    </w:p>
    <w:p>
      <w:pPr>
        <w:jc w:val="right"/>
        <w:bidi/>
      </w:pPr>
      <w:r>
        <w:rPr>
          <w:rFonts w:ascii="Arial" w:hAnsi="Arial" w:eastAsia="Arial"/>
          <w:b/>
          <w:color w:val="114637"/>
          <w:sz w:val="36"/>
        </w:rPr>
        <w:t>13. التحليل المالي للعروض</w:t>
      </w:r>
    </w:p>
    <w:p>
      <w:pPr>
        <w:spacing w:after="40"/>
        <w:ind w:left="216"/>
        <w:jc w:val="right"/>
        <w:bidi/>
      </w:pPr>
      <w:r>
        <w:rPr>
          <w:rFonts w:ascii="Arial" w:hAnsi="Arial" w:eastAsia="Arial"/>
          <w:sz w:val="20"/>
        </w:rPr>
        <w:t>• Normalization لتوحيد العملات والشروط والضرائب والتكاليف الإضافية.</w:t>
      </w:r>
    </w:p>
    <w:p>
      <w:pPr>
        <w:spacing w:after="40"/>
        <w:ind w:left="216"/>
        <w:jc w:val="right"/>
        <w:bidi/>
      </w:pPr>
      <w:r>
        <w:rPr>
          <w:rFonts w:ascii="Arial" w:hAnsi="Arial" w:eastAsia="Arial"/>
          <w:sz w:val="20"/>
        </w:rPr>
        <w:t>• Total Cost of Ownership عند الحاجة: السعر + الشحن + التركيب + الصيانة + التشغيل − القيمة المتبقية.</w:t>
      </w:r>
    </w:p>
    <w:p>
      <w:pPr>
        <w:spacing w:after="40"/>
        <w:ind w:left="216"/>
        <w:jc w:val="right"/>
        <w:bidi/>
      </w:pPr>
      <w:r>
        <w:rPr>
          <w:rFonts w:ascii="Arial" w:hAnsi="Arial" w:eastAsia="Arial"/>
          <w:sz w:val="20"/>
        </w:rPr>
        <w:t>• تحليل الحساسية حسب الكمية والسعر والتسليم.</w:t>
      </w:r>
    </w:p>
    <w:p>
      <w:pPr>
        <w:spacing w:after="40"/>
        <w:ind w:left="216"/>
        <w:jc w:val="right"/>
        <w:bidi/>
      </w:pPr>
      <w:r>
        <w:rPr>
          <w:rFonts w:ascii="Arial" w:hAnsi="Arial" w:eastAsia="Arial"/>
          <w:sz w:val="20"/>
        </w:rPr>
        <w:t>• مقارنة العرض مع الميزانية والسعر التاريخي وآخر شراء ومتوسط الموردين.</w:t>
      </w:r>
    </w:p>
    <w:p>
      <w:pPr>
        <w:spacing w:after="40"/>
        <w:ind w:left="216"/>
        <w:jc w:val="right"/>
        <w:bidi/>
      </w:pPr>
      <w:r>
        <w:rPr>
          <w:rFonts w:ascii="Arial" w:hAnsi="Arial" w:eastAsia="Arial"/>
          <w:sz w:val="20"/>
        </w:rPr>
        <w:t>• عرض Waterfall يوضح كيف وصل السعر من Subtotal إلى Grand Total.</w:t>
      </w:r>
    </w:p>
    <w:p>
      <w:pPr>
        <w:spacing w:after="40"/>
        <w:ind w:left="216"/>
        <w:jc w:val="right"/>
        <w:bidi/>
      </w:pPr>
      <w:r>
        <w:rPr>
          <w:rFonts w:ascii="Arial" w:hAnsi="Arial" w:eastAsia="Arial"/>
          <w:sz w:val="20"/>
        </w:rPr>
        <w:t>• تحليل أثر VAT والخصومات والرسوم والشحن بصورة منفصلة.</w:t>
      </w:r>
    </w:p>
    <w:p>
      <w:pPr>
        <w:jc w:val="right"/>
        <w:bidi/>
      </w:pPr>
      <w:r>
        <w:rPr>
          <w:rFonts w:ascii="Arial" w:hAnsi="Arial" w:eastAsia="Arial"/>
          <w:b/>
          <w:color w:val="114637"/>
          <w:sz w:val="36"/>
        </w:rPr>
        <w:t>14. التكامل مع وحدات ERP</w:t>
      </w:r>
    </w:p>
    <w:tbl>
      <w:tblPr>
        <w:tblStyle w:val="TableGrid"/>
        <w:tblW w:type="auto" w:w="0"/>
        <w:jc w:val="center"/>
        <w:tblLook w:firstColumn="1" w:firstRow="1" w:lastColumn="0" w:lastRow="0" w:noHBand="0" w:noVBand="1" w:val="04A0"/>
      </w:tblPr>
      <w:tblGrid>
        <w:gridCol w:w="5328"/>
        <w:gridCol w:w="5328"/>
      </w:tblGrid>
      <w:tr>
        <w:tc>
          <w:tcPr>
            <w:tcW w:type="dxa" w:w="2448"/>
            <w:vAlign w:val="center"/>
            <w:shd w:fill="176B55"/>
          </w:tcPr>
          <w:p>
            <w:pPr>
              <w:jc w:val="center"/>
              <w:bidi/>
            </w:pPr>
            <w:r/>
            <w:r>
              <w:rPr>
                <w:rFonts w:ascii="Arial" w:hAnsi="Arial" w:eastAsia="Arial"/>
                <w:b/>
                <w:color w:val="FFFFFF"/>
                <w:sz w:val="16"/>
              </w:rPr>
              <w:t>الوحدة</w:t>
            </w:r>
          </w:p>
        </w:tc>
        <w:tc>
          <w:tcPr>
            <w:tcW w:type="dxa" w:w="7920"/>
            <w:vAlign w:val="center"/>
            <w:shd w:fill="176B55"/>
          </w:tcPr>
          <w:p>
            <w:pPr>
              <w:jc w:val="center"/>
              <w:bidi/>
            </w:pPr>
            <w:r/>
            <w:r>
              <w:rPr>
                <w:rFonts w:ascii="Arial" w:hAnsi="Arial" w:eastAsia="Arial"/>
                <w:b/>
                <w:color w:val="FFFFFF"/>
                <w:sz w:val="16"/>
              </w:rPr>
              <w:t>التكامل</w:t>
            </w:r>
          </w:p>
        </w:tc>
      </w:tr>
      <w:tr>
        <w:tc>
          <w:tcPr>
            <w:tcW w:type="dxa" w:w="2448"/>
            <w:vAlign w:val="center"/>
            <w:shd w:fill="F2F7F4"/>
          </w:tcPr>
          <w:p>
            <w:pPr>
              <w:jc w:val="right"/>
              <w:bidi/>
            </w:pPr>
            <w:r/>
            <w:r>
              <w:rPr>
                <w:rFonts w:ascii="Arial" w:hAnsi="Arial" w:eastAsia="Arial"/>
                <w:b w:val="0"/>
                <w:sz w:val="16"/>
              </w:rPr>
              <w:t>Budgeting</w:t>
            </w:r>
          </w:p>
        </w:tc>
        <w:tc>
          <w:tcPr>
            <w:tcW w:type="dxa" w:w="7920"/>
            <w:vAlign w:val="center"/>
            <w:shd w:fill="F2F7F4"/>
          </w:tcPr>
          <w:p>
            <w:pPr>
              <w:jc w:val="right"/>
              <w:bidi/>
            </w:pPr>
            <w:r/>
            <w:r>
              <w:rPr>
                <w:rFonts w:ascii="Arial" w:hAnsi="Arial" w:eastAsia="Arial"/>
                <w:b w:val="0"/>
                <w:sz w:val="16"/>
              </w:rPr>
              <w:t>حجز/تحقق الميزانية ومركز التكلفة قبل النشر والترسية.</w:t>
            </w:r>
          </w:p>
        </w:tc>
      </w:tr>
      <w:tr>
        <w:tc>
          <w:tcPr>
            <w:tcW w:type="dxa" w:w="2448"/>
            <w:vAlign w:val="center"/>
          </w:tcPr>
          <w:p>
            <w:pPr>
              <w:jc w:val="right"/>
              <w:bidi/>
            </w:pPr>
            <w:r/>
            <w:r>
              <w:rPr>
                <w:rFonts w:ascii="Arial" w:hAnsi="Arial" w:eastAsia="Arial"/>
                <w:b w:val="0"/>
                <w:sz w:val="16"/>
              </w:rPr>
              <w:t>Procurement</w:t>
            </w:r>
          </w:p>
        </w:tc>
        <w:tc>
          <w:tcPr>
            <w:tcW w:type="dxa" w:w="7920"/>
            <w:vAlign w:val="center"/>
          </w:tcPr>
          <w:p>
            <w:pPr>
              <w:jc w:val="right"/>
              <w:bidi/>
            </w:pPr>
            <w:r/>
            <w:r>
              <w:rPr>
                <w:rFonts w:ascii="Arial" w:hAnsi="Arial" w:eastAsia="Arial"/>
                <w:b w:val="0"/>
                <w:sz w:val="16"/>
              </w:rPr>
              <w:t>PR، RFQ، Tender، Award، PO دون إعادة إدخال.</w:t>
            </w:r>
          </w:p>
        </w:tc>
      </w:tr>
      <w:tr>
        <w:tc>
          <w:tcPr>
            <w:tcW w:type="dxa" w:w="2448"/>
            <w:vAlign w:val="center"/>
            <w:shd w:fill="F2F7F4"/>
          </w:tcPr>
          <w:p>
            <w:pPr>
              <w:jc w:val="right"/>
              <w:bidi/>
            </w:pPr>
            <w:r/>
            <w:r>
              <w:rPr>
                <w:rFonts w:ascii="Arial" w:hAnsi="Arial" w:eastAsia="Arial"/>
                <w:b w:val="0"/>
                <w:sz w:val="16"/>
              </w:rPr>
              <w:t>Inventory</w:t>
            </w:r>
          </w:p>
        </w:tc>
        <w:tc>
          <w:tcPr>
            <w:tcW w:type="dxa" w:w="7920"/>
            <w:vAlign w:val="center"/>
            <w:shd w:fill="F2F7F4"/>
          </w:tcPr>
          <w:p>
            <w:pPr>
              <w:jc w:val="right"/>
              <w:bidi/>
            </w:pPr>
            <w:r/>
            <w:r>
              <w:rPr>
                <w:rFonts w:ascii="Arial" w:hAnsi="Arial" w:eastAsia="Arial"/>
                <w:b w:val="0"/>
                <w:sz w:val="16"/>
              </w:rPr>
              <w:t>ربط الأصناف والوحدات والمستودعات والاستلام.</w:t>
            </w:r>
          </w:p>
        </w:tc>
      </w:tr>
      <w:tr>
        <w:tc>
          <w:tcPr>
            <w:tcW w:type="dxa" w:w="2448"/>
            <w:vAlign w:val="center"/>
          </w:tcPr>
          <w:p>
            <w:pPr>
              <w:jc w:val="right"/>
              <w:bidi/>
            </w:pPr>
            <w:r/>
            <w:r>
              <w:rPr>
                <w:rFonts w:ascii="Arial" w:hAnsi="Arial" w:eastAsia="Arial"/>
                <w:b w:val="0"/>
                <w:sz w:val="16"/>
              </w:rPr>
              <w:t>Finance/AP</w:t>
            </w:r>
          </w:p>
        </w:tc>
        <w:tc>
          <w:tcPr>
            <w:tcW w:type="dxa" w:w="7920"/>
            <w:vAlign w:val="center"/>
          </w:tcPr>
          <w:p>
            <w:pPr>
              <w:jc w:val="right"/>
              <w:bidi/>
            </w:pPr>
            <w:r/>
            <w:r>
              <w:rPr>
                <w:rFonts w:ascii="Arial" w:hAnsi="Arial" w:eastAsia="Arial"/>
                <w:b w:val="0"/>
                <w:sz w:val="16"/>
              </w:rPr>
              <w:t>فاتورة المورد، VAT Input، Accounts Payable، الدفع.</w:t>
            </w:r>
          </w:p>
        </w:tc>
      </w:tr>
      <w:tr>
        <w:tc>
          <w:tcPr>
            <w:tcW w:type="dxa" w:w="2448"/>
            <w:vAlign w:val="center"/>
            <w:shd w:fill="F2F7F4"/>
          </w:tcPr>
          <w:p>
            <w:pPr>
              <w:jc w:val="right"/>
              <w:bidi/>
            </w:pPr>
            <w:r/>
            <w:r>
              <w:rPr>
                <w:rFonts w:ascii="Arial" w:hAnsi="Arial" w:eastAsia="Arial"/>
                <w:b w:val="0"/>
                <w:sz w:val="16"/>
              </w:rPr>
              <w:t>Contracts</w:t>
            </w:r>
          </w:p>
        </w:tc>
        <w:tc>
          <w:tcPr>
            <w:tcW w:type="dxa" w:w="7920"/>
            <w:vAlign w:val="center"/>
            <w:shd w:fill="F2F7F4"/>
          </w:tcPr>
          <w:p>
            <w:pPr>
              <w:jc w:val="right"/>
              <w:bidi/>
            </w:pPr>
            <w:r/>
            <w:r>
              <w:rPr>
                <w:rFonts w:ascii="Arial" w:hAnsi="Arial" w:eastAsia="Arial"/>
                <w:b w:val="0"/>
                <w:sz w:val="16"/>
              </w:rPr>
              <w:t>إنشاء عقد من قرار الترسية وتتبع الالتزامات والتجديد.</w:t>
            </w:r>
          </w:p>
        </w:tc>
      </w:tr>
      <w:tr>
        <w:tc>
          <w:tcPr>
            <w:tcW w:type="dxa" w:w="2448"/>
            <w:vAlign w:val="center"/>
          </w:tcPr>
          <w:p>
            <w:pPr>
              <w:jc w:val="right"/>
              <w:bidi/>
            </w:pPr>
            <w:r/>
            <w:r>
              <w:rPr>
                <w:rFonts w:ascii="Arial" w:hAnsi="Arial" w:eastAsia="Arial"/>
                <w:b w:val="0"/>
                <w:sz w:val="16"/>
              </w:rPr>
              <w:t>Projects</w:t>
            </w:r>
          </w:p>
        </w:tc>
        <w:tc>
          <w:tcPr>
            <w:tcW w:type="dxa" w:w="7920"/>
            <w:vAlign w:val="center"/>
          </w:tcPr>
          <w:p>
            <w:pPr>
              <w:jc w:val="right"/>
              <w:bidi/>
            </w:pPr>
            <w:r/>
            <w:r>
              <w:rPr>
                <w:rFonts w:ascii="Arial" w:hAnsi="Arial" w:eastAsia="Arial"/>
                <w:b w:val="0"/>
                <w:sz w:val="16"/>
              </w:rPr>
              <w:t>ربط المناقصة بمشروع/WBS/Cost Code.</w:t>
            </w:r>
          </w:p>
        </w:tc>
      </w:tr>
      <w:tr>
        <w:tc>
          <w:tcPr>
            <w:tcW w:type="dxa" w:w="2448"/>
            <w:vAlign w:val="center"/>
            <w:shd w:fill="F2F7F4"/>
          </w:tcPr>
          <w:p>
            <w:pPr>
              <w:jc w:val="right"/>
              <w:bidi/>
            </w:pPr>
            <w:r/>
            <w:r>
              <w:rPr>
                <w:rFonts w:ascii="Arial" w:hAnsi="Arial" w:eastAsia="Arial"/>
                <w:b w:val="0"/>
                <w:sz w:val="16"/>
              </w:rPr>
              <w:t>Assets</w:t>
            </w:r>
          </w:p>
        </w:tc>
        <w:tc>
          <w:tcPr>
            <w:tcW w:type="dxa" w:w="7920"/>
            <w:vAlign w:val="center"/>
            <w:shd w:fill="F2F7F4"/>
          </w:tcPr>
          <w:p>
            <w:pPr>
              <w:jc w:val="right"/>
              <w:bidi/>
            </w:pPr>
            <w:r/>
            <w:r>
              <w:rPr>
                <w:rFonts w:ascii="Arial" w:hAnsi="Arial" w:eastAsia="Arial"/>
                <w:b w:val="0"/>
                <w:sz w:val="16"/>
              </w:rPr>
              <w:t>تحويل الأصناف الرأسمالية المستلمة إلى أصول.</w:t>
            </w:r>
          </w:p>
        </w:tc>
      </w:tr>
      <w:tr>
        <w:tc>
          <w:tcPr>
            <w:tcW w:type="dxa" w:w="2448"/>
            <w:vAlign w:val="center"/>
          </w:tcPr>
          <w:p>
            <w:pPr>
              <w:jc w:val="right"/>
              <w:bidi/>
            </w:pPr>
            <w:r/>
            <w:r>
              <w:rPr>
                <w:rFonts w:ascii="Arial" w:hAnsi="Arial" w:eastAsia="Arial"/>
                <w:b w:val="0"/>
                <w:sz w:val="16"/>
              </w:rPr>
              <w:t>Document Management</w:t>
            </w:r>
          </w:p>
        </w:tc>
        <w:tc>
          <w:tcPr>
            <w:tcW w:type="dxa" w:w="7920"/>
            <w:vAlign w:val="center"/>
          </w:tcPr>
          <w:p>
            <w:pPr>
              <w:jc w:val="right"/>
              <w:bidi/>
            </w:pPr>
            <w:r/>
            <w:r>
              <w:rPr>
                <w:rFonts w:ascii="Arial" w:hAnsi="Arial" w:eastAsia="Arial"/>
                <w:b w:val="0"/>
                <w:sz w:val="16"/>
              </w:rPr>
              <w:t>نسخ المستندات، صلاحيات، إصدار، Hash، أرشفة.</w:t>
            </w:r>
          </w:p>
        </w:tc>
      </w:tr>
      <w:tr>
        <w:tc>
          <w:tcPr>
            <w:tcW w:type="dxa" w:w="2448"/>
            <w:vAlign w:val="center"/>
            <w:shd w:fill="F2F7F4"/>
          </w:tcPr>
          <w:p>
            <w:pPr>
              <w:jc w:val="right"/>
              <w:bidi/>
            </w:pPr>
            <w:r/>
            <w:r>
              <w:rPr>
                <w:rFonts w:ascii="Arial" w:hAnsi="Arial" w:eastAsia="Arial"/>
                <w:b w:val="0"/>
                <w:sz w:val="16"/>
              </w:rPr>
              <w:t>Notifications</w:t>
            </w:r>
          </w:p>
        </w:tc>
        <w:tc>
          <w:tcPr>
            <w:tcW w:type="dxa" w:w="7920"/>
            <w:vAlign w:val="center"/>
            <w:shd w:fill="F2F7F4"/>
          </w:tcPr>
          <w:p>
            <w:pPr>
              <w:jc w:val="right"/>
              <w:bidi/>
            </w:pPr>
            <w:r/>
            <w:r>
              <w:rPr>
                <w:rFonts w:ascii="Arial" w:hAnsi="Arial" w:eastAsia="Arial"/>
                <w:b w:val="0"/>
                <w:sz w:val="16"/>
              </w:rPr>
              <w:t>In-App، Email، SMS/WhatsApp عند توفر الربط.</w:t>
            </w:r>
          </w:p>
        </w:tc>
      </w:tr>
      <w:tr>
        <w:tc>
          <w:tcPr>
            <w:tcW w:type="dxa" w:w="2448"/>
            <w:vAlign w:val="center"/>
          </w:tcPr>
          <w:p>
            <w:pPr>
              <w:jc w:val="right"/>
              <w:bidi/>
            </w:pPr>
            <w:r/>
            <w:r>
              <w:rPr>
                <w:rFonts w:ascii="Arial" w:hAnsi="Arial" w:eastAsia="Arial"/>
                <w:b w:val="0"/>
                <w:sz w:val="16"/>
              </w:rPr>
              <w:t>BI</w:t>
            </w:r>
          </w:p>
        </w:tc>
        <w:tc>
          <w:tcPr>
            <w:tcW w:type="dxa" w:w="7920"/>
            <w:vAlign w:val="center"/>
          </w:tcPr>
          <w:p>
            <w:pPr>
              <w:jc w:val="right"/>
              <w:bidi/>
            </w:pPr>
            <w:r/>
            <w:r>
              <w:rPr>
                <w:rFonts w:ascii="Arial" w:hAnsi="Arial" w:eastAsia="Arial"/>
                <w:b w:val="0"/>
                <w:sz w:val="16"/>
              </w:rPr>
              <w:t>Data Mart وتقارير تنفيذية قابلة للتصفية.</w:t>
            </w:r>
          </w:p>
        </w:tc>
      </w:tr>
    </w:tbl>
    <w:p>
      <w:pPr>
        <w:spacing w:after="40"/>
      </w:pPr>
    </w:p>
    <w:p>
      <w:pPr>
        <w:jc w:val="right"/>
        <w:bidi/>
      </w:pPr>
      <w:r>
        <w:rPr>
          <w:rFonts w:ascii="Arial" w:hAnsi="Arial" w:eastAsia="Arial"/>
          <w:b/>
          <w:color w:val="114637"/>
          <w:sz w:val="36"/>
        </w:rPr>
        <w:t>15. نموذج البيانات المقترح</w:t>
      </w:r>
    </w:p>
    <w:p>
      <w:pPr>
        <w:spacing w:after="40"/>
        <w:ind w:left="216"/>
        <w:jc w:val="right"/>
        <w:bidi/>
      </w:pPr>
      <w:r>
        <w:rPr>
          <w:rFonts w:ascii="Arial" w:hAnsi="Arial" w:eastAsia="Arial"/>
          <w:sz w:val="20"/>
        </w:rPr>
        <w:t>• tenders, tender_sections, tender_items, tender_documents</w:t>
      </w:r>
    </w:p>
    <w:p>
      <w:pPr>
        <w:spacing w:after="40"/>
        <w:ind w:left="216"/>
        <w:jc w:val="right"/>
        <w:bidi/>
      </w:pPr>
      <w:r>
        <w:rPr>
          <w:rFonts w:ascii="Arial" w:hAnsi="Arial" w:eastAsia="Arial"/>
          <w:sz w:val="20"/>
        </w:rPr>
        <w:t>• suppliers, supplier_contacts, supplier_documents, supplier_categories</w:t>
      </w:r>
    </w:p>
    <w:p>
      <w:pPr>
        <w:spacing w:after="40"/>
        <w:ind w:left="216"/>
        <w:jc w:val="right"/>
        <w:bidi/>
      </w:pPr>
      <w:r>
        <w:rPr>
          <w:rFonts w:ascii="Arial" w:hAnsi="Arial" w:eastAsia="Arial"/>
          <w:sz w:val="20"/>
        </w:rPr>
        <w:t>• tender_suppliers, supplier_quotes, supplier_quote_items</w:t>
      </w:r>
    </w:p>
    <w:p>
      <w:pPr>
        <w:spacing w:after="40"/>
        <w:ind w:left="216"/>
        <w:jc w:val="right"/>
        <w:bidi/>
      </w:pPr>
      <w:r>
        <w:rPr>
          <w:rFonts w:ascii="Arial" w:hAnsi="Arial" w:eastAsia="Arial"/>
          <w:sz w:val="20"/>
        </w:rPr>
        <w:t>• technical_evaluations, financial_evaluations, evaluation_criteria, evaluation_scores</w:t>
      </w:r>
    </w:p>
    <w:p>
      <w:pPr>
        <w:spacing w:after="40"/>
        <w:ind w:left="216"/>
        <w:jc w:val="right"/>
        <w:bidi/>
      </w:pPr>
      <w:r>
        <w:rPr>
          <w:rFonts w:ascii="Arial" w:hAnsi="Arial" w:eastAsia="Arial"/>
          <w:sz w:val="20"/>
        </w:rPr>
        <w:t>• tender_approvals, approval_steps, tender_awards</w:t>
      </w:r>
    </w:p>
    <w:p>
      <w:pPr>
        <w:spacing w:after="40"/>
        <w:ind w:left="216"/>
        <w:jc w:val="right"/>
        <w:bidi/>
      </w:pPr>
      <w:r>
        <w:rPr>
          <w:rFonts w:ascii="Arial" w:hAnsi="Arial" w:eastAsia="Arial"/>
          <w:sz w:val="20"/>
        </w:rPr>
        <w:t>• purchase_requisitions, purchase_orders, purchase_order_items</w:t>
      </w:r>
    </w:p>
    <w:p>
      <w:pPr>
        <w:spacing w:after="40"/>
        <w:ind w:left="216"/>
        <w:jc w:val="right"/>
        <w:bidi/>
      </w:pPr>
      <w:r>
        <w:rPr>
          <w:rFonts w:ascii="Arial" w:hAnsi="Arial" w:eastAsia="Arial"/>
          <w:sz w:val="20"/>
        </w:rPr>
        <w:t>• goods_receipts, vendor_invoices, contracts</w:t>
      </w:r>
    </w:p>
    <w:p>
      <w:pPr>
        <w:spacing w:after="40"/>
        <w:ind w:left="216"/>
        <w:jc w:val="right"/>
        <w:bidi/>
      </w:pPr>
      <w:r>
        <w:rPr>
          <w:rFonts w:ascii="Arial" w:hAnsi="Arial" w:eastAsia="Arial"/>
          <w:sz w:val="20"/>
        </w:rPr>
        <w:t>• budgets, cost_centers, currencies, tax_rates, units_of_measure</w:t>
      </w:r>
    </w:p>
    <w:p>
      <w:pPr>
        <w:spacing w:after="40"/>
        <w:ind w:left="216"/>
        <w:jc w:val="right"/>
        <w:bidi/>
      </w:pPr>
      <w:r>
        <w:rPr>
          <w:rFonts w:ascii="Arial" w:hAnsi="Arial" w:eastAsia="Arial"/>
          <w:sz w:val="20"/>
        </w:rPr>
        <w:t>• comments, notifications, activity_logs, audit_events</w:t>
      </w:r>
    </w:p>
    <w:p>
      <w:pPr>
        <w:spacing w:after="60" w:line="259" w:lineRule="auto"/>
        <w:jc w:val="right"/>
        <w:bidi/>
      </w:pPr>
      <w:r>
        <w:rPr>
          <w:rFonts w:ascii="Arial" w:hAnsi="Arial" w:eastAsia="Arial"/>
          <w:sz w:val="21"/>
        </w:rPr>
        <w:t>يجب تخزين القيم المالية الأصلية والعملة وسعر الصرف المستخدم، وعدم إعادة حساب العروض التاريخية بسعر صرف جديد. كما يجب حفظ نسخة Snapshot من BOQ عند تقديم المورد للعرض لضمان سلامة التدقيق.</w:t>
      </w:r>
    </w:p>
    <w:p>
      <w:pPr>
        <w:jc w:val="right"/>
        <w:bidi/>
      </w:pPr>
      <w:r>
        <w:rPr>
          <w:rFonts w:ascii="Arial" w:hAnsi="Arial" w:eastAsia="Arial"/>
          <w:b/>
          <w:color w:val="114637"/>
          <w:sz w:val="36"/>
        </w:rPr>
        <w:t>16. الصلاحيات والأمن</w:t>
      </w:r>
    </w:p>
    <w:p>
      <w:pPr>
        <w:spacing w:after="40"/>
        <w:ind w:left="216"/>
        <w:jc w:val="right"/>
        <w:bidi/>
      </w:pPr>
      <w:r>
        <w:rPr>
          <w:rFonts w:ascii="Arial" w:hAnsi="Arial" w:eastAsia="Arial"/>
          <w:sz w:val="20"/>
        </w:rPr>
        <w:t>• RBAC + نطاق الشركة/الفرع/الإدارة/المناقصة.</w:t>
      </w:r>
    </w:p>
    <w:p>
      <w:pPr>
        <w:spacing w:after="40"/>
        <w:ind w:left="216"/>
        <w:jc w:val="right"/>
        <w:bidi/>
      </w:pPr>
      <w:r>
        <w:rPr>
          <w:rFonts w:ascii="Arial" w:hAnsi="Arial" w:eastAsia="Arial"/>
          <w:sz w:val="20"/>
        </w:rPr>
        <w:t>• فصل صلاحية إنشاء المناقصة عن التقييم والاعتماد حسب السياسة.</w:t>
      </w:r>
    </w:p>
    <w:p>
      <w:pPr>
        <w:spacing w:after="40"/>
        <w:ind w:left="216"/>
        <w:jc w:val="right"/>
        <w:bidi/>
      </w:pPr>
      <w:r>
        <w:rPr>
          <w:rFonts w:ascii="Arial" w:hAnsi="Arial" w:eastAsia="Arial"/>
          <w:sz w:val="20"/>
        </w:rPr>
        <w:t>• Field-Level Security للأسعار والميزانيات والتقييمات.</w:t>
      </w:r>
    </w:p>
    <w:p>
      <w:pPr>
        <w:spacing w:after="40"/>
        <w:ind w:left="216"/>
        <w:jc w:val="right"/>
        <w:bidi/>
      </w:pPr>
      <w:r>
        <w:rPr>
          <w:rFonts w:ascii="Arial" w:hAnsi="Arial" w:eastAsia="Arial"/>
          <w:sz w:val="20"/>
        </w:rPr>
        <w:t>• Sealed Bid مع صلاحية فتح محددة ولجنة فتح عند الحاجة.</w:t>
      </w:r>
    </w:p>
    <w:p>
      <w:pPr>
        <w:spacing w:after="40"/>
        <w:ind w:left="216"/>
        <w:jc w:val="right"/>
        <w:bidi/>
      </w:pPr>
      <w:r>
        <w:rPr>
          <w:rFonts w:ascii="Arial" w:hAnsi="Arial" w:eastAsia="Arial"/>
          <w:sz w:val="20"/>
        </w:rPr>
        <w:t>• MFA للحسابات الحساسة والموردين عند اعتماد السياسة.</w:t>
      </w:r>
    </w:p>
    <w:p>
      <w:pPr>
        <w:spacing w:after="40"/>
        <w:ind w:left="216"/>
        <w:jc w:val="right"/>
        <w:bidi/>
      </w:pPr>
      <w:r>
        <w:rPr>
          <w:rFonts w:ascii="Arial" w:hAnsi="Arial" w:eastAsia="Arial"/>
          <w:sz w:val="20"/>
        </w:rPr>
        <w:t>• Audit Trail غير قابل للتعديل من الواجهة.</w:t>
      </w:r>
    </w:p>
    <w:p>
      <w:pPr>
        <w:spacing w:after="40"/>
        <w:ind w:left="216"/>
        <w:jc w:val="right"/>
        <w:bidi/>
      </w:pPr>
      <w:r>
        <w:rPr>
          <w:rFonts w:ascii="Arial" w:hAnsi="Arial" w:eastAsia="Arial"/>
          <w:sz w:val="20"/>
        </w:rPr>
        <w:t>• تسجيل تغييرات القيم: old_value / new_value / actor / timestamp / reason.</w:t>
      </w:r>
    </w:p>
    <w:p>
      <w:pPr>
        <w:spacing w:after="40"/>
        <w:ind w:left="216"/>
        <w:jc w:val="right"/>
        <w:bidi/>
      </w:pPr>
      <w:r>
        <w:rPr>
          <w:rFonts w:ascii="Arial" w:hAnsi="Arial" w:eastAsia="Arial"/>
          <w:sz w:val="20"/>
        </w:rPr>
        <w:t>• حظر المورد من رؤية أي عرض أو سعر لمورد آخر.</w:t>
      </w:r>
    </w:p>
    <w:p>
      <w:pPr>
        <w:spacing w:after="40"/>
        <w:ind w:left="216"/>
        <w:jc w:val="right"/>
        <w:bidi/>
      </w:pPr>
      <w:r>
        <w:rPr>
          <w:rFonts w:ascii="Arial" w:hAnsi="Arial" w:eastAsia="Arial"/>
          <w:sz w:val="20"/>
        </w:rPr>
        <w:t>• قفل العرض بعد الموعد أو بعد الإرسال النهائي إلا عبر إجراء رسمي موثق.</w:t>
      </w:r>
    </w:p>
    <w:p>
      <w:pPr>
        <w:jc w:val="right"/>
        <w:bidi/>
      </w:pPr>
      <w:r>
        <w:rPr>
          <w:rFonts w:ascii="Arial" w:hAnsi="Arial" w:eastAsia="Arial"/>
          <w:b/>
          <w:color w:val="114637"/>
          <w:sz w:val="36"/>
        </w:rPr>
        <w:t>17. الاستيراد والتصدير والتوافق مع Excel</w:t>
      </w:r>
    </w:p>
    <w:p>
      <w:pPr>
        <w:spacing w:after="40"/>
        <w:ind w:left="216"/>
        <w:jc w:val="right"/>
        <w:bidi/>
      </w:pPr>
      <w:r>
        <w:rPr>
          <w:rFonts w:ascii="Arial" w:hAnsi="Arial" w:eastAsia="Arial"/>
          <w:sz w:val="20"/>
        </w:rPr>
        <w:t>• استيراد .xlsx/.xls/.csv مع Mapping للأعمدة ومعاينة قبل الحفظ.</w:t>
      </w:r>
    </w:p>
    <w:p>
      <w:pPr>
        <w:spacing w:after="40"/>
        <w:ind w:left="216"/>
        <w:jc w:val="right"/>
        <w:bidi/>
      </w:pPr>
      <w:r>
        <w:rPr>
          <w:rFonts w:ascii="Arial" w:hAnsi="Arial" w:eastAsia="Arial"/>
          <w:sz w:val="20"/>
        </w:rPr>
        <w:t>• كشف الصفوف المكررة والوحدات غير المعروفة والكميات غير الصحيحة.</w:t>
      </w:r>
    </w:p>
    <w:p>
      <w:pPr>
        <w:spacing w:after="40"/>
        <w:ind w:left="216"/>
        <w:jc w:val="right"/>
        <w:bidi/>
      </w:pPr>
      <w:r>
        <w:rPr>
          <w:rFonts w:ascii="Arial" w:hAnsi="Arial" w:eastAsia="Arial"/>
          <w:sz w:val="20"/>
        </w:rPr>
        <w:t>• قالب Excel رسمي للتنزيل وإعادة الرفع عند الحاجة.</w:t>
      </w:r>
    </w:p>
    <w:p>
      <w:pPr>
        <w:spacing w:after="40"/>
        <w:ind w:left="216"/>
        <w:jc w:val="right"/>
        <w:bidi/>
      </w:pPr>
      <w:r>
        <w:rPr>
          <w:rFonts w:ascii="Arial" w:hAnsi="Arial" w:eastAsia="Arial"/>
          <w:sz w:val="20"/>
        </w:rPr>
        <w:t>• Excel View داخل ERP يحاكي ترتيب الأعمدة الحالي لتسهيل الانتقال.</w:t>
      </w:r>
    </w:p>
    <w:p>
      <w:pPr>
        <w:spacing w:after="40"/>
        <w:ind w:left="216"/>
        <w:jc w:val="right"/>
        <w:bidi/>
      </w:pPr>
      <w:r>
        <w:rPr>
          <w:rFonts w:ascii="Arial" w:hAnsi="Arial" w:eastAsia="Arial"/>
          <w:sz w:val="20"/>
        </w:rPr>
        <w:t>• تصدير BOQ، عرض مورد، مقارنة عروض، محضر تقييم وترسية إلى Excel.</w:t>
      </w:r>
    </w:p>
    <w:p>
      <w:pPr>
        <w:spacing w:after="40"/>
        <w:ind w:left="216"/>
        <w:jc w:val="right"/>
        <w:bidi/>
      </w:pPr>
      <w:r>
        <w:rPr>
          <w:rFonts w:ascii="Arial" w:hAnsi="Arial" w:eastAsia="Arial"/>
          <w:sz w:val="20"/>
        </w:rPr>
        <w:t>• PDF رسمي للطباعة يتضمن الرأس، الرقم المرجعي، البنود، الإجماليات، التفقيط، الشروط والتوقيعات.</w:t>
      </w:r>
    </w:p>
    <w:p>
      <w:pPr>
        <w:jc w:val="right"/>
        <w:bidi/>
      </w:pPr>
      <w:r>
        <w:rPr>
          <w:rFonts w:ascii="Arial" w:hAnsi="Arial" w:eastAsia="Arial"/>
          <w:b/>
          <w:color w:val="114637"/>
          <w:sz w:val="36"/>
        </w:rPr>
        <w:t>18. تجربة المستخدم المقترحة</w:t>
      </w:r>
    </w:p>
    <w:p>
      <w:pPr>
        <w:spacing w:after="40"/>
        <w:ind w:left="216"/>
        <w:jc w:val="right"/>
        <w:bidi/>
      </w:pPr>
      <w:r>
        <w:rPr>
          <w:rFonts w:ascii="Arial" w:hAnsi="Arial" w:eastAsia="Arial"/>
          <w:sz w:val="20"/>
        </w:rPr>
        <w:t>• واجهة RTL عربية أولاً مع English LTR.</w:t>
      </w:r>
    </w:p>
    <w:p>
      <w:pPr>
        <w:spacing w:after="40"/>
        <w:ind w:left="216"/>
        <w:jc w:val="right"/>
        <w:bidi/>
      </w:pPr>
      <w:r>
        <w:rPr>
          <w:rFonts w:ascii="Arial" w:hAnsi="Arial" w:eastAsia="Arial"/>
          <w:sz w:val="20"/>
        </w:rPr>
        <w:t>• Sticky Header للأعمدة الأساسية أثناء التمرير.</w:t>
      </w:r>
    </w:p>
    <w:p>
      <w:pPr>
        <w:spacing w:after="40"/>
        <w:ind w:left="216"/>
        <w:jc w:val="right"/>
        <w:bidi/>
      </w:pPr>
      <w:r>
        <w:rPr>
          <w:rFonts w:ascii="Arial" w:hAnsi="Arial" w:eastAsia="Arial"/>
          <w:sz w:val="20"/>
        </w:rPr>
        <w:t>• تجميد رقم البند والوصف مثل Excel.</w:t>
      </w:r>
    </w:p>
    <w:p>
      <w:pPr>
        <w:spacing w:after="40"/>
        <w:ind w:left="216"/>
        <w:jc w:val="right"/>
        <w:bidi/>
      </w:pPr>
      <w:r>
        <w:rPr>
          <w:rFonts w:ascii="Arial" w:hAnsi="Arial" w:eastAsia="Arial"/>
          <w:sz w:val="20"/>
        </w:rPr>
        <w:t>• Inline Editing للأسعار مع Autosave للمسودة.</w:t>
      </w:r>
    </w:p>
    <w:p>
      <w:pPr>
        <w:spacing w:after="40"/>
        <w:ind w:left="216"/>
        <w:jc w:val="right"/>
        <w:bidi/>
      </w:pPr>
      <w:r>
        <w:rPr>
          <w:rFonts w:ascii="Arial" w:hAnsi="Arial" w:eastAsia="Arial"/>
          <w:sz w:val="20"/>
        </w:rPr>
        <w:t>• ألوان واضحة للحالات وليس للاستخدام الزخرفي.</w:t>
      </w:r>
    </w:p>
    <w:p>
      <w:pPr>
        <w:spacing w:after="40"/>
        <w:ind w:left="216"/>
        <w:jc w:val="right"/>
        <w:bidi/>
      </w:pPr>
      <w:r>
        <w:rPr>
          <w:rFonts w:ascii="Arial" w:hAnsi="Arial" w:eastAsia="Arial"/>
          <w:sz w:val="20"/>
        </w:rPr>
        <w:t>• صف إجماليات ثابت أسفل الشاشة أثناء إدخال الأسعار.</w:t>
      </w:r>
    </w:p>
    <w:p>
      <w:pPr>
        <w:spacing w:after="40"/>
        <w:ind w:left="216"/>
        <w:jc w:val="right"/>
        <w:bidi/>
      </w:pPr>
      <w:r>
        <w:rPr>
          <w:rFonts w:ascii="Arial" w:hAnsi="Arial" w:eastAsia="Arial"/>
          <w:sz w:val="20"/>
        </w:rPr>
        <w:t>• اختصارات لوحة مفاتيح وPaste من Excel لسرعة إدخال BOQ.</w:t>
      </w:r>
    </w:p>
    <w:p>
      <w:pPr>
        <w:spacing w:after="40"/>
        <w:ind w:left="216"/>
        <w:jc w:val="right"/>
        <w:bidi/>
      </w:pPr>
      <w:r>
        <w:rPr>
          <w:rFonts w:ascii="Arial" w:hAnsi="Arial" w:eastAsia="Arial"/>
          <w:sz w:val="20"/>
        </w:rPr>
        <w:t>• Side Panel لتفاصيل البند والمرفقات دون مغادرة الجدول.</w:t>
      </w:r>
    </w:p>
    <w:p>
      <w:pPr>
        <w:spacing w:after="40"/>
        <w:ind w:left="216"/>
        <w:jc w:val="right"/>
        <w:bidi/>
      </w:pPr>
      <w:r>
        <w:rPr>
          <w:rFonts w:ascii="Arial" w:hAnsi="Arial" w:eastAsia="Arial"/>
          <w:sz w:val="20"/>
        </w:rPr>
        <w:t>• Comparison Heatmap لإظهار الأقل/الأعلى والانحرافات بصرياً.</w:t>
      </w:r>
    </w:p>
    <w:p>
      <w:pPr>
        <w:spacing w:after="40"/>
        <w:ind w:left="216"/>
        <w:jc w:val="right"/>
        <w:bidi/>
      </w:pPr>
      <w:r>
        <w:rPr>
          <w:rFonts w:ascii="Arial" w:hAnsi="Arial" w:eastAsia="Arial"/>
          <w:sz w:val="20"/>
        </w:rPr>
        <w:t>• حفظ Views مخصصة لكل مستخدم وفلاتر قابلة للمشاركة.</w:t>
      </w:r>
    </w:p>
    <w:p>
      <w:pPr>
        <w:jc w:val="right"/>
        <w:bidi/>
      </w:pPr>
      <w:r>
        <w:rPr>
          <w:rFonts w:ascii="Arial" w:hAnsi="Arial" w:eastAsia="Arial"/>
          <w:b/>
          <w:color w:val="114637"/>
          <w:sz w:val="36"/>
        </w:rPr>
        <w:t>19. التقارير الرسمية</w:t>
      </w:r>
    </w:p>
    <w:p>
      <w:pPr>
        <w:spacing w:after="40"/>
        <w:ind w:left="216"/>
        <w:jc w:val="right"/>
        <w:bidi/>
      </w:pPr>
      <w:r>
        <w:rPr>
          <w:rFonts w:ascii="Arial" w:hAnsi="Arial" w:eastAsia="Arial"/>
          <w:sz w:val="20"/>
        </w:rPr>
        <w:t>• تقرير سجل المناقصة الكامل.</w:t>
      </w:r>
    </w:p>
    <w:p>
      <w:pPr>
        <w:spacing w:after="40"/>
        <w:ind w:left="216"/>
        <w:jc w:val="right"/>
        <w:bidi/>
      </w:pPr>
      <w:r>
        <w:rPr>
          <w:rFonts w:ascii="Arial" w:hAnsi="Arial" w:eastAsia="Arial"/>
          <w:sz w:val="20"/>
        </w:rPr>
        <w:t>• جدول مقارنة العروض Comparative Statement.</w:t>
      </w:r>
    </w:p>
    <w:p>
      <w:pPr>
        <w:spacing w:after="40"/>
        <w:ind w:left="216"/>
        <w:jc w:val="right"/>
        <w:bidi/>
      </w:pPr>
      <w:r>
        <w:rPr>
          <w:rFonts w:ascii="Arial" w:hAnsi="Arial" w:eastAsia="Arial"/>
          <w:sz w:val="20"/>
        </w:rPr>
        <w:t>• تقرير التقييم الفني.</w:t>
      </w:r>
    </w:p>
    <w:p>
      <w:pPr>
        <w:spacing w:after="40"/>
        <w:ind w:left="216"/>
        <w:jc w:val="right"/>
        <w:bidi/>
      </w:pPr>
      <w:r>
        <w:rPr>
          <w:rFonts w:ascii="Arial" w:hAnsi="Arial" w:eastAsia="Arial"/>
          <w:sz w:val="20"/>
        </w:rPr>
        <w:t>• تقرير التقييم المالي.</w:t>
      </w:r>
    </w:p>
    <w:p>
      <w:pPr>
        <w:spacing w:after="40"/>
        <w:ind w:left="216"/>
        <w:jc w:val="right"/>
        <w:bidi/>
      </w:pPr>
      <w:r>
        <w:rPr>
          <w:rFonts w:ascii="Arial" w:hAnsi="Arial" w:eastAsia="Arial"/>
          <w:sz w:val="20"/>
        </w:rPr>
        <w:t>• تقرير توصية الترسية.</w:t>
      </w:r>
    </w:p>
    <w:p>
      <w:pPr>
        <w:spacing w:after="40"/>
        <w:ind w:left="216"/>
        <w:jc w:val="right"/>
        <w:bidi/>
      </w:pPr>
      <w:r>
        <w:rPr>
          <w:rFonts w:ascii="Arial" w:hAnsi="Arial" w:eastAsia="Arial"/>
          <w:sz w:val="20"/>
        </w:rPr>
        <w:t>• محضر فتح العروض.</w:t>
      </w:r>
    </w:p>
    <w:p>
      <w:pPr>
        <w:spacing w:after="40"/>
        <w:ind w:left="216"/>
        <w:jc w:val="right"/>
        <w:bidi/>
      </w:pPr>
      <w:r>
        <w:rPr>
          <w:rFonts w:ascii="Arial" w:hAnsi="Arial" w:eastAsia="Arial"/>
          <w:sz w:val="20"/>
        </w:rPr>
        <w:t>• تقرير الموردين غير المشاركين وأسباب عدم المشاركة.</w:t>
      </w:r>
    </w:p>
    <w:p>
      <w:pPr>
        <w:spacing w:after="40"/>
        <w:ind w:left="216"/>
        <w:jc w:val="right"/>
        <w:bidi/>
      </w:pPr>
      <w:r>
        <w:rPr>
          <w:rFonts w:ascii="Arial" w:hAnsi="Arial" w:eastAsia="Arial"/>
          <w:sz w:val="20"/>
        </w:rPr>
        <w:t>• تقرير الوفر والانحراف عن الميزانية.</w:t>
      </w:r>
    </w:p>
    <w:p>
      <w:pPr>
        <w:spacing w:after="40"/>
        <w:ind w:left="216"/>
        <w:jc w:val="right"/>
        <w:bidi/>
      </w:pPr>
      <w:r>
        <w:rPr>
          <w:rFonts w:ascii="Arial" w:hAnsi="Arial" w:eastAsia="Arial"/>
          <w:sz w:val="20"/>
        </w:rPr>
        <w:t>• تقرير أداء المورد بعد التنفيذ.</w:t>
      </w:r>
    </w:p>
    <w:p>
      <w:pPr>
        <w:spacing w:after="40"/>
        <w:ind w:left="216"/>
        <w:jc w:val="right"/>
        <w:bidi/>
      </w:pPr>
      <w:r>
        <w:rPr>
          <w:rFonts w:ascii="Arial" w:hAnsi="Arial" w:eastAsia="Arial"/>
          <w:sz w:val="20"/>
        </w:rPr>
        <w:t>• تقرير Audit Trail للمراجعة الداخلية.</w:t>
      </w:r>
    </w:p>
    <w:p>
      <w:pPr>
        <w:jc w:val="right"/>
        <w:bidi/>
      </w:pPr>
      <w:r>
        <w:rPr>
          <w:rFonts w:ascii="Arial" w:hAnsi="Arial" w:eastAsia="Arial"/>
          <w:b/>
          <w:color w:val="114637"/>
          <w:sz w:val="36"/>
        </w:rPr>
        <w:t>20. مراحل التنفيذ المقترحة</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76B55"/>
          </w:tcPr>
          <w:p>
            <w:pPr>
              <w:jc w:val="center"/>
              <w:bidi/>
            </w:pPr>
            <w:r/>
            <w:r>
              <w:rPr>
                <w:rFonts w:ascii="Arial" w:hAnsi="Arial" w:eastAsia="Arial"/>
                <w:b/>
                <w:color w:val="FFFFFF"/>
                <w:sz w:val="16"/>
              </w:rPr>
              <w:t>المرحلة</w:t>
            </w:r>
          </w:p>
        </w:tc>
        <w:tc>
          <w:tcPr>
            <w:tcW w:type="dxa" w:w="3600"/>
            <w:vAlign w:val="center"/>
            <w:shd w:fill="176B55"/>
          </w:tcPr>
          <w:p>
            <w:pPr>
              <w:jc w:val="center"/>
              <w:bidi/>
            </w:pPr>
            <w:r/>
            <w:r>
              <w:rPr>
                <w:rFonts w:ascii="Arial" w:hAnsi="Arial" w:eastAsia="Arial"/>
                <w:b/>
                <w:color w:val="FFFFFF"/>
                <w:sz w:val="16"/>
              </w:rPr>
              <w:t>النطاق</w:t>
            </w:r>
          </w:p>
        </w:tc>
        <w:tc>
          <w:tcPr>
            <w:tcW w:type="dxa" w:w="4896"/>
            <w:vAlign w:val="center"/>
            <w:shd w:fill="176B55"/>
          </w:tcPr>
          <w:p>
            <w:pPr>
              <w:jc w:val="center"/>
              <w:bidi/>
            </w:pPr>
            <w:r/>
            <w:r>
              <w:rPr>
                <w:rFonts w:ascii="Arial" w:hAnsi="Arial" w:eastAsia="Arial"/>
                <w:b/>
                <w:color w:val="FFFFFF"/>
                <w:sz w:val="16"/>
              </w:rPr>
              <w:t>المخرجات</w:t>
            </w:r>
          </w:p>
        </w:tc>
      </w:tr>
      <w:tr>
        <w:tc>
          <w:tcPr>
            <w:tcW w:type="dxa" w:w="1872"/>
            <w:vAlign w:val="center"/>
            <w:shd w:fill="F2F7F4"/>
          </w:tcPr>
          <w:p>
            <w:pPr>
              <w:jc w:val="right"/>
              <w:bidi/>
            </w:pPr>
            <w:r/>
            <w:r>
              <w:rPr>
                <w:rFonts w:ascii="Arial" w:hAnsi="Arial" w:eastAsia="Arial"/>
                <w:b w:val="0"/>
                <w:sz w:val="16"/>
              </w:rPr>
              <w:t>1 - الأساس</w:t>
            </w:r>
          </w:p>
        </w:tc>
        <w:tc>
          <w:tcPr>
            <w:tcW w:type="dxa" w:w="3600"/>
            <w:vAlign w:val="center"/>
            <w:shd w:fill="F2F7F4"/>
          </w:tcPr>
          <w:p>
            <w:pPr>
              <w:jc w:val="right"/>
              <w:bidi/>
            </w:pPr>
            <w:r/>
            <w:r>
              <w:rPr>
                <w:rFonts w:ascii="Arial" w:hAnsi="Arial" w:eastAsia="Arial"/>
                <w:b w:val="0"/>
                <w:sz w:val="16"/>
              </w:rPr>
              <w:t>Tender + BOQ + Suppliers + Quotes</w:t>
            </w:r>
          </w:p>
        </w:tc>
        <w:tc>
          <w:tcPr>
            <w:tcW w:type="dxa" w:w="4896"/>
            <w:vAlign w:val="center"/>
            <w:shd w:fill="F2F7F4"/>
          </w:tcPr>
          <w:p>
            <w:pPr>
              <w:jc w:val="right"/>
              <w:bidi/>
            </w:pPr>
            <w:r/>
            <w:r>
              <w:rPr>
                <w:rFonts w:ascii="Arial" w:hAnsi="Arial" w:eastAsia="Arial"/>
                <w:b w:val="0"/>
                <w:sz w:val="16"/>
              </w:rPr>
              <w:t>استبدال الوظائف الأساسية لملف Excel.</w:t>
            </w:r>
          </w:p>
        </w:tc>
      </w:tr>
      <w:tr>
        <w:tc>
          <w:tcPr>
            <w:tcW w:type="dxa" w:w="1872"/>
            <w:vAlign w:val="center"/>
          </w:tcPr>
          <w:p>
            <w:pPr>
              <w:jc w:val="right"/>
              <w:bidi/>
            </w:pPr>
            <w:r/>
            <w:r>
              <w:rPr>
                <w:rFonts w:ascii="Arial" w:hAnsi="Arial" w:eastAsia="Arial"/>
                <w:b w:val="0"/>
                <w:sz w:val="16"/>
              </w:rPr>
              <w:t>2 - المقارنة</w:t>
            </w:r>
          </w:p>
        </w:tc>
        <w:tc>
          <w:tcPr>
            <w:tcW w:type="dxa" w:w="3600"/>
            <w:vAlign w:val="center"/>
          </w:tcPr>
          <w:p>
            <w:pPr>
              <w:jc w:val="right"/>
              <w:bidi/>
            </w:pPr>
            <w:r/>
            <w:r>
              <w:rPr>
                <w:rFonts w:ascii="Arial" w:hAnsi="Arial" w:eastAsia="Arial"/>
                <w:b w:val="0"/>
                <w:sz w:val="16"/>
              </w:rPr>
              <w:t>Comparison + Tax + Tafqeet + Export</w:t>
            </w:r>
          </w:p>
        </w:tc>
        <w:tc>
          <w:tcPr>
            <w:tcW w:type="dxa" w:w="4896"/>
            <w:vAlign w:val="center"/>
          </w:tcPr>
          <w:p>
            <w:pPr>
              <w:jc w:val="right"/>
              <w:bidi/>
            </w:pPr>
            <w:r/>
            <w:r>
              <w:rPr>
                <w:rFonts w:ascii="Arial" w:hAnsi="Arial" w:eastAsia="Arial"/>
                <w:b w:val="0"/>
                <w:sz w:val="16"/>
              </w:rPr>
              <w:t>مقارنة تلقائية وتقارير رسمية.</w:t>
            </w:r>
          </w:p>
        </w:tc>
      </w:tr>
      <w:tr>
        <w:tc>
          <w:tcPr>
            <w:tcW w:type="dxa" w:w="1872"/>
            <w:vAlign w:val="center"/>
            <w:shd w:fill="F2F7F4"/>
          </w:tcPr>
          <w:p>
            <w:pPr>
              <w:jc w:val="right"/>
              <w:bidi/>
            </w:pPr>
            <w:r/>
            <w:r>
              <w:rPr>
                <w:rFonts w:ascii="Arial" w:hAnsi="Arial" w:eastAsia="Arial"/>
                <w:b w:val="0"/>
                <w:sz w:val="16"/>
              </w:rPr>
              <w:t>3 - الحوكمة</w:t>
            </w:r>
          </w:p>
        </w:tc>
        <w:tc>
          <w:tcPr>
            <w:tcW w:type="dxa" w:w="3600"/>
            <w:vAlign w:val="center"/>
            <w:shd w:fill="F2F7F4"/>
          </w:tcPr>
          <w:p>
            <w:pPr>
              <w:jc w:val="right"/>
              <w:bidi/>
            </w:pPr>
            <w:r/>
            <w:r>
              <w:rPr>
                <w:rFonts w:ascii="Arial" w:hAnsi="Arial" w:eastAsia="Arial"/>
                <w:b w:val="0"/>
                <w:sz w:val="16"/>
              </w:rPr>
              <w:t>Workflow + Approvals + Sealed Bid + Audit</w:t>
            </w:r>
          </w:p>
        </w:tc>
        <w:tc>
          <w:tcPr>
            <w:tcW w:type="dxa" w:w="4896"/>
            <w:vAlign w:val="center"/>
            <w:shd w:fill="F2F7F4"/>
          </w:tcPr>
          <w:p>
            <w:pPr>
              <w:jc w:val="right"/>
              <w:bidi/>
            </w:pPr>
            <w:r/>
            <w:r>
              <w:rPr>
                <w:rFonts w:ascii="Arial" w:hAnsi="Arial" w:eastAsia="Arial"/>
                <w:b w:val="0"/>
                <w:sz w:val="16"/>
              </w:rPr>
              <w:t>دورة مناقصة قابلة للتدقيق.</w:t>
            </w:r>
          </w:p>
        </w:tc>
      </w:tr>
      <w:tr>
        <w:tc>
          <w:tcPr>
            <w:tcW w:type="dxa" w:w="1872"/>
            <w:vAlign w:val="center"/>
          </w:tcPr>
          <w:p>
            <w:pPr>
              <w:jc w:val="right"/>
              <w:bidi/>
            </w:pPr>
            <w:r/>
            <w:r>
              <w:rPr>
                <w:rFonts w:ascii="Arial" w:hAnsi="Arial" w:eastAsia="Arial"/>
                <w:b w:val="0"/>
                <w:sz w:val="16"/>
              </w:rPr>
              <w:t>4 - ERP Integration</w:t>
            </w:r>
          </w:p>
        </w:tc>
        <w:tc>
          <w:tcPr>
            <w:tcW w:type="dxa" w:w="3600"/>
            <w:vAlign w:val="center"/>
          </w:tcPr>
          <w:p>
            <w:pPr>
              <w:jc w:val="right"/>
              <w:bidi/>
            </w:pPr>
            <w:r/>
            <w:r>
              <w:rPr>
                <w:rFonts w:ascii="Arial" w:hAnsi="Arial" w:eastAsia="Arial"/>
                <w:b w:val="0"/>
                <w:sz w:val="16"/>
              </w:rPr>
              <w:t>PR/PO/Inventory/Finance/Contracts</w:t>
            </w:r>
          </w:p>
        </w:tc>
        <w:tc>
          <w:tcPr>
            <w:tcW w:type="dxa" w:w="4896"/>
            <w:vAlign w:val="center"/>
          </w:tcPr>
          <w:p>
            <w:pPr>
              <w:jc w:val="right"/>
              <w:bidi/>
            </w:pPr>
            <w:r/>
            <w:r>
              <w:rPr>
                <w:rFonts w:ascii="Arial" w:hAnsi="Arial" w:eastAsia="Arial"/>
                <w:b w:val="0"/>
                <w:sz w:val="16"/>
              </w:rPr>
              <w:t>تدفق من الاحتياج إلى الدفع.</w:t>
            </w:r>
          </w:p>
        </w:tc>
      </w:tr>
      <w:tr>
        <w:tc>
          <w:tcPr>
            <w:tcW w:type="dxa" w:w="1872"/>
            <w:vAlign w:val="center"/>
            <w:shd w:fill="F2F7F4"/>
          </w:tcPr>
          <w:p>
            <w:pPr>
              <w:jc w:val="right"/>
              <w:bidi/>
            </w:pPr>
            <w:r/>
            <w:r>
              <w:rPr>
                <w:rFonts w:ascii="Arial" w:hAnsi="Arial" w:eastAsia="Arial"/>
                <w:b w:val="0"/>
                <w:sz w:val="16"/>
              </w:rPr>
              <w:t>5 - Analytics</w:t>
            </w:r>
          </w:p>
        </w:tc>
        <w:tc>
          <w:tcPr>
            <w:tcW w:type="dxa" w:w="3600"/>
            <w:vAlign w:val="center"/>
            <w:shd w:fill="F2F7F4"/>
          </w:tcPr>
          <w:p>
            <w:pPr>
              <w:jc w:val="right"/>
              <w:bidi/>
            </w:pPr>
            <w:r/>
            <w:r>
              <w:rPr>
                <w:rFonts w:ascii="Arial" w:hAnsi="Arial" w:eastAsia="Arial"/>
                <w:b w:val="0"/>
                <w:sz w:val="16"/>
              </w:rPr>
              <w:t>KPIs + Dashboards + Supplier Scorecards</w:t>
            </w:r>
          </w:p>
        </w:tc>
        <w:tc>
          <w:tcPr>
            <w:tcW w:type="dxa" w:w="4896"/>
            <w:vAlign w:val="center"/>
            <w:shd w:fill="F2F7F4"/>
          </w:tcPr>
          <w:p>
            <w:pPr>
              <w:jc w:val="right"/>
              <w:bidi/>
            </w:pPr>
            <w:r/>
            <w:r>
              <w:rPr>
                <w:rFonts w:ascii="Arial" w:hAnsi="Arial" w:eastAsia="Arial"/>
                <w:b w:val="0"/>
                <w:sz w:val="16"/>
              </w:rPr>
              <w:t>تحليلات تنفيذية وتشغيلية.</w:t>
            </w:r>
          </w:p>
        </w:tc>
      </w:tr>
      <w:tr>
        <w:tc>
          <w:tcPr>
            <w:tcW w:type="dxa" w:w="1872"/>
            <w:vAlign w:val="center"/>
          </w:tcPr>
          <w:p>
            <w:pPr>
              <w:jc w:val="right"/>
              <w:bidi/>
            </w:pPr>
            <w:r/>
            <w:r>
              <w:rPr>
                <w:rFonts w:ascii="Arial" w:hAnsi="Arial" w:eastAsia="Arial"/>
                <w:b w:val="0"/>
                <w:sz w:val="16"/>
              </w:rPr>
              <w:t>6 - Intelligence</w:t>
            </w:r>
          </w:p>
        </w:tc>
        <w:tc>
          <w:tcPr>
            <w:tcW w:type="dxa" w:w="3600"/>
            <w:vAlign w:val="center"/>
          </w:tcPr>
          <w:p>
            <w:pPr>
              <w:jc w:val="right"/>
              <w:bidi/>
            </w:pPr>
            <w:r/>
            <w:r>
              <w:rPr>
                <w:rFonts w:ascii="Arial" w:hAnsi="Arial" w:eastAsia="Arial"/>
                <w:b w:val="0"/>
                <w:sz w:val="16"/>
              </w:rPr>
              <w:t>Anomalies + Forecasting + Risk + Opportunities</w:t>
            </w:r>
          </w:p>
        </w:tc>
        <w:tc>
          <w:tcPr>
            <w:tcW w:type="dxa" w:w="4896"/>
            <w:vAlign w:val="center"/>
          </w:tcPr>
          <w:p>
            <w:pPr>
              <w:jc w:val="right"/>
              <w:bidi/>
            </w:pPr>
            <w:r/>
            <w:r>
              <w:rPr>
                <w:rFonts w:ascii="Arial" w:hAnsi="Arial" w:eastAsia="Arial"/>
                <w:b w:val="0"/>
                <w:sz w:val="16"/>
              </w:rPr>
              <w:t>ذكاء قرار بعد توفر بيانات تاريخية كافية.</w:t>
            </w:r>
          </w:p>
        </w:tc>
      </w:tr>
    </w:tbl>
    <w:p>
      <w:pPr>
        <w:spacing w:after="40"/>
      </w:pPr>
    </w:p>
    <w:p>
      <w:pPr>
        <w:jc w:val="right"/>
        <w:bidi/>
      </w:pPr>
      <w:r>
        <w:rPr>
          <w:rFonts w:ascii="Arial" w:hAnsi="Arial" w:eastAsia="Arial"/>
          <w:b/>
          <w:color w:val="114637"/>
          <w:sz w:val="36"/>
        </w:rPr>
        <w:t>21. معايير القبول الأساسية</w:t>
      </w:r>
    </w:p>
    <w:p>
      <w:pPr>
        <w:spacing w:after="40"/>
        <w:ind w:left="216"/>
        <w:jc w:val="right"/>
        <w:bidi/>
      </w:pPr>
      <w:r>
        <w:rPr>
          <w:rFonts w:ascii="Arial" w:hAnsi="Arial" w:eastAsia="Arial"/>
          <w:sz w:val="20"/>
        </w:rPr>
        <w:t>• مطابقة حسابات Subtotal/VAT/Grand Total مع عينة Excel المرجعية بدقة.</w:t>
      </w:r>
    </w:p>
    <w:p>
      <w:pPr>
        <w:spacing w:after="40"/>
        <w:ind w:left="216"/>
        <w:jc w:val="right"/>
        <w:bidi/>
      </w:pPr>
      <w:r>
        <w:rPr>
          <w:rFonts w:ascii="Arial" w:hAnsi="Arial" w:eastAsia="Arial"/>
          <w:sz w:val="20"/>
        </w:rPr>
        <w:t>• إمكانية إنشاء عدد غير محدود من أقسام وبنود BOQ.</w:t>
      </w:r>
    </w:p>
    <w:p>
      <w:pPr>
        <w:spacing w:after="40"/>
        <w:ind w:left="216"/>
        <w:jc w:val="right"/>
        <w:bidi/>
      </w:pPr>
      <w:r>
        <w:rPr>
          <w:rFonts w:ascii="Arial" w:hAnsi="Arial" w:eastAsia="Arial"/>
          <w:sz w:val="20"/>
        </w:rPr>
        <w:t>• عدم تمكن المورد من تغيير الوصف أو الكمية إذا كانت مقفلة من الجهة.</w:t>
      </w:r>
    </w:p>
    <w:p>
      <w:pPr>
        <w:spacing w:after="40"/>
        <w:ind w:left="216"/>
        <w:jc w:val="right"/>
        <w:bidi/>
      </w:pPr>
      <w:r>
        <w:rPr>
          <w:rFonts w:ascii="Arial" w:hAnsi="Arial" w:eastAsia="Arial"/>
          <w:sz w:val="20"/>
        </w:rPr>
        <w:t>• عدم ظهور أسعار المنافسين لأي مورد.</w:t>
      </w:r>
    </w:p>
    <w:p>
      <w:pPr>
        <w:spacing w:after="40"/>
        <w:ind w:left="216"/>
        <w:jc w:val="right"/>
        <w:bidi/>
      </w:pPr>
      <w:r>
        <w:rPr>
          <w:rFonts w:ascii="Arial" w:hAnsi="Arial" w:eastAsia="Arial"/>
          <w:sz w:val="20"/>
        </w:rPr>
        <w:t>• قفل العروض تلقائياً عند الموعد النهائي.</w:t>
      </w:r>
    </w:p>
    <w:p>
      <w:pPr>
        <w:spacing w:after="40"/>
        <w:ind w:left="216"/>
        <w:jc w:val="right"/>
        <w:bidi/>
      </w:pPr>
      <w:r>
        <w:rPr>
          <w:rFonts w:ascii="Arial" w:hAnsi="Arial" w:eastAsia="Arial"/>
          <w:sz w:val="20"/>
        </w:rPr>
        <w:t>• وجود سجل تدقيق لكل تغيير حساس.</w:t>
      </w:r>
    </w:p>
    <w:p>
      <w:pPr>
        <w:spacing w:after="40"/>
        <w:ind w:left="216"/>
        <w:jc w:val="right"/>
        <w:bidi/>
      </w:pPr>
      <w:r>
        <w:rPr>
          <w:rFonts w:ascii="Arial" w:hAnsi="Arial" w:eastAsia="Arial"/>
          <w:sz w:val="20"/>
        </w:rPr>
        <w:t>• إمكانية استخراج مقارنة العروض وPDF رسمي.</w:t>
      </w:r>
    </w:p>
    <w:p>
      <w:pPr>
        <w:spacing w:after="40"/>
        <w:ind w:left="216"/>
        <w:jc w:val="right"/>
        <w:bidi/>
      </w:pPr>
      <w:r>
        <w:rPr>
          <w:rFonts w:ascii="Arial" w:hAnsi="Arial" w:eastAsia="Arial"/>
          <w:sz w:val="20"/>
        </w:rPr>
        <w:t>• تحويل قرار الترسية إلى PO/Contract دون إعادة إدخال البنود.</w:t>
      </w:r>
    </w:p>
    <w:p>
      <w:pPr>
        <w:spacing w:after="40"/>
        <w:ind w:left="216"/>
        <w:jc w:val="right"/>
        <w:bidi/>
      </w:pPr>
      <w:r>
        <w:rPr>
          <w:rFonts w:ascii="Arial" w:hAnsi="Arial" w:eastAsia="Arial"/>
          <w:sz w:val="20"/>
        </w:rPr>
        <w:t>• عرض KPIs والفلاتر حسب الصلاحية والنطاق التنظيمي.</w:t>
      </w:r>
    </w:p>
    <w:p>
      <w:pPr>
        <w:spacing w:after="40"/>
        <w:ind w:left="216"/>
        <w:jc w:val="right"/>
        <w:bidi/>
      </w:pPr>
      <w:r>
        <w:rPr>
          <w:rFonts w:ascii="Arial" w:hAnsi="Arial" w:eastAsia="Arial"/>
          <w:sz w:val="20"/>
        </w:rPr>
        <w:t>• الحفاظ على Snapshot تاريخي للعروض حتى بعد تعديل Master Data.</w:t>
      </w:r>
    </w:p>
    <w:p>
      <w:pPr>
        <w:jc w:val="right"/>
        <w:bidi/>
      </w:pPr>
      <w:r>
        <w:rPr>
          <w:rFonts w:ascii="Arial" w:hAnsi="Arial" w:eastAsia="Arial"/>
          <w:b/>
          <w:color w:val="114637"/>
          <w:sz w:val="36"/>
        </w:rPr>
        <w:t>22. النتيجة النهائية المستهدفة</w:t>
      </w:r>
    </w:p>
    <w:p>
      <w:pPr>
        <w:spacing w:after="60" w:line="259" w:lineRule="auto"/>
        <w:jc w:val="right"/>
        <w:bidi/>
      </w:pPr>
      <w:r>
        <w:rPr>
          <w:rFonts w:ascii="Arial" w:hAnsi="Arial" w:eastAsia="Arial"/>
          <w:sz w:val="21"/>
        </w:rPr>
        <w:t>الوحدة النهائية لا تكون مجرد «جدول أسعار إلكتروني»، بل منصة Procurement Intelligence داخل الـERP: تبدأ من الاحتياج والميزانية، تدير المنافسة والعروض، تحلل الأسعار والموردين والمخاطر، توثق قرار الترسية، ثم تربطه بالعقد وأمر الشراء والاستلام والفاتورة والدفع. وبذلك تتحول بيانات المناقصات من ملفات منفصلة إلى مصدر تحليلي مركزي يمكن للإدارة استخدامه لخفض التكلفة، تحسين المنافسة، قياس الموردين وتقليل مخاطر الشراء.</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olor w:val="6E6E6E"/>
        <w:sz w:val="16"/>
      </w:rPr>
      <w:t>ERP Tender &amp; BOQ Management — Functional &amp; Analytics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