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EF3"/>
          <w:sz w:val="56"/>
          <w:szCs w:val="56"/>
        </w:rPr>
        <w:t xml:space="preserve">WideBot AI Design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Release Notes &amp; Developer Guide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6EF3"/>
          <w:sz w:val="32"/>
          <w:szCs w:val="32"/>
        </w:rPr>
        <w:t xml:space="preserve">v1.0.0</w:t>
      </w:r>
    </w:p>
    <w:p>
      <w:pPr>
        <w:pBdr>
          <w:bottom w:val="single" w:color="1B6EF3" w:sz="6" w:space="12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26, 2026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For Designers &amp; Developers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Dual-Brand  |  AI-Native  |  Enterprise-Grade  |  Token-Driven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42 Components  |  86 Tokens  |  8 JSON Registries  |  19 Governance Rules  |  5 Skills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WideBot (WCAG AAA) + Hulul (WCAG AA)  |  Light + Dark  |  LTR + RTL  |  Desktop +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Release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Version 1.0.0 is the foundational release of the WideBot AI Design System. It delivers 42 production-ready components, 86 design tokens, 8 machine-readable JSON registries, and 19 governance enforcement rules in a single-file, token-driven architecture.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system supports two brands (WideBot + Hulul), two themes (light + dark), two text directions (LTR + RTL), and two viewports (desktop + mobile). This is not a traditional npm package. Like shadcn/ui, you copy the source directly into your project and extend it using the same token and governance architecture.</w:t>
      </w:r>
    </w:p>
    <w:p>
      <w:r>
        <w:br w:type="page"/>
      </w:r>
    </w:p>
    <w:p>
      <w:pPr>
        <w:pStyle w:val="Heading2"/>
      </w:pPr>
      <w:r>
        <w:t xml:space="preserve">System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diagram shows how all layers of the design system connect, from the single source of truth (ds-library.html) through JSON registries, skill pipeline, product and Figma outputs, runtime configuration, and governance enforcement.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5048250"/>
            <wp:effectExtent t="0" r="0" b="0" l="0"/>
            <wp:docPr id="1" name="system-architecture" descr="Figure 0: System Architecture Overview" title="Figure 0: System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0: System Architecture Overview</w:t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2. What Is Included</w:t>
      </w:r>
    </w:p>
    <w:p>
      <w:pPr>
        <w:pStyle w:val="Heading2"/>
      </w:pPr>
      <w:r>
        <w:t xml:space="preserve">Component Library (42 Components)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Primitives (7):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Button, Icon Button, Badge, Chip, Toggle, Avatar, Divider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Containers (4):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Card, Panel, Tabs, Accordion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Navigation (4):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Breadcrumb, Nav Rail, Bottom Nav,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Feedback (7):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Dialog, Alert, Snackbar, Toast, Tooltip, Popover, Empty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Forms (7):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Text Field, Selection Controls, Slider, Date Picker, Tag Input, File Upload,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Data Display (5):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List, Data Grid, Tree View, Timeline, Stepper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 Components (8):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Chat, Command Palette, Notification Center, Search, Loading, AI Confidence, Reasoning Trace, Activity Event</w:t>
      </w:r>
    </w:p>
    <w:p>
      <w:pPr>
        <w:pStyle w:val="Heading2"/>
      </w:pPr>
      <w:r>
        <w:t xml:space="preserve">Architecture Registries (8 JSONs)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ai-component-registry.json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- 42 component schemas + AG-UI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ai-knowledge-graph.json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token-to-component relationship 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ai-motion-system.json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- 15 keyframes, transitions, reduced-motion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ai-responsive-system.json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media queries, container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ai-interaction-contracts.json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- 10 behavioral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ai-mobile-touch-model.json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touch targets, gestures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ai-governance-lifecycle.json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U1-U19 enforcement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ai-generative-ui-registry.json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- 35 agent-to-UI intent mappings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3. Installation (Step by Step)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Follow these 6 steps to integrate the design system into your Angular project.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905250"/>
            <wp:effectExtent t="0" r="0" b="0" l="0"/>
            <wp:docPr id="1" name="installation-flow" descr="Figure 1: Installation Flow" title="Figure 1: Install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1: Installation Flow</w:t>
      </w:r>
    </w:p>
    <w:p>
      <w:r>
        <w:br w:type="page"/>
      </w:r>
    </w:p>
    <w:p>
      <w:pPr>
        <w:pStyle w:val="Heading2"/>
      </w:pPr>
      <w:r>
        <w:t xml:space="preserve">Step 1: Clone the Repository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https://github.com/abdelrahmanalaa13/WB-DS.git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gives you ds-library.html, 8 JSON registries, governance specs, skills, and documentation.</w:t>
      </w:r>
    </w:p>
    <w:p>
      <w:pPr>
        <w:pStyle w:val="Heading2"/>
      </w:pPr>
      <w:r>
        <w:t xml:space="preserve">Step 2: Copy DS Assets into Your Project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Create a ds/ directory in your project's assets folder and copy the source files: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mkdir -p your-project/src/assets/ds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cp WB-DS/ds-library.html your-project/src/assets/ds/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cp WB-DS/ai-*.json your-project/src/assets/ds/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Recommended project structure: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src/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assets/ds/ds-library.html       &lt;- source of truth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assets/ds/ai-*.json              &lt;- machine registries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styles/ds-tokens.css             &lt;- extracted tokens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styles/ds-components.css          &lt;- extracted component CSS</w:t>
      </w:r>
    </w:p>
    <w:p>
      <w:pPr>
        <w:pStyle w:val="Heading2"/>
      </w:pPr>
      <w:r>
        <w:t xml:space="preserve">Step 3: Extract the CSS Layers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ds-library.html and extract the two CSS sections into standalone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ds-tokens.css: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the :root block and all [data-brand], [data-theme] overrides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ds-components.css: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all .ds-* component classes, @media, @keyframes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Import both in your root styles (angular.json or styles.scss):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@import 'styles/ds-tokens.css';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@import 'styles/ds-components.css';</w:t>
      </w:r>
    </w:p>
    <w:p>
      <w:pPr>
        <w:pStyle w:val="Heading2"/>
      </w:pPr>
      <w:r>
        <w:t xml:space="preserve">Step 4: Load Material Symbols Font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to your index.html inside the head tag: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&lt;link href="https://fonts.googleapis.com/css2?family=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Material+Symbols+Rounded:opsz,wght,FILL@20..48,100..700,0..1"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rel="stylesheet" /&gt;</w:t>
      </w:r>
    </w:p>
    <w:p>
      <w:r>
        <w:br w:type="page"/>
      </w:r>
    </w:p>
    <w:p>
      <w:pPr>
        <w:pStyle w:val="Heading2"/>
      </w:pPr>
      <w:r>
        <w:t xml:space="preserve">Step 5: Configure Root Attributes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brand-config" descr="Figure 2: Root Attribute Configuration" title="Figure 2: Root Attribute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2: Root Attribute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Set these 4 attributes on your root HTML element. The CSS cascade resolves correct tokens automatically:</w:t>
      </w:r>
    </w:p>
    <w:p>
      <w:pPr>
        <w:shd w:fill="1E293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&lt;html data-brand="widebot" data-theme="light" dir="ltr" data-viewport="desktop"&gt;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data-brand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widebot | hulul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Switches color palette and WCAG level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data-theme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 | dark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Switches surface/content color tokens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ltr | rtl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Activates logical CSS property direction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data-viewport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desktop | mobile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Activates responsive component rules</w:t>
            </w:r>
          </w:p>
        </w:tc>
      </w:tr>
    </w:tbl>
    <w:p>
      <w:pPr>
        <w:pStyle w:val="Heading2"/>
      </w:pPr>
      <w:r>
        <w:t xml:space="preserve">Step 6: Verify Installation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ds-library.html directly in a browser. Toggle between all brand/theme/direction/viewport combos using the built-in controls. All 42 components should render correctly. This file serves as living documentation and visual regression reference.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4. Skill Ecosystem and Prompts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design system integrates with 5 Claude skills that form a complete DS pipeline. Each skill has one job and operates on ds-library.html as the source of truth.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762250"/>
            <wp:effectExtent t="0" r="0" b="0" l="0"/>
            <wp:docPr id="1" name="skill-ecosystem" descr="Figure 3: Skill Ecosystem" title="Figure 3: Skill Eco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3: Skill Ecosystem</w:t>
      </w:r>
    </w:p>
    <w:p>
      <w:pPr>
        <w:pStyle w:val="Heading2"/>
      </w:pPr>
      <w:r>
        <w:t xml:space="preserve">ds-validator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Job: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Check any component against all 19 governance rules (U1-U19). Reports compliance score and specific violations.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When to use: After any component change, before documentation phase.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Example prompts: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Run ds-validator on the Button component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Validate all components and show me any violations below 90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Check if the new Stepper changes pass U10 and U12</w:t>
      </w:r>
    </w:p>
    <w:p>
      <w:pPr>
        <w:pStyle w:val="Heading2"/>
      </w:pPr>
      <w:r>
        <w:t xml:space="preserve">ds-registry-sync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Job: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Regenerate all 8 JSON registries from ds-library.html. Ensures machine-readable registries always match the source code.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When to use: After any code change to ds-library.html.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Example prompts: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Sync the registry - I just updated Timeline CSS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Regenerate all JSON files from ds-library.html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Run ds-registry-sync and show me what changed</w:t>
      </w:r>
    </w:p>
    <w:p>
      <w:pPr>
        <w:pStyle w:val="Heading2"/>
      </w:pPr>
      <w:r>
        <w:t xml:space="preserve">ds-agent-protocol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Job: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 components to AG-UI protocol schemas (readable, actions, events, generativeUI).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When to use: When adding new components or updating interaction contracts.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Example prompts: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Update the AG-UI protocol mappings for the new AI Confidence component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What actions can an agent trigger on the Data Grid?</w:t>
      </w:r>
    </w:p>
    <w:p>
      <w:pPr>
        <w:pStyle w:val="Heading2"/>
      </w:pPr>
      <w:r>
        <w:t xml:space="preserve">ui-feature-builder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Job: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Generate complete UI feature documentation (markdown) for Angular 21 with multi-brand design tokens.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When to use: When building a new feature or page that needs design specs.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Example prompts: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Build the UI feature spec for a customer approval workflow page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Generate feature docs for a settings page with WideBot and Hulul tokens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Create the component architecture for a dashboard analytics panel</w:t>
      </w:r>
    </w:p>
    <w:p>
      <w:pPr>
        <w:pStyle w:val="Heading2"/>
      </w:pPr>
      <w:r>
        <w:t xml:space="preserve">ui-feature-previewer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Job: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Preview feature-builder output as interactive visual artifacts across brands, themes, and directions.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When to use: After generating feature MDs, to see how components look.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Example prompts: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Preview the approval workflow MDs I just generated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Show me the component in WideBot dark RTL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Gap analysis between old and new tokens for Button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5. Building Products with the 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an AI agent or developer builds a new product feature, the workflow follows 6 steps: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191000"/>
            <wp:effectExtent t="0" r="0" b="0" l="0"/>
            <wp:docPr id="1" name="product-workflow" descr="Figure 4: Product Development Workflow" title="Figure 4: Product Developme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4: Product Development Workflow</w:t>
      </w:r>
    </w:p>
    <w:p>
      <w:r>
        <w:br w:type="pag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Intent: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 receives a feature request (e.g., 'build a customer approval workflow').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Registry Lookup: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 reads ai-generative-ui-registry.json to find matching intent mappings and required components.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Component Composition: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 reads ai-component-registry.json for schemas, properties, slots, tokens, and ARIA requirements.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Code Generation: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 generates Angular code using DS classes, data attributes, and token references. No raw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Validation: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Run ds-validator. Score must be 90+ to proceed. If below 90, fix violations and re-validate.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Registry Sync: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Run ds-registry-sync to keep all 8 JSONs current after code changes.</w:t>
      </w:r>
    </w:p>
    <w:p>
      <w:pPr>
        <w:pStyle w:val="Heading2"/>
      </w:pPr>
      <w:r>
        <w:t xml:space="preserve">Example: Building a Dashboard Page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Here is the exact prompt sequence a developer would use: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Use ui-feature-builder to create the feature spec for an analytics dashboard with KPI cards, a data grid, and a chart area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This generates markdown files with component architecture, token mappings, and responsive rules.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Preview the dashboard feature MDs in WideBot light 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This renders an interactive JSX preview showing the dashboard layout.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Run ds-validator on all components used in the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This checks U1-U19 compliance and reports the score.</w:t>
      </w:r>
    </w:p>
    <w:p>
      <w:pPr>
        <w:shd w:fill="EDE9FE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&gt;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Sync the registry after dashboard changes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This regenerates all 8 JSONs to reflect any new patterns.</w:t>
      </w:r>
    </w:p>
    <w:p>
      <w:pPr>
        <w:pStyle w:val="Heading2"/>
      </w:pPr>
      <w:r>
        <w:t xml:space="preserve">Generative UI Pattern (AG-UI)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agent proposes WHAT (intent + data + output schema). The frontend decides HOW (using DS components). The agent never outputs raw HTML. It emits structured intents resolved against the component registry. Each component's agentProtocol defines: readable (extractable fields), actions (triggerable mutations), events (subscribable notifications), generativeUI (output schemas).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6. Component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80"/>
        <w:gridCol w:w="24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Sizes / Options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action trigger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filled, tonal, outlined, ghost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xs, sm, md, lg, xl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Icon-only action/toggle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filled, tonal, outlined, ghost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xs, sm, md, lg, xl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indicator (dot/count)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dot, count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Chip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 tag/selection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tonal, outlined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On/off switch control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off, 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representation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image, initials, icon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xs, sm, md, lg, xl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Divider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Visual separator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horizontal, vertical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default, strong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container with slots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elevated, outlined, filled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navigation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icon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 trail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3-10 depth levels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 Rail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Collapsible side navigation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expanded, collapsed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desktop, mobile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Persistent content region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elevated, outlined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 overlay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alert, confirmation, form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Inline status message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tonal, filled, outlined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danger, warning, success, neutral, ai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Snackbar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Brief floating message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action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danger, warning, success, neutral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Toast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Floating notification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single, stacked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danger, warning, success, neutral, ai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Tooltip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Hover/focus info popup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plain, rich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top, bottom, start, end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Popover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Anchored floating content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info, form, actions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Menu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Dropdown action list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simple, icons, shortcuts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selection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Text 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input (single/multi)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outlined, filled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Selection Controls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Checkbox, radio, switch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checkbox, radio, switch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default, disabled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selection along track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continuous, discrete, range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default, hover, active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Calendar date selection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single, range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Tag Input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Multi-value chip input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 autocomplete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Drag-and-drop upload zone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idle, drag-over, uploading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complete, error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navigation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various pages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Stepper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Multi-step progress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horizontal, vertical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error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Vertical item collection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1-line, 2-line, 3-line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Accordion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Expandable sections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single, multi expand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Grid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data table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basic, sortable, actions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compact, default, comfortable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Tree 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Hierarchical data display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navigation, selection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collapsed, expanded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Chronological event display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start, center, end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icon, dot, number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Progress/loading indicators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spinner, progress, skeleton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Bottom Nav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navigation bar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 + label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badge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Chat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Conversational AI interface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full-page, embedded, floating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text, code, system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search/action launcher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search, command, nested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results, empty, loading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 inbox panel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all, unread, mentions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default, empty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 search with filters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suggestions, results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default, focused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No-data placeholder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no-data, no-results, error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full-page, inline, compact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Confidence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confidence indicator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high, medium, low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 5, 7 segments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Reasoning Trace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reasoning steps display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expanded, collapsed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 4, 6 steps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Activity Event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progress cards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search, plan, tool, complete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with/without progress</w:t>
            </w:r>
          </w:p>
        </w:tc>
      </w:tr>
    </w:tbl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7. Usage Guide for Designers</w:t>
      </w:r>
    </w:p>
    <w:p>
      <w:pPr>
        <w:pStyle w:val="Heading2"/>
      </w:pPr>
      <w:r>
        <w:t xml:space="preserve">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Reference semantic tokens by name (--primary-filled-bg, --content-primary, --surface-default).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spacing tokens (--space-1 through --space-12) for all margins, paddings, and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the emphasis scale (filled &gt; tonal &gt; outlined &gt; ghost) for visual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use raw hex values. Always use the token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invent spacing. Use the nearest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mix brand tokens across contexts.</w:t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Match the interaction pattern, not the visual similarity.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Alert for inline messages, Snackbar for transient, Toast for persistent.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Nav Rail for desktop, Bottom Nav for mobile. They are separate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combine parts from different components. Propose a new one through governance.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skip Empty State when a view can have zero items.</w:t>
      </w:r>
    </w:p>
    <w:p>
      <w:pPr>
        <w:pStyle w:val="Heading2"/>
      </w:pPr>
      <w:r>
        <w:t xml:space="preserve">RTL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logical directions: inline-start/end, not left/right.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Test every screen in both LTR and RTL.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assume padding-left means start-side. It does not in RTL.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WCAG AAA for WideBot, AA for Hulul.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Include reduced-motion behavior in motion specs.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design touch targets smaller than 44x44px.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rely on color alone for state communication.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8. Usage Guide for Developers</w:t>
      </w:r>
    </w:p>
    <w:p>
      <w:pPr>
        <w:pStyle w:val="Heading2"/>
      </w:pPr>
      <w:r>
        <w:t xml:space="preserve">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Always use var(--token-name). Never raw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COMPONENTS[name].tokens() to verify token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fluid tokens (--font-size-fluid-base through --font-size-fluid-hero) for responsive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override a token with a raw value. Propose a new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use !important. Fix specificity at the source.</w:t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exact DS class names from render output. Class names ARE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data attributes (data-size, data-state, data-density) for variants.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Include ALL ARIA attributes from component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invent new ds- prefixed class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strip ARIA attributes.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wrap DS components in containers with overflow:hidden (breaks dialogs).</w:t>
      </w:r>
    </w:p>
    <w:p>
      <w:pPr>
        <w:pStyle w:val="Heading2"/>
      </w:pPr>
      <w:r>
        <w:t xml:space="preserve">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--ease-spring-linear for interactive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Wrap custom animations in @media (prefers-reduced-motion: no-preference).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create @keyframes that duplicate existing DS animations.</w:t>
      </w:r>
    </w:p>
    <w:p>
      <w:pPr>
        <w:pStyle w:val="Heading2"/>
      </w:pPr>
      <w:r>
        <w:t xml:space="preserve">RTL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CSS logical properties exclusively.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use translateX() for layout positioning. It does not flip in RTL.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use float. Use flexbox/grid.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DON'T: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Never hardcode text-align:left. Use start.</w:t>
      </w:r>
    </w:p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9. Governance Rules (U1-U19)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component must pass all 19 rules with a 90+ score before advancing from implementation to documentation. Enforced by ds-validator.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952750"/>
            <wp:effectExtent t="0" r="0" b="0" l="0"/>
            <wp:docPr id="1" name="governance-lifecycle" descr="Figure 5: Governance Lifecycle" title="Figure 5: Governance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5: Governance Lifecycle</w:t>
      </w:r>
    </w:p>
    <w:p>
      <w:r>
        <w:br w:type="page"/>
      </w:r>
    </w:p>
    <w:p>
      <w:pPr>
        <w:pStyle w:val="Heading3"/>
      </w:pPr>
      <w:r>
        <w:t xml:space="preserve">Interactive (U1-U6)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Dual hover selectors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:hover must have a matching .hover class for testing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Focus-visible ring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focusable element must show 2px ring with primary token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Disabled hover suppression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Disabled elements must not display hover feedback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Hover overlay pattern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 on filled surfaces must use ::before + currentColor + opacity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Compound input states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Inputs must define .error:hover, .focused.error, .disabled:hover explicitly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Box-shadow borders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Outlined borders must use box-shadow: inset, not CSS border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Text (U7-U9)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Explicit typography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text element must set font-family, font-size, color via tokens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Disabled color propagation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child text must switch to --content-disabled when parent is disabled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Truncation trio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Overflow text must apply text-overflow + white-space + overflow together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Positioning (U10-U13)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Logical positioning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use left/right. Always use inset-inline-start/end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Logical border-radius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use physical border-radius. Use logical (start-start, etc.)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Logical spacing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use margin-left/right. Use inline-start/end variants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Logical text alignment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use text-align:left/right. Use start/end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Animation (U14)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Animations must respect prefers-reduced-motion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 (U15-U19)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 raw values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hex, rgb(), or raw px. Only var() token references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Dynamic token panel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function must branch per emphasis and include state tokens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 class pattern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Components must define .hover, .focused, .error, .disabled classes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Wrapper state propagation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wrappers must cascade state to all children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U19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RTL directional icons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Directional icons must mirror via [dir='rtl'] scaleX(-1)</w:t>
            </w:r>
          </w:p>
        </w:tc>
      </w:tr>
    </w:tbl>
    <w:p>
      <w:r>
        <w:br w:type="page"/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10. Do and Don't Summary</w:t>
      </w:r>
    </w:p>
    <w:p>
      <w:pPr>
        <w:pStyle w:val="Heading3"/>
      </w:pPr>
      <w:r>
        <w:t xml:space="preserve">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var(--primary-filled-bg)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#1B6EF3 or rgb(27,110,243)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var(--space-4) for gaps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 or 1rem directly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var(--radius-md) for corners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border-radius: 8px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var(--motion-fast) for transitions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transition: 0.15s ease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Layout and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margin-inline-start / padding-inline-end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margin-left / padding-right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inset-inline-start: 15px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left: 16px + translateX(-50%)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text-align: start / end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text-align: left / right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border-start-start-radius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border-top-left-radius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DS class names as-is (ds-button)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Invent new ds- prefixed classes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Include all ARIA from render output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 ARIA for shorter markup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data-size, data-state for variants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modifier classes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 Rail for desktop, Bottom Nav for mobile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Force Nav Rail into bottom bar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box-shadow: inset for outlined borders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border that shifts layout on hover</w:t>
            </w:r>
          </w:p>
        </w:tc>
      </w:tr>
    </w:tbl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11. Key Design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State Layer: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::before + currentColor + opacity for hover/active feedback (U4)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Density: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compact | default | comfortable via data attribute on Card, Panel, Dialog, List, Accordion, Data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Color Roles: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primary, danger, warning, success, neutral, ai across all status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Emphasis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filled &gt; tonal &gt; outlined &gt; ghost for visual 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Slot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header/content/footer slots in Card, Panel,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Mobile Touch Model: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hover=tap-reveal, tooltip=bottom-sheet, dropdown=full-screen, context-menu=long-press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Box-Shadow Borders: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inset box-shadow instead of CSS border to prevent layout shift (U6)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Wrapper Propagation: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Input wrappers cascade state to all children (U18)</w:t>
      </w:r>
    </w:p>
    <w:p>
      <w:pPr>
        <w:pBdr>
          <w:bottom w:val="single" w:color="1B6EF3" w:sz="4" w:space="8"/>
        </w:pBdr>
        <w:spacing w:after="200" w:before="200"/>
      </w:pPr>
    </w:p>
    <w:p>
      <w:pPr>
        <w:pStyle w:val="Heading1"/>
      </w:pPr>
      <w: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2026-03-26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Initial release. 42 components, dual-brand tokens, AG-UI protocol, 8 JSON registries, fluid typography, spring animations, streaming tokens, full RTL/a11y, 19 governance rules, 5 DS skills.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EF3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6EF3"/>
        <w:sz w:val="18"/>
        <w:szCs w:val="18"/>
      </w:rPr>
      <w:t xml:space="preserve">WideBot AI Design System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v1.0.0 Release Notes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EF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84729b62f39337c44ddfd0da208f51c2d983a2.jpg"/><Relationship Id="rId10" Type="http://schemas.openxmlformats.org/officeDocument/2006/relationships/image" Target="media/51a81a459e40cc42fa1f310fd0296a81e2560f80.jpg"/><Relationship Id="rId11" Type="http://schemas.openxmlformats.org/officeDocument/2006/relationships/image" Target="media/5081d523f4a666863ad90ef5b01ebdc308208d23.jpg"/><Relationship Id="rId12" Type="http://schemas.openxmlformats.org/officeDocument/2006/relationships/image" Target="media/6c1a3d12711f854e4e61f845ae74f422e153b81f.jpg"/><Relationship Id="rId13" Type="http://schemas.openxmlformats.org/officeDocument/2006/relationships/image" Target="media/753c1485027d0f7444257ee704b7ee85a1b84747.jpg"/><Relationship Id="rId14" Type="http://schemas.openxmlformats.org/officeDocument/2006/relationships/image" Target="media/b9c29210f42c48f276210304b267a95dd283abe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2026-03-26T13:19:42.529Z</dcterms:created>
  <dcterms:modified xsi:type="dcterms:W3CDTF">2026-03-26T13:19:42.529Z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