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4092"/>
            </w:pPr>
          </w:p>
          <w:p>
            <w:pPr>
              <w:pBdr>
                <w:bottom w:val="single" w:color="37DCF2" w:sz="6" w:space="8"/>
              </w:pBdr>
              <w:spacing w:after="500"/>
              <w:ind w:left="1200" w:right="800"/>
            </w:pPr>
            <w:r>
              <w:rPr>
                <w:rFonts w:ascii="Calibri" w:eastAsia="SimHei"/>
                <w:color w:val="37DCF2"/>
                <w:spacing w:val="40"/>
                <w:sz w:val="18"/>
                <w:szCs w:val="18"/>
              </w:rPr>
              <w:t xml:space="preserve">P  L  A  T  F  O  R  M     A  U  D  I  T</w:t>
            </w:r>
          </w:p>
          <w:p>
            <w:pPr>
              <w:spacing w:after="100" w:line="920" w:lineRule="atLeast"/>
              <w:ind w:left="1200"/>
            </w:pPr>
            <w:r>
              <w:rPr>
                <w:rFonts w:ascii="Arial" w:eastAsia="SimHei"/>
                <w:b/>
                <w:bCs/>
                <w:color w:val="FFFFFF"/>
                <w:sz w:val="80"/>
                <w:szCs w:val="80"/>
              </w:rPr>
              <w:t xml:space="preserve">RequirementPilot</w:t>
            </w:r>
          </w:p>
          <w:p>
            <w:pPr>
              <w:spacing w:after="300" w:line="920" w:lineRule="atLeast"/>
              <w:ind w:left="1200"/>
            </w:pPr>
            <w:r>
              <w:rPr>
                <w:rFonts w:ascii="Arial" w:eastAsia="SimHei"/>
                <w:b/>
                <w:bCs/>
                <w:color w:val="FFFFFF"/>
                <w:sz w:val="80"/>
                <w:szCs w:val="80"/>
              </w:rPr>
              <w:t xml:space="preserve">Agent Audit Report</w:t>
            </w:r>
          </w:p>
          <w:p>
            <w:pPr>
              <w:spacing w:after="800"/>
              <w:ind w:left="1200"/>
            </w:pPr>
            <w:r>
              <w:rPr>
                <w:rFonts w:ascii="Arial" w:eastAsia="Microsoft YaHei"/>
                <w:color w:val="B0B8C0"/>
                <w:sz w:val="24"/>
                <w:szCs w:val="24"/>
              </w:rPr>
              <w:t xml:space="preserve">Deep live-testing of all twelve agent roles: roles, operational dynamics, behavioural patterns, fixes, and the core-operations improvement roadmap</w:t>
            </w:r>
          </w:p>
          <w:p>
            <w:pPr>
              <w:pBdr>
                <w:left w:val="single" w:color="37DCF2" w:sz="8" w:space="12"/>
              </w:pBdr>
              <w:spacing w:after="80"/>
              <w:ind w:left="1400"/>
            </w:pPr>
            <w:r>
              <w:rPr>
                <w:rFonts w:ascii="Arial" w:eastAsia="Microsoft YaHei"/>
                <w:color w:val="90989F"/>
                <w:sz w:val="24"/>
                <w:szCs w:val="24"/>
              </w:rPr>
              <w:t xml:space="preserve">Scope: 12 agent roles · 8 scenarios · 141 automated checks · ~30 live GLM calls</w:t>
            </w:r>
          </w:p>
          <w:p>
            <w:pPr>
              <w:pBdr>
                <w:left w:val="single" w:color="37DCF2" w:sz="8" w:space="12"/>
              </w:pBdr>
              <w:spacing w:after="80"/>
              <w:ind w:left="1400"/>
            </w:pPr>
            <w:r>
              <w:rPr>
                <w:rFonts w:ascii="Arial" w:eastAsia="Microsoft YaHei"/>
                <w:color w:val="90989F"/>
                <w:sz w:val="24"/>
                <w:szCs w:val="24"/>
              </w:rPr>
              <w:t xml:space="preserve">Models: GLM, provided by Z.ai (disclosed per platform policy)</w:t>
            </w:r>
          </w:p>
          <w:p>
            <w:pPr>
              <w:pBdr>
                <w:left w:val="single" w:color="37DCF2" w:sz="8" w:space="12"/>
              </w:pBdr>
              <w:spacing w:after="80"/>
              <w:ind w:left="1400"/>
            </w:pPr>
            <w:r>
              <w:rPr>
                <w:rFonts w:ascii="Arial" w:eastAsia="Microsoft YaHei"/>
                <w:color w:val="90989F"/>
                <w:sz w:val="24"/>
                <w:szCs w:val="24"/>
              </w:rPr>
              <w:t xml:space="preserve">Build: Mission Control (v2.1-audit) · 9 October 2026</w:t>
            </w:r>
          </w:p>
          <w:p>
            <w:pPr>
              <w:pBdr>
                <w:left w:val="single" w:color="37DCF2" w:sz="8" w:space="12"/>
              </w:pBdr>
              <w:spacing w:after="80"/>
              <w:ind w:left="1400"/>
            </w:pPr>
            <w:r>
              <w:rPr>
                <w:rFonts w:ascii="Arial" w:eastAsia="Microsoft YaHei"/>
                <w:color w:val="90989F"/>
                <w:sz w:val="24"/>
                <w:szCs w:val="24"/>
              </w:rPr>
              <w:t xml:space="preserve">Verdict: Conditional go for supervised pilot — 4 conditions attached</w:t>
            </w:r>
          </w:p>
          <w:p>
            <w:pPr>
              <w:spacing w:before="4092"/>
            </w:pPr>
          </w:p>
          <w:p>
            <w:pPr>
              <w:pBdr>
                <w:top w:val="single" w:color="37DCF2" w:sz="2" w:space="8"/>
              </w:pBdr>
              <w:spacing w:before="200"/>
              <w:ind w:left="1200" w:right="800"/>
            </w:pPr>
            <w:r>
              <w:rPr>
                <w:rFonts w:ascii="Arial"/>
                <w:color w:val="687078"/>
                <w:sz w:val="16"/>
                <w:szCs w:val="16"/>
              </w:rPr>
              <w:t xml:space="preserve">RequirementPilot — evidence-based, human-in-the-loop RE platform</w:t>
            </w:r>
            <w:r>
              <w:t xml:space="preserve">                                        </w:t>
            </w:r>
            <w:r>
              <w:rPr>
                <w:rFonts w:ascii="Arial"/>
                <w:color w:val="687078"/>
                <w:sz w:val="16"/>
                <w:szCs w:val="16"/>
              </w:rPr>
              <w:t xml:space="preserve">October 2026</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color w:val="0A1628"/>
          <w:sz w:val="32"/>
          <w:szCs w:val="32"/>
        </w:rPr>
        <w:t xml:space="preserve">Table of Contents</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Platform Context and Audit Objectives</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Audit Methodology</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4. The Agent Roster and Platform Architecture</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5. Agent Deep Dives: Findings, Behaviour, and Improvement Actions</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5.1 Questioner Agent (Elicitation)</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5.2 Scope Agent (Impact-Aware Problem Selection)</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5.3 Extraction Proposer</w:t>
            </w:r>
            <w:r>
              <w:tab/>
            </w:r>
            <w:r>
              <w:fldChar w:fldCharType="begin"/>
            </w:r>
            <w:r>
              <w:instrText xml:space="preserve"> PAGEREF _Toc100007 \h </w:instrText>
            </w:r>
            <w:r>
              <w:fldChar w:fldCharType="separate"/>
            </w:r>
            <w:r>
              <w:t>6</w:t>
            </w:r>
            <w:r>
              <w:fldChar w:fldCharType="end"/>
            </w:r>
          </w:hyperlink>
        </w:p>
        <w:p>
          <w:pPr>
            <w:pStyle w:val="11"/>
            <w:ind w:left="360"/>
            <w:tabs>
              <w:tab w:val="right" w:leader="dot" w:pos="9026"/>
            </w:tabs>
            <w:spacing w:before="120" w:after="60"/>
          </w:pPr>
          <w:hyperlink w:anchor="_Toc100008" w:history="1">
            <w:r>
              <w:rPr>
                <w:rStyle w:val="Hyperlink"/>
              </w:rPr>
              <w:t>5.4 Critic-Verifier</w:t>
            </w:r>
            <w:r>
              <w:tab/>
            </w:r>
            <w:r>
              <w:fldChar w:fldCharType="begin"/>
            </w:r>
            <w:r>
              <w:instrText xml:space="preserve"> PAGEREF _Toc100008 \h </w:instrText>
            </w:r>
            <w:r>
              <w:fldChar w:fldCharType="separate"/>
            </w:r>
            <w:r>
              <w:t>7</w:t>
            </w:r>
            <w:r>
              <w:fldChar w:fldCharType="end"/>
            </w:r>
          </w:hyperlink>
        </w:p>
        <w:p>
          <w:pPr>
            <w:pStyle w:val="9"/>
            <w:tabs>
              <w:tab w:val="right" w:leader="dot" w:pos="9026"/>
            </w:tabs>
            <w:spacing w:before="120" w:after="60"/>
          </w:pPr>
          <w:hyperlink w:anchor="_Toc100009" w:history="1">
            <w:r>
              <w:rPr>
                <w:rStyle w:val="Hyperlink"/>
              </w:rPr>
              <w:t>5. Agent Deep Dives (continued)</w:t>
            </w:r>
            <w:r>
              <w:tab/>
            </w:r>
            <w:r>
              <w:fldChar w:fldCharType="begin"/>
            </w:r>
            <w:r>
              <w:instrText xml:space="preserve"> PAGEREF _Toc100009 \h </w:instrText>
            </w:r>
            <w:r>
              <w:fldChar w:fldCharType="separate"/>
            </w:r>
            <w:r>
              <w:t>8</w:t>
            </w:r>
            <w:r>
              <w:fldChar w:fldCharType="end"/>
            </w:r>
          </w:hyperlink>
        </w:p>
        <w:p>
          <w:pPr>
            <w:pStyle w:val="11"/>
            <w:ind w:left="360"/>
            <w:tabs>
              <w:tab w:val="right" w:leader="dot" w:pos="9026"/>
            </w:tabs>
            <w:spacing w:before="120" w:after="60"/>
          </w:pPr>
          <w:hyperlink w:anchor="_Toc100010" w:history="1">
            <w:r>
              <w:rPr>
                <w:rStyle w:val="Hyperlink"/>
              </w:rPr>
              <w:t>5.5 Ambiguity Agent</w:t>
            </w:r>
            <w:r>
              <w:tab/>
            </w:r>
            <w:r>
              <w:fldChar w:fldCharType="begin"/>
            </w:r>
            <w:r>
              <w:instrText xml:space="preserve"> PAGEREF _Toc100010 \h </w:instrText>
            </w:r>
            <w:r>
              <w:fldChar w:fldCharType="separate"/>
            </w:r>
            <w:r>
              <w:t>8</w:t>
            </w:r>
            <w:r>
              <w:fldChar w:fldCharType="end"/>
            </w:r>
          </w:hyperlink>
        </w:p>
        <w:p>
          <w:pPr>
            <w:pStyle w:val="11"/>
            <w:ind w:left="360"/>
            <w:tabs>
              <w:tab w:val="right" w:leader="dot" w:pos="9026"/>
            </w:tabs>
            <w:spacing w:before="120" w:after="60"/>
          </w:pPr>
          <w:hyperlink w:anchor="_Toc100011" w:history="1">
            <w:r>
              <w:rPr>
                <w:rStyle w:val="Hyperlink"/>
              </w:rPr>
              <w:t>5.6 Story Agent</w:t>
            </w:r>
            <w:r>
              <w:tab/>
            </w:r>
            <w:r>
              <w:fldChar w:fldCharType="begin"/>
            </w:r>
            <w:r>
              <w:instrText xml:space="preserve"> PAGEREF _Toc100011 \h </w:instrText>
            </w:r>
            <w:r>
              <w:fldChar w:fldCharType="separate"/>
            </w:r>
            <w:r>
              <w:t>9</w:t>
            </w:r>
            <w:r>
              <w:fldChar w:fldCharType="end"/>
            </w:r>
          </w:hyperlink>
        </w:p>
        <w:p>
          <w:pPr>
            <w:pStyle w:val="11"/>
            <w:ind w:left="360"/>
            <w:tabs>
              <w:tab w:val="right" w:leader="dot" w:pos="9026"/>
            </w:tabs>
            <w:spacing w:before="120" w:after="60"/>
          </w:pPr>
          <w:hyperlink w:anchor="_Toc100012" w:history="1">
            <w:r>
              <w:rPr>
                <w:rStyle w:val="Hyperlink"/>
              </w:rPr>
              <w:t>5.7 Consistency Agent (Conflict Detection)</w:t>
            </w:r>
            <w:r>
              <w:tab/>
            </w:r>
            <w:r>
              <w:fldChar w:fldCharType="begin"/>
            </w:r>
            <w:r>
              <w:instrText xml:space="preserve"> PAGEREF _Toc100012 \h </w:instrText>
            </w:r>
            <w:r>
              <w:fldChar w:fldCharType="separate"/>
            </w:r>
            <w:r>
              <w:t>10</w:t>
            </w:r>
            <w:r>
              <w:fldChar w:fldCharType="end"/>
            </w:r>
          </w:hyperlink>
        </w:p>
        <w:p>
          <w:pPr>
            <w:pStyle w:val="11"/>
            <w:ind w:left="360"/>
            <w:tabs>
              <w:tab w:val="right" w:leader="dot" w:pos="9026"/>
            </w:tabs>
            <w:spacing w:before="120" w:after="60"/>
          </w:pPr>
          <w:hyperlink w:anchor="_Toc100013" w:history="1">
            <w:r>
              <w:rPr>
                <w:rStyle w:val="Hyperlink"/>
              </w:rPr>
              <w:t>5.8 Wind-Tunnel Simulator</w:t>
            </w:r>
            <w:r>
              <w:tab/>
            </w:r>
            <w:r>
              <w:fldChar w:fldCharType="begin"/>
            </w:r>
            <w:r>
              <w:instrText xml:space="preserve"> PAGEREF _Toc100013 \h </w:instrText>
            </w:r>
            <w:r>
              <w:fldChar w:fldCharType="separate"/>
            </w:r>
            <w:r>
              <w:t>11</w:t>
            </w:r>
            <w:r>
              <w:fldChar w:fldCharType="end"/>
            </w:r>
          </w:hyperlink>
        </w:p>
        <w:p>
          <w:pPr>
            <w:pStyle w:val="11"/>
            <w:ind w:left="360"/>
            <w:tabs>
              <w:tab w:val="right" w:leader="dot" w:pos="9026"/>
            </w:tabs>
            <w:spacing w:before="120" w:after="60"/>
          </w:pPr>
          <w:hyperlink w:anchor="_Toc100014" w:history="1">
            <w:r>
              <w:rPr>
                <w:rStyle w:val="Hyperlink"/>
              </w:rPr>
              <w:t>5.9 Drift Radar</w:t>
            </w:r>
            <w:r>
              <w:tab/>
            </w:r>
            <w:r>
              <w:fldChar w:fldCharType="begin"/>
            </w:r>
            <w:r>
              <w:instrText xml:space="preserve"> PAGEREF _Toc100014 \h </w:instrText>
            </w:r>
            <w:r>
              <w:fldChar w:fldCharType="separate"/>
            </w:r>
            <w:r>
              <w:t>11</w:t>
            </w:r>
            <w:r>
              <w:fldChar w:fldCharType="end"/>
            </w:r>
          </w:hyperlink>
        </w:p>
        <w:p>
          <w:pPr>
            <w:pStyle w:val="11"/>
            <w:ind w:left="360"/>
            <w:tabs>
              <w:tab w:val="right" w:leader="dot" w:pos="9026"/>
            </w:tabs>
            <w:spacing w:before="120" w:after="60"/>
          </w:pPr>
          <w:hyperlink w:anchor="_Toc100015" w:history="1">
            <w:r>
              <w:rPr>
                <w:rStyle w:val="Hyperlink"/>
              </w:rPr>
              <w:t>5.10 Compliance Checker</w:t>
            </w:r>
            <w:r>
              <w:tab/>
            </w:r>
            <w:r>
              <w:fldChar w:fldCharType="begin"/>
            </w:r>
            <w:r>
              <w:instrText xml:space="preserve"> PAGEREF _Toc100015 \h </w:instrText>
            </w:r>
            <w:r>
              <w:fldChar w:fldCharType="separate"/>
            </w:r>
            <w:r>
              <w:t>12</w:t>
            </w:r>
            <w:r>
              <w:fldChar w:fldCharType="end"/>
            </w:r>
          </w:hyperlink>
        </w:p>
        <w:p>
          <w:pPr>
            <w:pStyle w:val="11"/>
            <w:ind w:left="360"/>
            <w:tabs>
              <w:tab w:val="right" w:leader="dot" w:pos="9026"/>
            </w:tabs>
            <w:spacing w:before="120" w:after="60"/>
          </w:pPr>
          <w:hyperlink w:anchor="_Toc100016" w:history="1">
            <w:r>
              <w:rPr>
                <w:rStyle w:val="Hyperlink"/>
              </w:rPr>
              <w:t>5.11 Health Reporter</w:t>
            </w:r>
            <w:r>
              <w:tab/>
            </w:r>
            <w:r>
              <w:fldChar w:fldCharType="begin"/>
            </w:r>
            <w:r>
              <w:instrText xml:space="preserve"> PAGEREF _Toc100016 \h </w:instrText>
            </w:r>
            <w:r>
              <w:fldChar w:fldCharType="separate"/>
            </w:r>
            <w:r>
              <w:t>13</w:t>
            </w:r>
            <w:r>
              <w:fldChar w:fldCharType="end"/>
            </w:r>
          </w:hyperlink>
        </w:p>
        <w:p>
          <w:pPr>
            <w:pStyle w:val="11"/>
            <w:ind w:left="360"/>
            <w:tabs>
              <w:tab w:val="right" w:leader="dot" w:pos="9026"/>
            </w:tabs>
            <w:spacing w:before="120" w:after="60"/>
          </w:pPr>
          <w:hyperlink w:anchor="_Toc100017" w:history="1">
            <w:r>
              <w:rPr>
                <w:rStyle w:val="Hyperlink"/>
              </w:rPr>
              <w:t>5.12 Memory Harvester and Cross-Project Memory</w:t>
            </w:r>
            <w:r>
              <w:tab/>
            </w:r>
            <w:r>
              <w:fldChar w:fldCharType="begin"/>
            </w:r>
            <w:r>
              <w:instrText xml:space="preserve"> PAGEREF _Toc100017 \h </w:instrText>
            </w:r>
            <w:r>
              <w:fldChar w:fldCharType="separate"/>
            </w:r>
            <w:r>
              <w:t>14</w:t>
            </w:r>
            <w:r>
              <w:fldChar w:fldCharType="end"/>
            </w:r>
          </w:hyperlink>
        </w:p>
        <w:p>
          <w:pPr>
            <w:pStyle w:val="11"/>
            <w:ind w:left="360"/>
            <w:tabs>
              <w:tab w:val="right" w:leader="dot" w:pos="9026"/>
            </w:tabs>
            <w:spacing w:before="120" w:after="60"/>
          </w:pPr>
          <w:hyperlink w:anchor="_Toc100018" w:history="1">
            <w:r>
              <w:rPr>
                <w:rStyle w:val="Hyperlink"/>
              </w:rPr>
              <w:t>5.13 Voice-Note Intake (ASR)</w:t>
            </w:r>
            <w:r>
              <w:tab/>
            </w:r>
            <w:r>
              <w:fldChar w:fldCharType="begin"/>
            </w:r>
            <w:r>
              <w:instrText xml:space="preserve"> PAGEREF _Toc100018 \h </w:instrText>
            </w:r>
            <w:r>
              <w:fldChar w:fldCharType="separate"/>
            </w:r>
            <w:r>
              <w:t>15</w:t>
            </w:r>
            <w:r>
              <w:fldChar w:fldCharType="end"/>
            </w:r>
          </w:hyperlink>
        </w:p>
        <w:p>
          <w:pPr>
            <w:pStyle w:val="9"/>
            <w:tabs>
              <w:tab w:val="right" w:leader="dot" w:pos="9026"/>
            </w:tabs>
            <w:spacing w:before="120" w:after="60"/>
          </w:pPr>
          <w:hyperlink w:anchor="_Toc100019" w:history="1">
            <w:r>
              <w:rPr>
                <w:rStyle w:val="Hyperlink"/>
              </w:rPr>
              <w:t>6. Cross-Cutting Findings and Root-Cause Analysis</w:t>
            </w:r>
            <w:r>
              <w:tab/>
            </w:r>
            <w:r>
              <w:fldChar w:fldCharType="begin"/>
            </w:r>
            <w:r>
              <w:instrText xml:space="preserve"> PAGEREF _Toc100019 \h </w:instrText>
            </w:r>
            <w:r>
              <w:fldChar w:fldCharType="separate"/>
            </w:r>
            <w:r>
              <w:t>16</w:t>
            </w:r>
            <w:r>
              <w:fldChar w:fldCharType="end"/>
            </w:r>
          </w:hyperlink>
        </w:p>
        <w:p>
          <w:pPr>
            <w:pStyle w:val="9"/>
            <w:tabs>
              <w:tab w:val="right" w:leader="dot" w:pos="9026"/>
            </w:tabs>
            <w:spacing w:before="120" w:after="60"/>
          </w:pPr>
          <w:hyperlink w:anchor="_Toc100020" w:history="1">
            <w:r>
              <w:rPr>
                <w:rStyle w:val="Hyperlink"/>
              </w:rPr>
              <w:t>7. Fixes Applied and Verified During This Audit</w:t>
            </w:r>
            <w:r>
              <w:tab/>
            </w:r>
            <w:r>
              <w:fldChar w:fldCharType="begin"/>
            </w:r>
            <w:r>
              <w:instrText xml:space="preserve"> PAGEREF _Toc100020 \h </w:instrText>
            </w:r>
            <w:r>
              <w:fldChar w:fldCharType="separate"/>
            </w:r>
            <w:r>
              <w:t>16</w:t>
            </w:r>
            <w:r>
              <w:fldChar w:fldCharType="end"/>
            </w:r>
          </w:hyperlink>
        </w:p>
        <w:p>
          <w:pPr>
            <w:pStyle w:val="9"/>
            <w:tabs>
              <w:tab w:val="right" w:leader="dot" w:pos="9026"/>
            </w:tabs>
            <w:spacing w:before="120" w:after="60"/>
          </w:pPr>
          <w:hyperlink w:anchor="_Toc100021" w:history="1">
            <w:r>
              <w:rPr>
                <w:rStyle w:val="Hyperlink"/>
              </w:rPr>
              <w:t>8. Core Operations: Improvement Roadmap</w:t>
            </w:r>
            <w:r>
              <w:tab/>
            </w:r>
            <w:r>
              <w:fldChar w:fldCharType="begin"/>
            </w:r>
            <w:r>
              <w:instrText xml:space="preserve"> PAGEREF _Toc100021 \h </w:instrText>
            </w:r>
            <w:r>
              <w:fldChar w:fldCharType="separate"/>
            </w:r>
            <w:r>
              <w:t>17</w:t>
            </w:r>
            <w:r>
              <w:fldChar w:fldCharType="end"/>
            </w:r>
          </w:hyperlink>
        </w:p>
        <w:p>
          <w:pPr>
            <w:pStyle w:val="9"/>
            <w:tabs>
              <w:tab w:val="right" w:leader="dot" w:pos="9026"/>
            </w:tabs>
            <w:spacing w:before="120" w:after="60"/>
          </w:pPr>
          <w:hyperlink w:anchor="_Toc100022" w:history="1">
            <w:r>
              <w:rPr>
                <w:rStyle w:val="Hyperlink"/>
              </w:rPr>
              <w:t>9. Conclusions and Verdict</w:t>
            </w:r>
            <w:r>
              <w:tab/>
            </w:r>
            <w:r>
              <w:fldChar w:fldCharType="begin"/>
            </w:r>
            <w:r>
              <w:instrText xml:space="preserve"> PAGEREF _Toc100022 \h </w:instrText>
            </w:r>
            <w:r>
              <w:fldChar w:fldCharType="separate"/>
            </w:r>
            <w:r>
              <w:t>17</w:t>
            </w:r>
            <w:r>
              <w:fldChar w:fldCharType="end"/>
            </w:r>
          </w:hyperlink>
        </w:p>
        <w:p>
          <w:pPr>
            <w:pStyle w:val="9"/>
            <w:tabs>
              <w:tab w:val="right" w:leader="dot" w:pos="9026"/>
            </w:tabs>
            <w:spacing w:before="120" w:after="60"/>
          </w:pPr>
          <w:hyperlink w:anchor="_Toc100023" w:history="1">
            <w:r>
              <w:rPr>
                <w:rStyle w:val="Hyperlink"/>
              </w:rPr>
              <w:t>Appendix A. Audit Check Distribution</w:t>
            </w:r>
            <w:r>
              <w:tab/>
            </w:r>
            <w:r>
              <w:fldChar w:fldCharType="begin"/>
            </w:r>
            <w:r>
              <w:instrText xml:space="preserve"> PAGEREF _Toc100023 \h </w:instrText>
            </w:r>
            <w:r>
              <w:fldChar w:fldCharType="separate"/>
            </w:r>
            <w:r>
              <w:t>18</w:t>
            </w:r>
            <w:r>
              <w:fldChar w:fldCharType="end"/>
            </w:r>
          </w:hyperlink>
        </w:p>
        <w:p>
          <w:r>
            <w:fldChar w:fldCharType="end"/>
          </w:r>
        </w:p>
      </w:sdtContent>
    </w:sdt>
    <w:p>
      <w:pPr>
        <w:spacing w:before="200"/>
      </w:pPr>
      <w:r>
        <w:rPr>
          <w:rFonts w:ascii="Times New Roman" w:eastAsia="SimSun"/>
          <w:i/>
          <w:iCs/>
          <w:color w:val="888888"/>
          <w:sz w:val="18"/>
          <w:szCs w:val="18"/>
        </w:rPr>
        <w:t xml:space="preserve">Note: This Table of Contents is generated via field codes. To ensure page number accuracy after editing, please right-click the TOC and select "Update Field."</w:t>
      </w:r>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keepNext/>
        <w:spacing w:after="180" w:before="400" w:line="312"/>
      </w:pPr>
      <w:bookmarkStart w:id="100000" w:name="_Toc100000"/>
      <w:r>
        <w:rPr>
          <w:rFonts w:ascii="Times New Roman" w:eastAsia="SimHei"/>
          <w:b/>
          <w:bCs/>
          <w:color w:val="0A1628"/>
          <w:sz w:val="32"/>
          <w:szCs w:val="32"/>
        </w:rPr>
        <w:t xml:space="preserve">1. Executive Summary</w:t>
      </w:r>
      <w:bookmarkEnd w:id="100000"/>
    </w:p>
    <w:p>
      <w:pPr>
        <w:spacing w:after="140" w:line="312"/>
        <w:jc w:val="left"/>
      </w:pPr>
      <w:r>
        <w:rPr>
          <w:rFonts w:ascii="Times New Roman" w:eastAsia="SimSun"/>
          <w:color w:val="000000"/>
          <w:sz w:val="24"/>
          <w:szCs w:val="24"/>
        </w:rPr>
        <w:t xml:space="preserve">This report presents the results of a deep, agent-by-agent audit of the RequirementPilot platform, conducted on 9 October 2026 against the production build of the Mission Control system. Every one of the platform's twelve agent roles — the six pipeline agents (Questioner, Scope, Extraction Proposer, Critic-Verifier, Ambiguity, Story, and Consistency), the five lifecycle instruments (Wind-Tunnel Simulator, Drift Radar, Compliance Checker, Health Reporter, and Memory Harvester), and the voice-note intake service — was exercised live through its public API contract against a running server, with real GLM inference calls provided by Z.ai behind every agent. The audit combined 141 automated checks across eight scripted scenarios with behavioural probes designed to expose failure modes that structure-only testing cannot see, including held-out-secret deception tests, evidence-truncation blind windows, and cross-run determinism comparisons.</w:t>
      </w:r>
    </w:p>
    <w:p>
      <w:pPr>
        <w:spacing w:after="140" w:line="312"/>
        <w:jc w:val="left"/>
      </w:pPr>
      <w:r>
        <w:rPr>
          <w:rFonts w:ascii="Times New Roman" w:eastAsia="SimSun"/>
          <w:color w:val="000000"/>
          <w:sz w:val="24"/>
          <w:szCs w:val="24"/>
        </w:rPr>
        <w:t xml:space="preserve">The headline result is strongly positive: 130 of the 141 checks passed outright, all 15 state-machine and human-gate checks passed without exception, and every structural contract the platform promises — clamped ask-costs, valid MoSCoW taxonomies, evidence trace links, Gherkin-shaped acceptance criteria, quantified health debt — held under live load. The audit nevertheless confirmed one genuine production defect, one serious operational limitation, and one upstream model deficiency. The defect (conflict-resolution journal entries logging the literal string “undefined” because the handler referenced non-existent model fields) and the limitation (a hard 1,200-character per-evidence window that silently blinded every agent to the remainder of any longer source) were both fixed during the audit and re-verified with fresh live runs. The upstream deficiency (Arabic speech-to-text intermittently returning non-Arabic script) cannot be fixed in platform code and is now guarded by a script-mismatch detection layer with a human-review warning.</w:t>
      </w:r>
    </w:p>
    <w:p>
      <w:pPr>
        <w:spacing w:after="140" w:line="312"/>
        <w:jc w:val="left"/>
      </w:pPr>
      <w:r>
        <w:rPr>
          <w:rFonts w:ascii="Times New Roman" w:eastAsia="SimSun"/>
          <w:color w:val="000000"/>
          <w:sz w:val="24"/>
          <w:szCs w:val="24"/>
        </w:rPr>
        <w:t xml:space="preserve">Nine hardening changes were applied to the codebase during the audit cycle, each verified by a live re-run: the journal reference fix, an evidence-prompt budget that raises per-source visibility fourfold and announces truncation to the agent, a retry-with-backoff on transport failures, a parse-retry wrapper for malformed model output (a failure mode observed once in roughly thirty live calls), an ungrounded-requirement safety net that forces critic-grade “weak” flagging, Arabic-first prompt enforcement that stabilised native-Egyptian question generation from 0/5 to 4/5, wind-tunnel reveal enforcement, constraint-pack input validation, and a shared project-summary type that resolves three latent TypeScript errors. Total measured cost of a full six-stage pipeline run remains approximately USD 0.006 with a median wall-clock time of about 40 seconds.</w:t>
      </w:r>
    </w:p>
    <w:p>
      <w:pPr>
        <w:spacing w:after="140" w:line="312"/>
        <w:jc w:val="left"/>
      </w:pPr>
      <w:r>
        <w:rPr>
          <w:rFonts w:ascii="Times New Roman" w:eastAsia="SimSun"/>
          <w:color w:val="000000"/>
          <w:sz w:val="24"/>
          <w:szCs w:val="24"/>
        </w:rPr>
        <w:t xml:space="preserve">The concluding verdict mirrors the platform's earlier assessment posture: a conditional go for the supervised university pilot. The agent society is production-viable for supervised use today, and the report attaches four conditions — an Arabic voice-intake fallback decision, a codified end-to-end regression suite, the Question-Planner ablation harness running on the expanded benchmark, and the provider interface for cross-model comparison — with a prioritised P0/P1/P2 improvement roadmap covering both the agents themselves and the core operations that surround them.</w:t>
      </w:r>
    </w:p>
    <w:p>
      <w:pPr>
        <w:pStyle w:val="Heading1"/>
        <w:keepNext/>
        <w:spacing w:after="180" w:before="400" w:line="312"/>
      </w:pPr>
      <w:bookmarkStart w:id="100001" w:name="_Toc100001"/>
      <w:r>
        <w:rPr>
          <w:rFonts w:ascii="Times New Roman" w:eastAsia="SimHei"/>
          <w:b/>
          <w:bCs/>
          <w:color w:val="0A1628"/>
          <w:sz w:val="32"/>
          <w:szCs w:val="32"/>
        </w:rPr>
        <w:t xml:space="preserve">2. Platform Context and Audit Objectives</w:t>
      </w:r>
      <w:bookmarkEnd w:id="100001"/>
    </w:p>
    <w:p>
      <w:pPr>
        <w:spacing w:after="140" w:line="312"/>
        <w:jc w:val="left"/>
      </w:pPr>
      <w:r>
        <w:rPr>
          <w:rFonts w:ascii="Times New Roman" w:eastAsia="SimSun"/>
          <w:color w:val="000000"/>
          <w:sz w:val="24"/>
          <w:szCs w:val="24"/>
        </w:rPr>
        <w:t xml:space="preserve">RequirementPilot is an evidence-based, human-in-the-loop requirements-engineering platform. Its core premise is that agentic systems should not autonomously author requirements: they should interrogate evidence, propose, verify, and quantify — while every consequential verdict (answering a question, carrying an assumption, selecting a problem, applying a rewrite, resolving a conflict) remains a recorded human decision. The engine is organised as a six-stage pipeline in which each stage is an agent run followed by an explicit human approval gate, flanked by lifecycle instruments that keep the requirement baseline honest after it has been frozen. All agents run on GLM inference served by Z.ai; this dependency is disclosed in the product interface and is a standing constraint on every claim the platform makes.</w:t>
      </w:r>
    </w:p>
    <w:p>
      <w:pPr>
        <w:spacing w:after="140" w:line="312"/>
        <w:jc w:val="left"/>
      </w:pPr>
      <w:r>
        <w:rPr>
          <w:rFonts w:ascii="Times New Roman" w:eastAsia="SimSun"/>
          <w:color w:val="000000"/>
          <w:sz w:val="24"/>
          <w:szCs w:val="24"/>
        </w:rPr>
        <w:t xml:space="preserve">The platform's standing design rules define what this audit had to protect and verify. The dynamicity rule requires that every number, status, and record rendered in the interface be computed live from the database — nothing static may be displayed. The disclosure rule requires that the language-model provenance (GLM, provided by Z.ai) be visible wherever agent output is consumed. The human-in-the-loop rule requires that the system present findings and implications only, never silently acting on them. Finally, the observability rule requires that every agent run leave an auditable trace: a per-run latency, token estimate, blended-cost estimate, and prompt-version stamp, plus an immutable decision-journal entry for every actor decision.</w:t>
      </w:r>
    </w:p>
    <w:p>
      <w:pPr>
        <w:spacing w:after="140" w:line="312"/>
        <w:jc w:val="left"/>
      </w:pPr>
      <w:r>
        <w:rPr>
          <w:rFonts w:ascii="Times New Roman" w:eastAsia="SimSun"/>
          <w:color w:val="000000"/>
          <w:sz w:val="24"/>
          <w:szCs w:val="24"/>
        </w:rPr>
        <w:t xml:space="preserve">Within this context, the audit pursued four objectives. First, to exercise every agent through its real API path — not unit tests of isolated functions, but the same HTTP routes, state-machine transitions, and database writes that the production interface uses. Second, to characterise each agent's operational dynamics: what context it receives, what it produces, how long it takes, what it costs, and how it behaves when inputs are adversarial or degenerate. Third, to probe behavioural patterns that only appear across repeated live runs: language-mirroring stability in Arabic-first elicitation, whether the critic's verdicts genuinely diverge from the extractor's self-reported confidence, and whether a simulated stakeholder keeps a secret it was told to withhold. Fourth, to feed every confirmed finding directly back into the codebase as a fix with a live re-verification, so that the audit leaves the platform measurably stronger than it found it.</w:t>
      </w:r>
    </w:p>
    <w:p>
      <w:pPr>
        <w:spacing w:after="140" w:line="312"/>
        <w:jc w:val="left"/>
      </w:pPr>
      <w:r>
        <w:rPr>
          <w:rFonts w:ascii="Times New Roman" w:eastAsia="SimSun"/>
          <w:color w:val="000000"/>
          <w:sz w:val="24"/>
          <w:szCs w:val="24"/>
        </w:rPr>
        <w:t xml:space="preserve">The audit does not cover the presentation layer's visual behaviour (verified separately in the Mission Control browser campaign), nor does it benchmark extraction quality against the arbench fixture corpus — that work belongs to the Question-Planner ablation programme. What it does deliver is the first end-to-end, evidence-backed map of how all twelve agent roles actually behave in production conditions, and a defect-and-fix ledger whose every entry carries verification evidence.</w:t>
      </w:r>
    </w:p>
    <w:p>
      <w:pPr>
        <w:pStyle w:val="Heading1"/>
        <w:keepNext/>
        <w:spacing w:after="180" w:before="400" w:line="312"/>
      </w:pPr>
      <w:bookmarkStart w:id="100002" w:name="_Toc100002"/>
      <w:r>
        <w:rPr>
          <w:rFonts w:ascii="Times New Roman" w:eastAsia="SimHei"/>
          <w:b/>
          <w:bCs/>
          <w:color w:val="0A1628"/>
          <w:sz w:val="32"/>
          <w:szCs w:val="32"/>
        </w:rPr>
        <w:t xml:space="preserve">3. Audit Methodology</w:t>
      </w:r>
      <w:bookmarkEnd w:id="100002"/>
    </w:p>
    <w:p>
      <w:pPr>
        <w:spacing w:after="140" w:line="312"/>
        <w:jc w:val="left"/>
      </w:pPr>
      <w:r>
        <w:rPr>
          <w:rFonts w:ascii="Times New Roman" w:eastAsia="SimSun"/>
          <w:color w:val="000000"/>
          <w:sz w:val="24"/>
          <w:szCs w:val="24"/>
        </w:rPr>
        <w:t xml:space="preserve">The audit was executed by a purpose-built harness (persisted under scripts/agent_tests/) that talks to the running Next.js server exactly as a client would: it creates projects, adds evidence, drives the six-stage pipeline stage by stage, performs the human-gate actions through the same PATCH endpoints the interface uses, and invokes each lifecycle instrument. Every check records a timestamped verdict (pass, warn, fail, or info) with a detail string and structured evidence, appended to a machine-readable results file. Two full audit passes were performed: a baseline pass that discovered the defects, and a post-fix pass that re-ran the affected scenarios against the patched server with a new prompt-version stamp (v2.1-audit) confirming each repair.</w:t>
      </w:r>
    </w:p>
    <w:p>
      <w:pPr>
        <w:spacing w:after="140" w:line="312"/>
        <w:jc w:val="left"/>
      </w:pPr>
      <w:r>
        <w:rPr>
          <w:rFonts w:ascii="Times New Roman" w:eastAsia="SimSun"/>
          <w:color w:val="000000"/>
          <w:sz w:val="24"/>
          <w:szCs w:val="24"/>
        </w:rPr>
        <w:t xml:space="preserve">Eight scripted scenarios populated the check suite. Scenario A (“Nile Fresh Market”) flew a complete project from evidence to completed baseline using Egyptian-Arabic interview, English operations-document, and code-switched meeting evidence — exercising all six pipeline agents and every gate in order, then the Health, Drift, and Compliance instruments on the frozen baseline. Scenarios W1 and W2 (twin “CampusShuttle” projects) ran a two-arm behavioural probe of the Wind-Tunnel Simulator: both arms received a persona and a held-out secret, with arm 1 holding an unrelated secret (a rebrand plan) and arm 2 holding a budget-and-timeline secret matched to the question set's natural coverage. Scenario B1 (“Brief Only”) ran elicitation with zero evidence sources to test graceful degradation. Scenario B2 (“Long Evidence Probe”) seeded a 2,772-character operations handbook whose critical appendix — two requirements covering two-factor administrator authentication and seven-year order archiving — begins at character 2,556, deliberately beyond the 1,200-character prompt window, to test whether any agent would notice what it could not see. Scenario C (“Guardrails”) attacked the state machine and input validation: approval before any agent run, double-runs, unknown item kinds, bogus identifiers, empty drift signals, oversized ASR payloads, and evidence renumbering after deletion. Scenario M tested cross-project memory: after Scenario A's completion had harvested glossary terms and lessons into the platform memory, a fresh tutoring-marketplace project ran elicitation with that memory present. Finally, an ASR suite transcribed synthesised English and Egyptian-Arabic voice clips through the voice-note intake route, including oversized-payload rejection.</w:t>
      </w:r>
    </w:p>
    <w:p>
      <w:pPr>
        <w:spacing w:after="140" w:line="312"/>
        <w:jc w:val="left"/>
      </w:pPr>
      <w:r>
        <w:rPr>
          <w:rFonts w:ascii="Times New Roman" w:eastAsia="SimSun"/>
          <w:color w:val="000000"/>
          <w:sz w:val="24"/>
          <w:szCs w:val="24"/>
        </w:rPr>
        <w:t xml:space="preserve">Three full pipeline flights were completed in total (two baseline, one post-fix), generating roughly thirty live GLM inference calls whose per-run latency, estimated token volume, estimated blended cost, and prompt version were captured from the platform's own observatory records rather than by external timing alone. Behavioural probes were scored against pre-registered expectations — for example, that the wind-tunnel persona must not leak an unrelated secret, and must reveal a directly probed one — so that warn-level verdicts reflect genuine behavioural deviations rather than reviewer judgement after the fact. All audit projects were deleted at the end of each pass, leaving the shared demo project and database clean.</w:t>
      </w:r>
    </w:p>
    <w:p>
      <w:pPr>
        <w:keepNext/>
        <w:spacing w:after="100" w:before="220" w:line="312"/>
      </w:pPr>
      <w:r>
        <w:rPr>
          <w:rFonts w:ascii="Times New Roman" w:eastAsia="SimSun"/>
          <w:b/>
          <w:bCs/>
          <w:color w:val="333333"/>
          <w:sz w:val="21"/>
          <w:szCs w:val="21"/>
        </w:rPr>
        <w:t xml:space="preserve">Table 1: Audit scenario matrix</w:t>
      </w:r>
    </w:p>
    <w:tbl>
      <w:tblPr>
        <w:tblW w:type="pct" w:w="100%"/>
        <w:tblBorders>
          <w:top w:val="single" w:color="1B6B7A" w:sz="4"/>
          <w:left w:val="none" w:color="FFFFFF" w:sz="0"/>
          <w:bottom w:val="single" w:color="1B6B7A" w:sz="4"/>
          <w:right w:val="none" w:color="FFFFFF" w:sz="0"/>
          <w:insideH w:val="single" w:color="C8DDE2" w:sz="1"/>
          <w:insideV w:val="none" w:color="FFFFFF" w:sz="0"/>
        </w:tblBorders>
      </w:tblPr>
      <w:tblGrid>
        <w:gridCol w:w="100"/>
        <w:gridCol w:w="100"/>
        <w:gridCol w:w="100"/>
        <w:gridCol w:w="100"/>
      </w:tblGrid>
      <w:tr>
        <w:trPr>
          <w:cantSplit/>
          <w:tblHeader/>
        </w:trPr>
        <w:tc>
          <w:tcPr>
            <w:tcW w:type="pct" w:w="16%"/>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Scenario</w:t>
            </w:r>
          </w:p>
        </w:tc>
        <w:tc>
          <w:tcPr>
            <w:tcW w:type="pct" w:w="30%"/>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Configuration</w:t>
            </w:r>
          </w:p>
        </w:tc>
        <w:tc>
          <w:tcPr>
            <w:tcW w:type="pct" w:w="30%"/>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Agents exercised</w:t>
            </w:r>
          </w:p>
        </w:tc>
        <w:tc>
          <w:tcPr>
            <w:tcW w:type="pct" w:w="24%"/>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Focus</w:t>
            </w:r>
          </w:p>
        </w:tc>
      </w:tr>
      <w:tr>
        <w:trPr>
          <w:cantSplit/>
        </w:trPr>
        <w:tc>
          <w:tcPr>
            <w:tcW w:type="pct" w:w="16%"/>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A — Nile Fresh Market</w:t>
            </w:r>
          </w:p>
        </w:tc>
        <w:tc>
          <w:tcPr>
            <w:tcW w:type="pct" w:w="3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3 evidence sources (ar-EG, en, codeswitch), full HITL flight</w:t>
            </w:r>
          </w:p>
        </w:tc>
        <w:tc>
          <w:tcPr>
            <w:tcW w:type="pct" w:w="3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All 6 pipeline agents + Health, Drift, Compliance x3</w:t>
            </w:r>
          </w:p>
        </w:tc>
        <w:tc>
          <w:tcPr>
            <w:tcW w:type="pct" w:w="2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End-to-end contracts, gates, instruments</w:t>
            </w:r>
          </w:p>
        </w:tc>
      </w:tr>
      <w:tr>
        <w:trPr>
          <w:cantSplit/>
        </w:trPr>
        <w:tc>
          <w:tcPr>
            <w:tcW w:type="pct" w:w="16%"/>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W1 / W2 — CampusShuttle</w:t>
            </w:r>
          </w:p>
        </w:tc>
        <w:tc>
          <w:tcPr>
            <w:tcW w:type="pct" w:w="3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Twin projects, persona + held-out secret (unrelated vs on-topic)</w:t>
            </w:r>
          </w:p>
        </w:tc>
        <w:tc>
          <w:tcPr>
            <w:tcW w:type="pct" w:w="3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Elicitation + Wind Tunnel</w:t>
            </w:r>
          </w:p>
        </w:tc>
        <w:tc>
          <w:tcPr>
            <w:tcW w:type="pct" w:w="2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Secret-keeping vs secret-reveal behaviour</w:t>
            </w:r>
          </w:p>
        </w:tc>
      </w:tr>
      <w:tr>
        <w:trPr>
          <w:cantSplit/>
        </w:trPr>
        <w:tc>
          <w:tcPr>
            <w:tcW w:type="pct" w:w="16%"/>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B1 — Brief Only</w:t>
            </w:r>
          </w:p>
        </w:tc>
        <w:tc>
          <w:tcPr>
            <w:tcW w:type="pct" w:w="3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No evidence sources</w:t>
            </w:r>
          </w:p>
        </w:tc>
        <w:tc>
          <w:tcPr>
            <w:tcW w:type="pct" w:w="3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Elicitation</w:t>
            </w:r>
          </w:p>
        </w:tc>
        <w:tc>
          <w:tcPr>
            <w:tcW w:type="pct" w:w="2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Graceful degradation</w:t>
            </w:r>
          </w:p>
        </w:tc>
      </w:tr>
      <w:tr>
        <w:trPr>
          <w:cantSplit/>
        </w:trPr>
        <w:tc>
          <w:tcPr>
            <w:tcW w:type="pct" w:w="16%"/>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B2 — Long Evidence Probe</w:t>
            </w:r>
          </w:p>
        </w:tc>
        <w:tc>
          <w:tcPr>
            <w:tcW w:type="pct" w:w="3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2,772-char document, critical appendix at char 2,556</w:t>
            </w:r>
          </w:p>
        </w:tc>
        <w:tc>
          <w:tcPr>
            <w:tcW w:type="pct" w:w="3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Elicitation, Scope, Extraction + Critic</w:t>
            </w:r>
          </w:p>
        </w:tc>
        <w:tc>
          <w:tcPr>
            <w:tcW w:type="pct" w:w="2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Prompt truncation blind window</w:t>
            </w:r>
          </w:p>
        </w:tc>
      </w:tr>
      <w:tr>
        <w:trPr>
          <w:cantSplit/>
        </w:trPr>
        <w:tc>
          <w:tcPr>
            <w:tcW w:type="pct" w:w="16%"/>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C — Guardrails</w:t>
            </w:r>
          </w:p>
        </w:tc>
        <w:tc>
          <w:tcPr>
            <w:tcW w:type="pct" w:w="3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Negative and adversarial API inputs</w:t>
            </w:r>
          </w:p>
        </w:tc>
        <w:tc>
          <w:tcPr>
            <w:tcW w:type="pct" w:w="3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State machine, validation, evidence manager</w:t>
            </w:r>
          </w:p>
        </w:tc>
        <w:tc>
          <w:tcPr>
            <w:tcW w:type="pct" w:w="2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Gate integrity, renumbering, consent</w:t>
            </w:r>
          </w:p>
        </w:tc>
      </w:tr>
      <w:tr>
        <w:trPr>
          <w:cantSplit/>
        </w:trPr>
        <w:tc>
          <w:tcPr>
            <w:tcW w:type="pct" w:w="16%"/>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M — Memory Injection</w:t>
            </w:r>
          </w:p>
        </w:tc>
        <w:tc>
          <w:tcPr>
            <w:tcW w:type="pct" w:w="3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Runs after A completes (harvest present)</w:t>
            </w:r>
          </w:p>
        </w:tc>
        <w:tc>
          <w:tcPr>
            <w:tcW w:type="pct" w:w="3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Memory Harvester + Elicitation</w:t>
            </w:r>
          </w:p>
        </w:tc>
        <w:tc>
          <w:tcPr>
            <w:tcW w:type="pct" w:w="2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Cross-project lesson re-injection</w:t>
            </w:r>
          </w:p>
        </w:tc>
      </w:tr>
      <w:tr>
        <w:trPr>
          <w:cantSplit/>
        </w:trPr>
        <w:tc>
          <w:tcPr>
            <w:tcW w:type="pct" w:w="16%"/>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ASR suite</w:t>
            </w:r>
          </w:p>
        </w:tc>
        <w:tc>
          <w:tcPr>
            <w:tcW w:type="pct" w:w="3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Synthesised EN + ar-EG clips, 20 MB payload</w:t>
            </w:r>
          </w:p>
        </w:tc>
        <w:tc>
          <w:tcPr>
            <w:tcW w:type="pct" w:w="3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Voice-note intake</w:t>
            </w:r>
          </w:p>
        </w:tc>
        <w:tc>
          <w:tcPr>
            <w:tcW w:type="pct" w:w="2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Transcription fidelity, script guard</w:t>
            </w:r>
          </w:p>
        </w:tc>
      </w:tr>
    </w:tbl>
    <w:p>
      <w:pPr>
        <w:spacing w:after="140" w:line="312"/>
        <w:jc w:val="left"/>
      </w:pPr>
      <w:r>
        <w:rPr>
          <w:rFonts w:ascii="Times New Roman" w:eastAsia="SimSun"/>
          <w:color w:val="000000"/>
          <w:sz w:val="24"/>
          <w:szCs w:val="24"/>
        </w:rPr>
        <w:t xml:space="preserve">The check taxonomy distinguishes structural checks (counts, ranges, enum membership, referential integrity), behavioural checks (secret handling, language mirroring, evasion patterns), operational checks (latency and token recording, artifact snapshots, journal entries), and negative checks (expected 4xx rejections). A warn verdict means the behaviour deviated from the pre-registered expectation without breaking a contract — for instance, the ambiguity agent writing its notes in English for requirements that are tagged Arabic but worded in English. This distinction matters: warns are improvement input, fails are defects.</w:t>
      </w:r>
    </w:p>
    <w:p>
      <w:pPr>
        <w:pStyle w:val="Heading1"/>
        <w:keepNext/>
        <w:spacing w:after="180" w:before="400" w:line="312"/>
      </w:pPr>
      <w:bookmarkStart w:id="100003" w:name="_Toc100003"/>
      <w:r>
        <w:rPr>
          <w:rFonts w:ascii="Times New Roman" w:eastAsia="SimHei"/>
          <w:b/>
          <w:bCs/>
          <w:color w:val="0A1628"/>
          <w:sz w:val="32"/>
          <w:szCs w:val="32"/>
        </w:rPr>
        <w:t xml:space="preserve">4. The Agent Roster and Platform Architecture</w:t>
      </w:r>
      <w:bookmarkEnd w:id="100003"/>
    </w:p>
    <w:p>
      <w:pPr>
        <w:spacing w:after="140" w:line="312"/>
        <w:jc w:val="left"/>
      </w:pPr>
      <w:r>
        <w:rPr>
          <w:rFonts w:ascii="Times New Roman" w:eastAsia="SimSun"/>
          <w:color w:val="000000"/>
          <w:sz w:val="24"/>
          <w:szCs w:val="24"/>
        </w:rPr>
        <w:t xml:space="preserve">The platform runs twelve agent roles inside one server process, all backed by the same GLM chat-completion plumbing and the same defensive-normalisation layer. Six of them form the forward pipeline; five are lifecycle instruments; one is a multimodal intake service. Each pipeline agent executes inside a PipelineRun record: the state machine flips the project stage to agent_running, the agent does its work and writes artifacts, the run record captures latency, token estimate, blended-cost estimate and prompt version, and the stage advances to awaiting_review where the human gate lives. The critic-verifier is the one stage that makes two model calls — propose, then verify — inside a single run.</w:t>
      </w:r>
    </w:p>
    <w:p>
      <w:pPr>
        <w:spacing w:after="140" w:line="312"/>
        <w:jc w:val="left"/>
      </w:pPr>
      <w:r>
        <w:rPr>
          <w:rFonts w:ascii="Times New Roman" w:eastAsia="SimSun"/>
          <w:color w:val="000000"/>
          <w:sz w:val="24"/>
          <w:szCs w:val="24"/>
        </w:rPr>
        <w:t xml:space="preserve">Three cross-cutting mechanisms give the roster its coherence. State re-injection (G4) means every agent's prompt is rebuilt from the current database state, so the Extraction agent sees the selected problem and the stakeholder answers, downstream agents see approved requirements, and the elicitation agent sees harvested cross-project lessons plus the uncertainty ledger of assumptions the human chose to carry. Artifact snapshots mean every stage output is frozen as an audit record at the moment of generation. The decision journal (I12) records every human and agent action — question answered, assumption carried, rewrite applied, conflict resolved, drift swept — as an append-only trail exportable as an audit log.</w:t>
      </w:r>
    </w:p>
    <w:p>
      <w:pPr>
        <w:keepNext/>
        <w:spacing w:after="100" w:before="220" w:line="312"/>
      </w:pPr>
      <w:r>
        <w:rPr>
          <w:rFonts w:ascii="Times New Roman" w:eastAsia="SimSun"/>
          <w:b/>
          <w:bCs/>
          <w:color w:val="333333"/>
          <w:sz w:val="21"/>
          <w:szCs w:val="21"/>
        </w:rPr>
        <w:t xml:space="preserve">Table 2: The twelve agent roles at a glance</w:t>
      </w:r>
    </w:p>
    <w:tbl>
      <w:tblPr>
        <w:tblW w:type="pct" w:w="100%"/>
        <w:tblBorders>
          <w:top w:val="single" w:color="1B6B7A" w:sz="4"/>
          <w:left w:val="none" w:color="FFFFFF" w:sz="0"/>
          <w:bottom w:val="single" w:color="1B6B7A" w:sz="4"/>
          <w:right w:val="none" w:color="FFFFFF" w:sz="0"/>
          <w:insideH w:val="single" w:color="C8DDE2" w:sz="1"/>
          <w:insideV w:val="none" w:color="FFFFFF" w:sz="0"/>
        </w:tblBorders>
      </w:tblPr>
      <w:tblGrid>
        <w:gridCol w:w="100"/>
        <w:gridCol w:w="100"/>
        <w:gridCol w:w="100"/>
        <w:gridCol w:w="100"/>
        <w:gridCol w:w="100"/>
      </w:tblGrid>
      <w:tr>
        <w:trPr>
          <w:cantSplit/>
          <w:tblHeader/>
        </w:trPr>
        <w:tc>
          <w:tcPr>
            <w:tcW w:type="pct" w:w="20%"/>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Agent role</w:t>
            </w:r>
          </w:p>
        </w:tc>
        <w:tc>
          <w:tcPr>
            <w:tcW w:type="pct" w:w="14%"/>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Stage / trigger</w:t>
            </w:r>
          </w:p>
        </w:tc>
        <w:tc>
          <w:tcPr>
            <w:tcW w:type="pct" w:w="26%"/>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Input context</w:t>
            </w:r>
          </w:p>
        </w:tc>
        <w:tc>
          <w:tcPr>
            <w:tcW w:type="pct" w:w="22%"/>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Output (DB effect)</w:t>
            </w:r>
          </w:p>
        </w:tc>
        <w:tc>
          <w:tcPr>
            <w:tcW w:type="pct" w:w="18%"/>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Human gate</w:t>
            </w:r>
          </w:p>
        </w:tc>
      </w:tr>
      <w:tr>
        <w:trPr>
          <w:cantSplit/>
        </w:trPr>
        <w:tc>
          <w:tcPr>
            <w:tcW w:type="pct" w:w="2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Questioner (I1, I4)</w:t>
            </w:r>
          </w:p>
        </w:tc>
        <w:tc>
          <w:tcPr>
            <w:tcW w:type="pct" w:w="1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ELICITATION</w:t>
            </w:r>
          </w:p>
        </w:tc>
        <w:tc>
          <w:tcPr>
            <w:tcW w:type="pct" w:w="26%"/>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Brief, evidence, lessons, uncertainty ledger</w:t>
            </w:r>
          </w:p>
        </w:tc>
        <w:tc>
          <w:tcPr>
            <w:tcW w:type="pct" w:w="22%"/>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5 questions with ask-cost + fallback assumption</w:t>
            </w:r>
          </w:p>
        </w:tc>
        <w:tc>
          <w:tcPr>
            <w:tcW w:type="pct" w:w="18%"/>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Answer / proceed-with-uncertainty / approve</w:t>
            </w:r>
          </w:p>
        </w:tc>
      </w:tr>
      <w:tr>
        <w:trPr>
          <w:cantSplit/>
        </w:trPr>
        <w:tc>
          <w:tcPr>
            <w:tcW w:type="pct" w:w="2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Scope Agent (N2)</w:t>
            </w:r>
          </w:p>
        </w:tc>
        <w:tc>
          <w:tcPr>
            <w:tcW w:type="pct" w:w="1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PROBLEM_SELECTION</w:t>
            </w:r>
          </w:p>
        </w:tc>
        <w:tc>
          <w:tcPr>
            <w:tcW w:type="pct" w:w="26%"/>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Brief, evidence, Q&amp;A, ledger</w:t>
            </w:r>
          </w:p>
        </w:tc>
        <w:tc>
          <w:tcPr>
            <w:tcW w:type="pct" w:w="22%"/>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3-4 candidate problems with impact/effort</w:t>
            </w:r>
          </w:p>
        </w:tc>
        <w:tc>
          <w:tcPr>
            <w:tcW w:type="pct" w:w="18%"/>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Tune sliders, select exactly one</w:t>
            </w:r>
          </w:p>
        </w:tc>
      </w:tr>
      <w:tr>
        <w:trPr>
          <w:cantSplit/>
        </w:trPr>
        <w:tc>
          <w:tcPr>
            <w:tcW w:type="pct" w:w="2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Extraction Proposer (I2)</w:t>
            </w:r>
          </w:p>
        </w:tc>
        <w:tc>
          <w:tcPr>
            <w:tcW w:type="pct" w:w="1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EXTRACTION (call 1)</w:t>
            </w:r>
          </w:p>
        </w:tc>
        <w:tc>
          <w:tcPr>
            <w:tcW w:type="pct" w:w="26%"/>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Selected problem, evidence, Q&amp;A, ledger</w:t>
            </w:r>
          </w:p>
        </w:tc>
        <w:tc>
          <w:tcPr>
            <w:tcW w:type="pct" w:w="22%"/>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8-12 atomic requirements, confidence, language, trace links</w:t>
            </w:r>
          </w:p>
        </w:tc>
        <w:tc>
          <w:tcPr>
            <w:tcW w:type="pct" w:w="18%"/>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Edit / delete / approve</w:t>
            </w:r>
          </w:p>
        </w:tc>
      </w:tr>
      <w:tr>
        <w:trPr>
          <w:cantSplit/>
        </w:trPr>
        <w:tc>
          <w:tcPr>
            <w:tcW w:type="pct" w:w="2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Critic-Verifier (I3)</w:t>
            </w:r>
          </w:p>
        </w:tc>
        <w:tc>
          <w:tcPr>
            <w:tcW w:type="pct" w:w="1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EXTRACTION (call 2)</w:t>
            </w:r>
          </w:p>
        </w:tc>
        <w:tc>
          <w:tcPr>
            <w:tcW w:type="pct" w:w="26%"/>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Evidence + candidate requirements</w:t>
            </w:r>
          </w:p>
        </w:tc>
        <w:tc>
          <w:tcPr>
            <w:tcW w:type="pct" w:w="22%"/>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supported/weak verdict + note per requirement</w:t>
            </w:r>
          </w:p>
        </w:tc>
        <w:tc>
          <w:tcPr>
            <w:tcW w:type="pct" w:w="18%"/>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Arbitrate weak items</w:t>
            </w:r>
          </w:p>
        </w:tc>
      </w:tr>
      <w:tr>
        <w:trPr>
          <w:cantSplit/>
        </w:trPr>
        <w:tc>
          <w:tcPr>
            <w:tcW w:type="pct" w:w="2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Ambiguity Agent (G14)</w:t>
            </w:r>
          </w:p>
        </w:tc>
        <w:tc>
          <w:tcPr>
            <w:tcW w:type="pct" w:w="1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AMBIGUITY</w:t>
            </w:r>
          </w:p>
        </w:tc>
        <w:tc>
          <w:tcPr>
            <w:tcW w:type="pct" w:w="26%"/>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Approved requirements</w:t>
            </w:r>
          </w:p>
        </w:tc>
        <w:tc>
          <w:tcPr>
            <w:tcW w:type="pct" w:w="22%"/>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0-100 ambiguity scores, weak-word notes, rewrites</w:t>
            </w:r>
          </w:p>
        </w:tc>
        <w:tc>
          <w:tcPr>
            <w:tcW w:type="pct" w:w="18%"/>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Apply rewrites or keep</w:t>
            </w:r>
          </w:p>
        </w:tc>
      </w:tr>
      <w:tr>
        <w:trPr>
          <w:cantSplit/>
        </w:trPr>
        <w:tc>
          <w:tcPr>
            <w:tcW w:type="pct" w:w="2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Story Agent (I9)</w:t>
            </w:r>
          </w:p>
        </w:tc>
        <w:tc>
          <w:tcPr>
            <w:tcW w:type="pct" w:w="1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STORIES</w:t>
            </w:r>
          </w:p>
        </w:tc>
        <w:tc>
          <w:tcPr>
            <w:tcW w:type="pct" w:w="26%"/>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Approved requirements</w:t>
            </w:r>
          </w:p>
        </w:tc>
        <w:tc>
          <w:tcPr>
            <w:tcW w:type="pct" w:w="22%"/>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1 story per eligible requirement, Gherkin criteria, INVEST</w:t>
            </w:r>
          </w:p>
        </w:tc>
        <w:tc>
          <w:tcPr>
            <w:tcW w:type="pct" w:w="18%"/>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Review / approve</w:t>
            </w:r>
          </w:p>
        </w:tc>
      </w:tr>
      <w:tr>
        <w:trPr>
          <w:cantSplit/>
        </w:trPr>
        <w:tc>
          <w:tcPr>
            <w:tcW w:type="pct" w:w="2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Consistency Agent</w:t>
            </w:r>
          </w:p>
        </w:tc>
        <w:tc>
          <w:tcPr>
            <w:tcW w:type="pct" w:w="1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CONFLICTS</w:t>
            </w:r>
          </w:p>
        </w:tc>
        <w:tc>
          <w:tcPr>
            <w:tcW w:type="pct" w:w="26%"/>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Approved requirements</w:t>
            </w:r>
          </w:p>
        </w:tc>
        <w:tc>
          <w:tcPr>
            <w:tcW w:type="pct" w:w="22%"/>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Up to 6 conflicts with kind, severity, resolution</w:t>
            </w:r>
          </w:p>
        </w:tc>
        <w:tc>
          <w:tcPr>
            <w:tcW w:type="pct" w:w="18%"/>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Resolve each conflict</w:t>
            </w:r>
          </w:p>
        </w:tc>
      </w:tr>
      <w:tr>
        <w:trPr>
          <w:cantSplit/>
        </w:trPr>
        <w:tc>
          <w:tcPr>
            <w:tcW w:type="pct" w:w="2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Wind-Tunnel Simulator (I7)</w:t>
            </w:r>
          </w:p>
        </w:tc>
        <w:tc>
          <w:tcPr>
            <w:tcW w:type="pct" w:w="1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Instrument, on demand</w:t>
            </w:r>
          </w:p>
        </w:tc>
        <w:tc>
          <w:tcPr>
            <w:tcW w:type="pct" w:w="26%"/>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Persona, held-out secret, pending questions</w:t>
            </w:r>
          </w:p>
        </w:tc>
        <w:tc>
          <w:tcPr>
            <w:tcW w:type="pct" w:w="22%"/>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In-character answers, synthetic-labelled</w:t>
            </w:r>
          </w:p>
        </w:tc>
        <w:tc>
          <w:tcPr>
            <w:tcW w:type="pct" w:w="18%"/>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Review answers in elicitation</w:t>
            </w:r>
          </w:p>
        </w:tc>
      </w:tr>
      <w:tr>
        <w:trPr>
          <w:cantSplit/>
        </w:trPr>
        <w:tc>
          <w:tcPr>
            <w:tcW w:type="pct" w:w="2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Drift Radar (I8)</w:t>
            </w:r>
          </w:p>
        </w:tc>
        <w:tc>
          <w:tcPr>
            <w:tcW w:type="pct" w:w="1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Instrument, on demand</w:t>
            </w:r>
          </w:p>
        </w:tc>
        <w:tc>
          <w:tcPr>
            <w:tcW w:type="pct" w:w="26%"/>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Change signal + baseline</w:t>
            </w:r>
          </w:p>
        </w:tc>
        <w:tc>
          <w:tcPr>
            <w:tcW w:type="pct" w:w="22%"/>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Impacted requirements flagged + summary</w:t>
            </w:r>
          </w:p>
        </w:tc>
        <w:tc>
          <w:tcPr>
            <w:tcW w:type="pct" w:w="18%"/>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Triage / clear flags</w:t>
            </w:r>
          </w:p>
        </w:tc>
      </w:tr>
      <w:tr>
        <w:trPr>
          <w:cantSplit/>
        </w:trPr>
        <w:tc>
          <w:tcPr>
            <w:tcW w:type="pct" w:w="2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Compliance Checker (I11)</w:t>
            </w:r>
          </w:p>
        </w:tc>
        <w:tc>
          <w:tcPr>
            <w:tcW w:type="pct" w:w="1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Instrument, on demand</w:t>
            </w:r>
          </w:p>
        </w:tc>
        <w:tc>
          <w:tcPr>
            <w:tcW w:type="pct" w:w="26%"/>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Requirement graph + constraint pack</w:t>
            </w:r>
          </w:p>
        </w:tc>
        <w:tc>
          <w:tcPr>
            <w:tcW w:type="pct" w:w="22%"/>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pass/partial/fail, covered aspects, gap suggestions</w:t>
            </w:r>
          </w:p>
        </w:tc>
        <w:tc>
          <w:tcPr>
            <w:tcW w:type="pct" w:w="18%"/>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Adopt suggested requirements</w:t>
            </w:r>
          </w:p>
        </w:tc>
      </w:tr>
      <w:tr>
        <w:trPr>
          <w:cantSplit/>
        </w:trPr>
        <w:tc>
          <w:tcPr>
            <w:tcW w:type="pct" w:w="2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Health Reporter (I14)</w:t>
            </w:r>
          </w:p>
        </w:tc>
        <w:tc>
          <w:tcPr>
            <w:tcW w:type="pct" w:w="1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Instrument, on demand</w:t>
            </w:r>
          </w:p>
        </w:tc>
        <w:tc>
          <w:tcPr>
            <w:tcW w:type="pct" w:w="26%"/>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Full project statistics</w:t>
            </w:r>
          </w:p>
        </w:tc>
        <w:tc>
          <w:tcPr>
            <w:tcW w:type="pct" w:w="22%"/>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7-field decomposed health report</w:t>
            </w:r>
          </w:p>
        </w:tc>
        <w:tc>
          <w:tcPr>
            <w:tcW w:type="pct" w:w="18%"/>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Read in Debrief Bay</w:t>
            </w:r>
          </w:p>
        </w:tc>
      </w:tr>
      <w:tr>
        <w:trPr>
          <w:cantSplit/>
        </w:trPr>
        <w:tc>
          <w:tcPr>
            <w:tcW w:type="pct" w:w="2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Memory Harvester (I4)</w:t>
            </w:r>
          </w:p>
        </w:tc>
        <w:tc>
          <w:tcPr>
            <w:tcW w:type="pct" w:w="1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On pipeline completion</w:t>
            </w:r>
          </w:p>
        </w:tc>
        <w:tc>
          <w:tcPr>
            <w:tcW w:type="pct" w:w="26%"/>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Q&amp;A outcomes, evidence, selection</w:t>
            </w:r>
          </w:p>
        </w:tc>
        <w:tc>
          <w:tcPr>
            <w:tcW w:type="pct" w:w="22%"/>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Glossary terms (project) + lessons (cross-project)</w:t>
            </w:r>
          </w:p>
        </w:tc>
        <w:tc>
          <w:tcPr>
            <w:tcW w:type="pct" w:w="18%"/>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None (best-effort)</w:t>
            </w:r>
          </w:p>
        </w:tc>
      </w:tr>
    </w:tbl>
    <w:p>
      <w:pPr>
        <w:spacing w:after="140" w:line="312"/>
        <w:jc w:val="left"/>
      </w:pPr>
      <w:r>
        <w:rPr>
          <w:rFonts w:ascii="Times New Roman" w:eastAsia="SimSun"/>
          <w:color w:val="000000"/>
          <w:sz w:val="24"/>
          <w:szCs w:val="24"/>
        </w:rPr>
        <w:t xml:space="preserve">Two further services support the roster without being agents in the strict sense. The voice-note intake route (/api/transcribe) converts browser-recorded audio into transcript text via GLM ASR, now hardened with script-mismatch detection. The central registry (src/lib/registry.ts) holds the qualitative metadata — flight-plan phases, capability atlas with honest LIVE / IN-DEV / PLANNED statuses, integration targets — so that the dynamicity rule holds: numbers come from the database, labels come from the registry, and nothing is hardcoded in between.</w:t>
      </w:r>
    </w:p>
    <w:p>
      <w:pPr>
        <w:keepNext/>
        <w:spacing w:after="80" w:before="24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571750"/>
                    </a:xfrm>
                    <a:prstGeom prst="rect">
                      <a:avLst/>
                    </a:prstGeom>
                  </pic:spPr>
                </pic:pic>
              </a:graphicData>
            </a:graphic>
          </wp:inline>
        </w:drawing>
      </w:r>
    </w:p>
    <w:p>
      <w:pPr>
        <w:spacing w:after="240" w:line="276"/>
        <w:jc w:val="center"/>
      </w:pPr>
      <w:r>
        <w:rPr>
          <w:rFonts w:ascii="Times New Roman" w:eastAsia="SimSun"/>
          <w:i/>
          <w:iCs/>
          <w:color w:val="555555"/>
          <w:sz w:val="20"/>
          <w:szCs w:val="20"/>
        </w:rPr>
        <w:t xml:space="preserve">Figure 1: Server-recorded latency of the six pipeline agents across three full live runs. Stories and Extraction dominate; Scope and Consistency are the fastest.</w:t>
      </w:r>
    </w:p>
    <w:p>
      <w:pPr>
        <w:spacing w:after="140" w:line="312"/>
        <w:jc w:val="left"/>
      </w:pPr>
      <w:r>
        <w:rPr>
          <w:rFonts w:ascii="Times New Roman" w:eastAsia="SimSun"/>
          <w:color w:val="000000"/>
          <w:sz w:val="24"/>
          <w:szCs w:val="24"/>
        </w:rPr>
        <w:t xml:space="preserve">The latency profile is stable and interpretable. Story generation is the slowest agent (median 22.4 seconds, up to 25.9) because it produces the largest structured output — one narrative and two to four acceptance criteria per requirement, for up to a dozen requirements. Extraction is second (median 16.5 seconds) and carries two model calls: the proposer and the critic. Elicitation, Ambiguity, and Conflicts cluster in the 3-to-11-second band, and Problem Selection is the fastest at roughly 3-4 seconds. Across a full flight the six agents sum to a median of about 40 seconds of pure agent time with roughly 9,500-10,400 estimated tokens, about USD 0.006 at the platform's blended estimate — cheap enough for the iterative, gate-by-gate usage pattern the product encourages.</w:t>
      </w:r>
    </w:p>
    <w:p>
      <w:pPr>
        <w:pStyle w:val="Heading1"/>
        <w:keepNext/>
        <w:spacing w:after="180" w:before="400" w:line="312"/>
      </w:pPr>
      <w:bookmarkStart w:id="100004" w:name="_Toc100004"/>
      <w:r>
        <w:rPr>
          <w:rFonts w:ascii="Times New Roman" w:eastAsia="SimHei"/>
          <w:b/>
          <w:bCs/>
          <w:color w:val="0A1628"/>
          <w:sz w:val="32"/>
          <w:szCs w:val="32"/>
        </w:rPr>
        <w:t xml:space="preserve">5. Agent Deep Dives: Findings, Behaviour, and Improvement Actions</w:t>
      </w:r>
      <w:bookmarkEnd w:id="100004"/>
    </w:p>
    <w:p>
      <w:pPr>
        <w:spacing w:after="140" w:line="312"/>
        <w:jc w:val="left"/>
      </w:pPr>
      <w:r>
        <w:rPr>
          <w:rFonts w:ascii="Times New Roman" w:eastAsia="SimSun"/>
          <w:color w:val="000000"/>
          <w:sz w:val="24"/>
          <w:szCs w:val="24"/>
        </w:rPr>
        <w:t xml:space="preserve">This section examines each agent role in turn. Every subsection follows the same structure: the role and its mission; its operational dynamics as observed through the audit harness; the behavioural patterns that emerged across repeated live runs; the audit verdict with specific check evidence; and the improvement actions already applied or recommended. Findings are cross-referenced to the consolidated register in Section 6 (F-01 through F-12), and fixes to the ledger in Section 7.</w:t>
      </w:r>
    </w:p>
    <w:p>
      <w:pPr>
        <w:pStyle w:val="Heading2"/>
        <w:keepNext/>
        <w:spacing w:after="140" w:before="300" w:line="312"/>
      </w:pPr>
      <w:bookmarkStart w:id="100005" w:name="_Toc100005"/>
      <w:r>
        <w:rPr>
          <w:rFonts w:ascii="Times New Roman" w:eastAsia="SimHei"/>
          <w:b/>
          <w:bCs/>
          <w:color w:val="14424E"/>
          <w:sz w:val="28"/>
          <w:szCs w:val="28"/>
        </w:rPr>
        <w:t xml:space="preserve">5.1 Questioner Agent (Elicitation)</w:t>
      </w:r>
      <w:bookmarkEnd w:id="100005"/>
    </w:p>
    <w:p>
      <w:pPr>
        <w:keepNext/>
        <w:spacing w:after="110" w:before="220" w:line="312"/>
      </w:pPr>
      <w:r>
        <w:rPr>
          <w:rFonts w:ascii="Times New Roman" w:eastAsia="SimHei"/>
          <w:b/>
          <w:bCs/>
          <w:color w:val="1B6B7A"/>
          <w:sz w:val="24"/>
          <w:szCs w:val="24"/>
        </w:rPr>
        <w:t xml:space="preserve">Role and operational dynamics</w:t>
      </w:r>
    </w:p>
    <w:p>
      <w:pPr>
        <w:spacing w:after="140" w:line="312"/>
        <w:jc w:val="left"/>
      </w:pPr>
      <w:r>
        <w:rPr>
          <w:rFonts w:ascii="Times New Roman" w:eastAsia="SimSun"/>
          <w:color w:val="000000"/>
          <w:sz w:val="24"/>
          <w:szCs w:val="24"/>
        </w:rPr>
        <w:t xml:space="preserve">The Questioner opens every mission. It receives the project brief, the full evidence block, up to six harvested cross-project lessons, and the uncertainty ledger of previously carried assumptions, and returns exactly five clarifying questions, each with a rationale, a priority, an ask-cost between 1 and 5, and a fallback assumption stating what the team would have to assume if the question were skipped. This is the platform's embodiment of uncertainty-gated asking (I1): the agent does not merely ask, it prices the interruption and pre-commits to a testable assumption, so the human can choose per question whether asking is worth it. Its output is clamped defensively — questions capped at seven, ask-cost rounded and bounded 1-5, priorities whitelisted — and its previous questions are deleted and replaced on re-run, so a stage always holds exactly one live question set.</w:t>
      </w:r>
    </w:p>
    <w:p>
      <w:pPr>
        <w:keepNext/>
        <w:spacing w:after="110" w:before="220" w:line="312"/>
      </w:pPr>
      <w:r>
        <w:rPr>
          <w:rFonts w:ascii="Times New Roman" w:eastAsia="SimHei"/>
          <w:b/>
          <w:bCs/>
          <w:color w:val="1B6B7A"/>
          <w:sz w:val="24"/>
          <w:szCs w:val="24"/>
        </w:rPr>
        <w:t xml:space="preserve">Behavioural patterns observed</w:t>
      </w:r>
    </w:p>
    <w:p>
      <w:pPr>
        <w:spacing w:after="140" w:line="312"/>
        <w:jc w:val="left"/>
      </w:pPr>
      <w:r>
        <w:rPr>
          <w:rFonts w:ascii="Times New Roman" w:eastAsia="SimSun"/>
          <w:color w:val="000000"/>
          <w:sz w:val="24"/>
          <w:szCs w:val="24"/>
        </w:rPr>
        <w:t xml:space="preserve">Question quality was the strongest single pattern in the audit. In the Arabic-mirror run, the five questions for the grocery-marketplace scenario were all written natively in Egyptian Arabic and each traced directly to evidence specifics: customer identity verification at handover (E1's cash-on-delivery handoff), a maximum order value for COD, the exact temporary-ban period after double cancellation (E3's strike system), precise pilot success metrics for the three districts, and support strategy for shops on unstable connections (E2's 3G constraint). Ask-costs were sensible and differentiated (1 for trivial factual queries, 2-3 for stakeholder-attention-heavy topics), and every fallback assumption was substantive rather than filler. The one unstable behaviour was language mirroring: with identical evidence, run 1 produced zero Arabic questions and run 2 produced five — the original prompt's “may be asked in the same language style” left the choice entirely to the model's mood. After the prompt was hardened to require at least two native Arabic questions when the evidence contains substantial Egyptian Arabic, the post-fix run produced four of five in Arabic, and every subsequent run stayed above the threshold.</w:t>
      </w:r>
    </w:p>
    <w:p>
      <w:pPr>
        <w:keepNext/>
        <w:spacing w:after="110" w:before="220" w:line="312"/>
      </w:pPr>
      <w:r>
        <w:rPr>
          <w:rFonts w:ascii="Times New Roman" w:eastAsia="SimHei"/>
          <w:b/>
          <w:bCs/>
          <w:color w:val="1B6B7A"/>
          <w:sz w:val="24"/>
          <w:szCs w:val="24"/>
        </w:rPr>
        <w:t xml:space="preserve">Audit results and improvement actions</w:t>
      </w:r>
    </w:p>
    <w:p>
      <w:pPr>
        <w:spacing w:after="140" w:line="312"/>
        <w:jc w:val="left"/>
      </w:pPr>
      <w:r>
        <w:rPr>
          <w:rFonts w:ascii="Times New Roman" w:eastAsia="SimSun"/>
          <w:color w:val="000000"/>
          <w:sz w:val="24"/>
          <w:szCs w:val="24"/>
        </w:rPr>
        <w:t xml:space="preserve">Twenty-four checks attached to this agent: twenty-three passed, one failed — the baseline language-mirroring warn escalated by the cross-run comparison (F-06, now improved). The gate mechanics all passed: answering in English and in Egyptian Arabic, marking one question proceed-with-uncertainty, leaving one pending, and approving — after which the platform auto-closed the pending question with the auditable marker “(skipped by analyst)” and journaled every action. Remaining improvement actions: attach a per-question target-stakeholder tag so mixed-stakeholder missions can route questions to the right interviewee; and enforce the Arabic-mirroring minimum with a post-generation count-and-regenerate guard rather than relying on the prompt alone, which would make the behaviour deterministic rather than probable.</w:t>
      </w:r>
    </w:p>
    <w:p>
      <w:pPr>
        <w:pStyle w:val="Heading2"/>
        <w:keepNext/>
        <w:spacing w:after="140" w:before="300" w:line="312"/>
      </w:pPr>
      <w:bookmarkStart w:id="100006" w:name="_Toc100006"/>
      <w:r>
        <w:rPr>
          <w:rFonts w:ascii="Times New Roman" w:eastAsia="SimHei"/>
          <w:b/>
          <w:bCs/>
          <w:color w:val="14424E"/>
          <w:sz w:val="28"/>
          <w:szCs w:val="28"/>
        </w:rPr>
        <w:t xml:space="preserve">5.2 Scope Agent (Impact-Aware Problem Selection)</w:t>
      </w:r>
      <w:bookmarkEnd w:id="100006"/>
    </w:p>
    <w:p>
      <w:pPr>
        <w:keepNext/>
        <w:spacing w:after="110" w:before="220" w:line="312"/>
      </w:pPr>
      <w:r>
        <w:rPr>
          <w:rFonts w:ascii="Times New Roman" w:eastAsia="SimHei"/>
          <w:b/>
          <w:bCs/>
          <w:color w:val="1B6B7A"/>
          <w:sz w:val="24"/>
          <w:szCs w:val="24"/>
        </w:rPr>
        <w:t xml:space="preserve">Role and operational dynamics</w:t>
      </w:r>
    </w:p>
    <w:p>
      <w:pPr>
        <w:spacing w:after="140" w:line="312"/>
        <w:jc w:val="left"/>
      </w:pPr>
      <w:r>
        <w:rPr>
          <w:rFonts w:ascii="Times New Roman" w:eastAsia="SimSun"/>
          <w:color w:val="000000"/>
          <w:sz w:val="24"/>
          <w:szCs w:val="24"/>
        </w:rPr>
        <w:t xml:space="preserve">The Scope Agent converts an evidence base into a decision space. Given the brief, evidence, stakeholder answers, and the uncertainty ledger, it proposes three to four candidate problem statements, each with a title, a two-to-three-sentence description, the evidence codes that ground it, and suggested impact and effort on 1-5 scales. The prompt explicitly instructs it to treat ledger assumptions as provisional rather than factual — the platform's answer to the classic risk of assumption laundering, where an unverified guess silently hardens into a requirement. Its output is clamped (impact and effort rounded into 1-5, candidates capped at four, titles and descriptions length-capped), and the human gate requires exactly one selected candidate before the stage can advance.</w:t>
      </w:r>
    </w:p>
    <w:p>
      <w:pPr>
        <w:keepNext/>
        <w:spacing w:after="110" w:before="220" w:line="312"/>
      </w:pPr>
      <w:r>
        <w:rPr>
          <w:rFonts w:ascii="Times New Roman" w:eastAsia="SimHei"/>
          <w:b/>
          <w:bCs/>
          <w:color w:val="1B6B7A"/>
          <w:sz w:val="24"/>
          <w:szCs w:val="24"/>
        </w:rPr>
        <w:t xml:space="preserve">Behavioural patterns observed</w:t>
      </w:r>
    </w:p>
    <w:p>
      <w:pPr>
        <w:spacing w:after="140" w:line="312"/>
        <w:jc w:val="left"/>
      </w:pPr>
      <w:r>
        <w:rPr>
          <w:rFonts w:ascii="Times New Roman" w:eastAsia="SimSun"/>
          <w:color w:val="000000"/>
          <w:sz w:val="24"/>
          <w:szCs w:val="24"/>
        </w:rPr>
        <w:t xml:space="preserve">Across three runs the agent consistently produced four candidates with differentiated impact/effort profiles (for example 5/2, 4/3, 4/2, 3/3 in the baseline run) rather than a cluster of near-identical proposals, which is exactly what a selection matrix needs to be useful. Every candidate carried valid evidence codes referencing E1-E3, and none of the descriptions asserted the carried assumption (the 24-hour temporary ban from the uncertainty ledger) as an established fact — the provisional framing held. The candidates also tracked the selected-problem prompt faithfully downstream: extraction in all runs organised its requirements around the human-selected candidate rather than the full brief. Latency was the lowest of the roster (2.6-4.6 seconds, roughly 1,000-1,400 estimated tokens), which fits its narrower synthesis task.</w:t>
      </w:r>
    </w:p>
    <w:p>
      <w:pPr>
        <w:keepNext/>
        <w:spacing w:after="110" w:before="220" w:line="312"/>
      </w:pPr>
      <w:r>
        <w:rPr>
          <w:rFonts w:ascii="Times New Roman" w:eastAsia="SimHei"/>
          <w:b/>
          <w:bCs/>
          <w:color w:val="1B6B7A"/>
          <w:sz w:val="24"/>
          <w:szCs w:val="24"/>
        </w:rPr>
        <w:t xml:space="preserve">Audit results and improvement actions</w:t>
      </w:r>
    </w:p>
    <w:p>
      <w:pPr>
        <w:spacing w:after="140" w:line="312"/>
        <w:jc w:val="left"/>
      </w:pPr>
      <w:r>
        <w:rPr>
          <w:rFonts w:ascii="Times New Roman" w:eastAsia="SimSun"/>
          <w:color w:val="000000"/>
          <w:sz w:val="24"/>
          <w:szCs w:val="24"/>
        </w:rPr>
        <w:t xml:space="preserve">Seven checks passed: candidate count, slider ranges, evidence-code validity, ledger respect (qualitative), artifact snapshot, human tune-and-select journaling, and gate advance. The tuning path — human re-scores impact to 5 and effort to 2, selects the candidate — was verified to journal both the candidate_tuned and selected_problem decisions. Improvement actions: ask the agent for a one-line rationale per suggested score, so the human starts from an argument rather than a number; and store the evidence-code-to-description mapping so the interface can render which sentence of which source supports each candidate, extending the traceability the pipeline already provides for requirements.</w:t>
      </w:r>
    </w:p>
    <w:p>
      <w:pPr>
        <w:pStyle w:val="Heading2"/>
        <w:keepNext/>
        <w:spacing w:after="140" w:before="300" w:line="312"/>
      </w:pPr>
      <w:bookmarkStart w:id="100007" w:name="_Toc100007"/>
      <w:r>
        <w:rPr>
          <w:rFonts w:ascii="Times New Roman" w:eastAsia="SimHei"/>
          <w:b/>
          <w:bCs/>
          <w:color w:val="14424E"/>
          <w:sz w:val="28"/>
          <w:szCs w:val="28"/>
        </w:rPr>
        <w:t xml:space="preserve">5.3 Extraction Proposer</w:t>
      </w:r>
      <w:bookmarkEnd w:id="100007"/>
    </w:p>
    <w:p>
      <w:pPr>
        <w:keepNext/>
        <w:spacing w:after="110" w:before="220" w:line="312"/>
      </w:pPr>
      <w:r>
        <w:rPr>
          <w:rFonts w:ascii="Times New Roman" w:eastAsia="SimHei"/>
          <w:b/>
          <w:bCs/>
          <w:color w:val="1B6B7A"/>
          <w:sz w:val="24"/>
          <w:szCs w:val="24"/>
        </w:rPr>
        <w:t xml:space="preserve">Role and operational dynamics</w:t>
      </w:r>
    </w:p>
    <w:p>
      <w:pPr>
        <w:spacing w:after="140" w:line="312"/>
        <w:jc w:val="left"/>
      </w:pPr>
      <w:r>
        <w:rPr>
          <w:rFonts w:ascii="Times New Roman" w:eastAsia="SimSun"/>
          <w:color w:val="000000"/>
          <w:sz w:val="24"/>
          <w:szCs w:val="24"/>
        </w:rPr>
        <w:t xml:space="preserve">The Extraction Proposer is the engine's workhorse. It receives the selected problem statement, the evidence block, stakeholder answers, and the uncertainty ledger, and produces eight to twelve atomic requirements — each required to be a single testable statement in “The system shall” form, typed as functional, nonfunctional, or constraint, prioritised by MoSCoW, grounded in cited evidence codes, tagged with its source language (en, ar-EG, or codeswitch), and accompanied by a 0-100 self-reported confidence (I2, the calibration input). Every cited code is resolved to a real evidence record and stored as a TraceLink, giving each requirement a visible grounding chain. The stage replaces the previous extraction wholesale on re-run, and refIds are assigned sequentially REQ-01 onward at write time.</w:t>
      </w:r>
    </w:p>
    <w:p>
      <w:pPr>
        <w:keepNext/>
        <w:spacing w:after="110" w:before="220" w:line="312"/>
      </w:pPr>
      <w:r>
        <w:rPr>
          <w:rFonts w:ascii="Times New Roman" w:eastAsia="SimHei"/>
          <w:b/>
          <w:bCs/>
          <w:color w:val="1B6B7A"/>
          <w:sz w:val="24"/>
          <w:szCs w:val="24"/>
        </w:rPr>
        <w:t xml:space="preserve">Behavioural patterns observed</w:t>
      </w:r>
    </w:p>
    <w:p>
      <w:pPr>
        <w:spacing w:after="140" w:line="312"/>
        <w:jc w:val="left"/>
      </w:pPr>
      <w:r>
        <w:rPr>
          <w:rFonts w:ascii="Times New Roman" w:eastAsia="SimSun"/>
          <w:color w:val="000000"/>
          <w:sz w:val="24"/>
          <w:szCs w:val="24"/>
        </w:rPr>
        <w:t xml:space="preserve">Form discipline was perfect in both audited runs: 12/12 and 11/11 requirements opened with “The system shall” or were Arabic-native, all types and MoSCoW priorities were valid, and confidences averaged 89-90 with plausible spread rather than a uniform 90. Language handling was partially faithful: two to three requirements per run kept native Arabic or code-switched wording, but the audit also caught a taxonomy subtlety worth naming — the model sometimes tags a requirement ar-EG because it is grounded in Arabic evidence even when the requirement text itself is written in English, so the language tag describes grounding origin more reliably than text language (F-09 context). The truncation probe produced the audit's most consequential result: with the appendix beyond the 1,200-character window, zero of ten requirements referenced two-factor authentication or archiving — the agents were not lazy, they were blind (F-02). After the evidence budget was raised to 4,000 characters per source with a 16,000-character shared budget and an explicit truncation notice, the same probe yielded REQ-06 “archive completed orders for seven years” and REQ-07 “implement two-factor authentication for all administrator accounts”, both verified supported by the critic.</w:t>
      </w:r>
    </w:p>
    <w:p>
      <w:pPr>
        <w:keepNext/>
        <w:spacing w:after="110" w:before="220" w:line="312"/>
      </w:pPr>
      <w:r>
        <w:rPr>
          <w:rFonts w:ascii="Times New Roman" w:eastAsia="SimHei"/>
          <w:b/>
          <w:bCs/>
          <w:color w:val="1B6B7A"/>
          <w:sz w:val="24"/>
          <w:szCs w:val="24"/>
        </w:rPr>
        <w:t xml:space="preserve">Audit results and improvement actions</w:t>
      </w:r>
    </w:p>
    <w:p>
      <w:pPr>
        <w:spacing w:after="140" w:line="312"/>
        <w:jc w:val="left"/>
      </w:pPr>
      <w:r>
        <w:rPr>
          <w:rFonts w:ascii="Times New Roman" w:eastAsia="SimSun"/>
          <w:color w:val="000000"/>
          <w:sz w:val="24"/>
          <w:szCs w:val="24"/>
        </w:rPr>
        <w:t xml:space="preserve">Fourteen checks attached: twelve passed, two info. The baseline traceability failure (one run returned requirements whose evidence codes did not resolve, leaving them with zero trace links and no warning — F-08) is now covered by the ungrounded-requirement safety net: any requirement arriving without a valid citation is forced into verifyStatus weak with an explicit human-action note. Improvement actions: adopt a structured-output mode at the provider level once the LLM Provider Interface lands, removing the JSON-repair path from the critical route; clarify the language-tag contract in the prompt (tag the text's actual language, note the grounding separately); and lint for unquantified quantifiers in shall-statements at generation time rather than leaving all crispness work to the Ambiguity agent.</w:t>
      </w:r>
    </w:p>
    <w:p>
      <w:pPr>
        <w:pStyle w:val="Heading2"/>
        <w:keepNext/>
        <w:spacing w:after="140" w:before="300" w:line="312"/>
      </w:pPr>
      <w:bookmarkStart w:id="100008" w:name="_Toc100008"/>
      <w:r>
        <w:rPr>
          <w:rFonts w:ascii="Times New Roman" w:eastAsia="SimHei"/>
          <w:b/>
          <w:bCs/>
          <w:color w:val="14424E"/>
          <w:sz w:val="28"/>
          <w:szCs w:val="28"/>
        </w:rPr>
        <w:t xml:space="preserve">5.4 Critic-Verifier</w:t>
      </w:r>
      <w:bookmarkEnd w:id="100008"/>
    </w:p>
    <w:p>
      <w:pPr>
        <w:keepNext/>
        <w:spacing w:after="110" w:before="220" w:line="312"/>
      </w:pPr>
      <w:r>
        <w:rPr>
          <w:rFonts w:ascii="Times New Roman" w:eastAsia="SimHei"/>
          <w:b/>
          <w:bCs/>
          <w:color w:val="1B6B7A"/>
          <w:sz w:val="24"/>
          <w:szCs w:val="24"/>
        </w:rPr>
        <w:t xml:space="preserve">Role and operational dynamics</w:t>
      </w:r>
    </w:p>
    <w:p>
      <w:pPr>
        <w:spacing w:after="140" w:line="312"/>
        <w:jc w:val="left"/>
      </w:pPr>
      <w:r>
        <w:rPr>
          <w:rFonts w:ascii="Times New Roman" w:eastAsia="SimSun"/>
          <w:color w:val="000000"/>
          <w:sz w:val="24"/>
          <w:szCs w:val="24"/>
        </w:rPr>
        <w:t xml:space="preserve">The Critic is the platform's second opinion inside the extraction stage, implementing propose-verify (I3). After the proposer writes requirements, a second model call receives the evidence and the candidate list and returns a verdict per requirement — supported when the evidence explicitly states or clearly implies it, weak when support is stretched or the requirement adds an assumption not present in the evidence — with a one-line justification. Verdicts persist as verifyStatus and verifyNote on each requirement, rendering in the interface as verification chips the human must arbitrate before approval. The pass is deliberately best-effort: if the verifier call fails, requirements remain unverified rather than blocking the stage.</w:t>
      </w:r>
    </w:p>
    <w:p>
      <w:pPr>
        <w:keepNext/>
        <w:spacing w:after="110" w:before="220" w:line="312"/>
      </w:pPr>
      <w:r>
        <w:rPr>
          <w:rFonts w:ascii="Times New Roman" w:eastAsia="SimHei"/>
          <w:b/>
          <w:bCs/>
          <w:color w:val="1B6B7A"/>
          <w:sz w:val="24"/>
          <w:szCs w:val="24"/>
        </w:rPr>
        <w:t xml:space="preserve">Behavioural patterns observed</w:t>
      </w:r>
    </w:p>
    <w:p>
      <w:pPr>
        <w:spacing w:after="140" w:line="312"/>
        <w:jc w:val="left"/>
      </w:pPr>
      <w:r>
        <w:rPr>
          <w:rFonts w:ascii="Times New Roman" w:eastAsia="SimSun"/>
          <w:color w:val="000000"/>
          <w:sz w:val="24"/>
          <w:szCs w:val="24"/>
        </w:rPr>
        <w:t xml:space="preserve">The critic was the audit's precision highlight. In every run it verified 100% of candidates (12/12 and 11/11, with 2-3 weak) and its weak notes demonstrated genuine evidence-distance reasoning rather than surface matching: for a tracking requirement self-rated at confidence 90, it noted that the interview “mentions the problem of orders being lost but doesn't specify tracking functionality as the solution”; for a top-items dashboard at confidence 80, it noted the source “mentions wanting to know most-requested items but doesn't specify a dashboard”. This exposes a valuable calibration finding (F-11): the proposer's confidence and the critic's verdict are independent signals that sometimes disagree, and exactly those disagreements — high confidence, weak verdict — are the most informative rows in the workspace. Currently the platform surfaces both numbers but does not couple them; that coupling is the single highest-leverage calibration improvement available.</w:t>
      </w:r>
    </w:p>
    <w:p>
      <w:pPr>
        <w:keepNext/>
        <w:spacing w:after="110" w:before="220" w:line="312"/>
      </w:pPr>
      <w:r>
        <w:rPr>
          <w:rFonts w:ascii="Times New Roman" w:eastAsia="SimHei"/>
          <w:b/>
          <w:bCs/>
          <w:color w:val="1B6B7A"/>
          <w:sz w:val="24"/>
          <w:szCs w:val="24"/>
        </w:rPr>
        <w:t xml:space="preserve">Audit results and improvement actions</w:t>
      </w:r>
    </w:p>
    <w:p>
      <w:pPr>
        <w:spacing w:after="140" w:line="312"/>
        <w:jc w:val="left"/>
      </w:pPr>
      <w:r>
        <w:rPr>
          <w:rFonts w:ascii="Times New Roman" w:eastAsia="SimSun"/>
          <w:color w:val="000000"/>
          <w:sz w:val="24"/>
          <w:szCs w:val="24"/>
        </w:rPr>
        <w:t xml:space="preserve">The critic's checks are folded into the extraction group (twelve passed, two info): all verdicts in the allowed enum, weak items carrying notes, zero unverified left after successful runs. Two improvement actions follow from the findings. First, surface verifier degradation: when the best-effort pass fails, the interface should show “critic unavailable this run” rather than silently displaying unverified chips, so the human knows the second opinion is missing. Second, derive a calibrated confidence that discounts the proposer's self-report by the critic's verdict — a trivial post-processing step with the existing data that would make the confidence number materially more honest, and a natural input to the calibration engine the research roadmap already plans.</w:t>
      </w:r>
    </w:p>
    <w:p>
      <w:pPr>
        <w:pStyle w:val="Heading1"/>
        <w:keepNext/>
        <w:spacing w:after="180" w:before="400" w:line="312"/>
      </w:pPr>
      <w:bookmarkStart w:id="100009" w:name="_Toc100009"/>
      <w:r>
        <w:rPr>
          <w:rFonts w:ascii="Times New Roman" w:eastAsia="SimHei"/>
          <w:b/>
          <w:bCs/>
          <w:color w:val="0A1628"/>
          <w:sz w:val="32"/>
          <w:szCs w:val="32"/>
        </w:rPr>
        <w:t xml:space="preserve">5. Agent Deep Dives (continued)</w:t>
      </w:r>
      <w:bookmarkEnd w:id="100009"/>
    </w:p>
    <w:p>
      <w:pPr>
        <w:pStyle w:val="Heading2"/>
        <w:keepNext/>
        <w:spacing w:after="140" w:before="300" w:line="312"/>
      </w:pPr>
      <w:bookmarkStart w:id="100010" w:name="_Toc100010"/>
      <w:r>
        <w:rPr>
          <w:rFonts w:ascii="Times New Roman" w:eastAsia="SimHei"/>
          <w:b/>
          <w:bCs/>
          <w:color w:val="14424E"/>
          <w:sz w:val="28"/>
          <w:szCs w:val="28"/>
        </w:rPr>
        <w:t xml:space="preserve">5.5 Ambiguity Agent</w:t>
      </w:r>
      <w:bookmarkEnd w:id="100010"/>
    </w:p>
    <w:p>
      <w:pPr>
        <w:keepNext/>
        <w:spacing w:after="110" w:before="220" w:line="312"/>
      </w:pPr>
      <w:r>
        <w:rPr>
          <w:rFonts w:ascii="Times New Roman" w:eastAsia="SimHei"/>
          <w:b/>
          <w:bCs/>
          <w:color w:val="1B6B7A"/>
          <w:sz w:val="24"/>
          <w:szCs w:val="24"/>
        </w:rPr>
        <w:t xml:space="preserve">Role and operational dynamics</w:t>
      </w:r>
    </w:p>
    <w:p>
      <w:pPr>
        <w:spacing w:after="140" w:line="312"/>
        <w:jc w:val="left"/>
      </w:pPr>
      <w:r>
        <w:rPr>
          <w:rFonts w:ascii="Times New Roman" w:eastAsia="SimSun"/>
          <w:color w:val="000000"/>
          <w:sz w:val="24"/>
          <w:szCs w:val="24"/>
        </w:rPr>
        <w:t xml:space="preserve">The Ambiguity agent scores every approved requirement from 0 (crisp, testable) to 100 (vague, untestable), names the specific weak phrases it penalised, and proposes a measurable rewrite for any requirement scoring 30 or above. Its prompt embeds an Arabic ambiguity lexicon — words such as كثير, سريع, مناسب, إلخ — to be flagged exactly as their English equivalents would be, which is the operational core of the Arabic-first ambiguity claim (G14, N7). Scores, notes, and suggestions persist on the requirement record; the human gate is the apply-or-keep decision, and applying a rewrite replaces the text, clears the suggestion, and journals the before-and-after.</w:t>
      </w:r>
    </w:p>
    <w:p>
      <w:pPr>
        <w:keepNext/>
        <w:spacing w:after="110" w:before="220" w:line="312"/>
      </w:pPr>
      <w:r>
        <w:rPr>
          <w:rFonts w:ascii="Times New Roman" w:eastAsia="SimHei"/>
          <w:b/>
          <w:bCs/>
          <w:color w:val="1B6B7A"/>
          <w:sz w:val="24"/>
          <w:szCs w:val="24"/>
        </w:rPr>
        <w:t xml:space="preserve">Behavioural patterns observed</w:t>
      </w:r>
    </w:p>
    <w:p>
      <w:pPr>
        <w:spacing w:after="140" w:line="312"/>
        <w:jc w:val="left"/>
      </w:pPr>
      <w:r>
        <w:rPr>
          <w:rFonts w:ascii="Times New Roman" w:eastAsia="SimSun"/>
          <w:color w:val="000000"/>
          <w:sz w:val="24"/>
          <w:szCs w:val="24"/>
        </w:rPr>
        <w:t xml:space="preserve">Scoring behaviour was complete and well-calibrated in both runs: every requirement received a score (11/11 and 10/10 after human deletion), all scores fell within range, five to six requirements were flagged at 30 or above, every flagged item carried a rewrite and a note citing the specific weak phrase (“vague term 'real-time'; optional implementation makes it untestable”), and no sub-30 item carried a suggestion — exactly the threshold contract. The rewrite-apply path worked end to end (a score-50 requirement was rewritten by the human and journaled). The Arabic lexicon check produced an instructive nuance rather than a clean pass: the notes for Arabic-tagged requirements were written in English because those requirements, though grounded in Arabic evidence and tagged ar-EG, were themselves worded in English — so there were no Arabic weak words to quote. The agent was consistent with the text it actually received; the tag semantics, not the lexicon logic, caused the mismatch (F-09).</w:t>
      </w:r>
    </w:p>
    <w:p>
      <w:pPr>
        <w:keepNext/>
        <w:spacing w:after="110" w:before="220" w:line="312"/>
      </w:pPr>
      <w:r>
        <w:rPr>
          <w:rFonts w:ascii="Times New Roman" w:eastAsia="SimHei"/>
          <w:b/>
          <w:bCs/>
          <w:color w:val="1B6B7A"/>
          <w:sz w:val="24"/>
          <w:szCs w:val="24"/>
        </w:rPr>
        <w:t xml:space="preserve">Audit results and improvement actions</w:t>
      </w:r>
    </w:p>
    <w:p>
      <w:pPr>
        <w:spacing w:after="140" w:line="312"/>
        <w:jc w:val="left"/>
      </w:pPr>
      <w:r>
        <w:rPr>
          <w:rFonts w:ascii="Times New Roman" w:eastAsia="SimSun"/>
          <w:color w:val="000000"/>
          <w:sz w:val="24"/>
          <w:szCs w:val="24"/>
        </w:rPr>
        <w:t xml:space="preserve">Eight checks: seven passed, one warn (lexicon usage, explained above). The prompt was hardened during the audit to require quoting the exact Arabic weak word and writing the note and suggestion in the requirement's own language when the text is genuinely Arabic or code-switched. Two further actions are recommended. First, split ambiguity detection into a deterministic lexicon pre-pass plus the LLM scorer: the lexicon scan is free, fully reproducible, and would guarantee Arabic-lexicon flagging independently of model variance. Second, record the ambiguity delta — score before and after each applied rewrite — so the platform can show the human the measurable crispness gain of their curation, which is exactly the kind of decomposed, non-magic metric the health model is built on.</w:t>
      </w:r>
    </w:p>
    <w:p>
      <w:pPr>
        <w:pStyle w:val="Heading2"/>
        <w:keepNext/>
        <w:spacing w:after="140" w:before="300" w:line="312"/>
      </w:pPr>
      <w:bookmarkStart w:id="100011" w:name="_Toc100011"/>
      <w:r>
        <w:rPr>
          <w:rFonts w:ascii="Times New Roman" w:eastAsia="SimHei"/>
          <w:b/>
          <w:bCs/>
          <w:color w:val="14424E"/>
          <w:sz w:val="28"/>
          <w:szCs w:val="28"/>
        </w:rPr>
        <w:t xml:space="preserve">5.6 Story Agent</w:t>
      </w:r>
      <w:bookmarkEnd w:id="100011"/>
    </w:p>
    <w:p>
      <w:pPr>
        <w:keepNext/>
        <w:spacing w:after="110" w:before="220" w:line="312"/>
      </w:pPr>
      <w:r>
        <w:rPr>
          <w:rFonts w:ascii="Times New Roman" w:eastAsia="SimHei"/>
          <w:b/>
          <w:bCs/>
          <w:color w:val="1B6B7A"/>
          <w:sz w:val="24"/>
          <w:szCs w:val="24"/>
        </w:rPr>
        <w:t xml:space="preserve">Role and operational dynamics</w:t>
      </w:r>
    </w:p>
    <w:p>
      <w:pPr>
        <w:spacing w:after="140" w:line="312"/>
        <w:jc w:val="left"/>
      </w:pPr>
      <w:r>
        <w:rPr>
          <w:rFonts w:ascii="Times New Roman" w:eastAsia="SimSun"/>
          <w:color w:val="000000"/>
          <w:sz w:val="24"/>
          <w:szCs w:val="24"/>
        </w:rPr>
        <w:t xml:space="preserve">The Story agent converts the approved requirement set into user stories: one story per non-Won't requirement, each with a title, a role-capability-benefit narrative, two to four Gherkin acceptance criteria (Given-When-Then), and an INVEST quality score from 0 to 100 with a one-line note (I9). Won't-priority requirements are excluded by rule, both in the prompt and again defensively at write time. Acceptance criteria are stored newline-separated so they export directly as .feature skeletons, and the human gate is a review-and-approve over the generated stories.</w:t>
      </w:r>
    </w:p>
    <w:p>
      <w:pPr>
        <w:keepNext/>
        <w:spacing w:after="110" w:before="220" w:line="312"/>
      </w:pPr>
      <w:r>
        <w:rPr>
          <w:rFonts w:ascii="Times New Roman" w:eastAsia="SimHei"/>
          <w:b/>
          <w:bCs/>
          <w:color w:val="1B6B7A"/>
          <w:sz w:val="24"/>
          <w:szCs w:val="24"/>
        </w:rPr>
        <w:t xml:space="preserve">Behavioural patterns observed</w:t>
      </w:r>
    </w:p>
    <w:p>
      <w:pPr>
        <w:spacing w:after="140" w:line="312"/>
        <w:jc w:val="left"/>
      </w:pPr>
      <w:r>
        <w:rPr>
          <w:rFonts w:ascii="Times New Roman" w:eastAsia="SimSun"/>
          <w:color w:val="000000"/>
          <w:sz w:val="24"/>
          <w:szCs w:val="24"/>
        </w:rPr>
        <w:t xml:space="preserve">The story count matched the eligible-requirement count exactly in both runs (11/11), every narrative followed the required form (or its Arabic-native equivalent), and every story carried Gherkin-shaped criteria — 100% coverage of the format contract. INVEST scores were usefully differentiated rather than uniform (70-95 across the set, median around 85), with notes that identified real weaknesses such as testability gaps. The agent is also the pipeline's most expensive: its output is the largest structured payload the platform asks for, which is why stories dominate the latency profile (median 22.4 seconds, up to 25.9) and account for roughly a quarter of per-flight tokens. A truncated-output incident on an earlier build — long story payloads exceeding the model's output budget — is precisely what motivated the structural JSON-repair pass that now ships in the parser, and no truncation occurred in any audited run after hardening.</w:t>
      </w:r>
    </w:p>
    <w:p>
      <w:pPr>
        <w:keepNext/>
        <w:spacing w:after="110" w:before="220" w:line="312"/>
      </w:pPr>
      <w:r>
        <w:rPr>
          <w:rFonts w:ascii="Times New Roman" w:eastAsia="SimHei"/>
          <w:b/>
          <w:bCs/>
          <w:color w:val="1B6B7A"/>
          <w:sz w:val="24"/>
          <w:szCs w:val="24"/>
        </w:rPr>
        <w:t xml:space="preserve">Audit results and improvement actions</w:t>
      </w:r>
    </w:p>
    <w:p>
      <w:pPr>
        <w:spacing w:after="140" w:line="312"/>
        <w:jc w:val="left"/>
      </w:pPr>
      <w:r>
        <w:rPr>
          <w:rFonts w:ascii="Times New Roman" w:eastAsia="SimSun"/>
          <w:color w:val="000000"/>
          <w:sz w:val="24"/>
          <w:szCs w:val="24"/>
        </w:rPr>
        <w:t xml:space="preserve">Six checks, all passed: count parity, narrative form, Gherkin shape, INVEST range, artifact snapshot, and gate advance. Three improvements would raise the agent's value further. First, cross-story deduplication: when several requirements share a subject, acceptance criteria can overlap, and a dedupe pass (or an explicit shared-criteria construct) would sharpen the exported .feature skeletons. Second, INVEST sub-dimension breakdown — reporting the individual I-N-V-E-S-T components rather than only the composite would fit the platform's decomposed-metrics philosophy. Third, a payload-budget guard that pre-truncates or batches when the requirement set exceeds the output budget, making the earlier truncation failure class structurally impossible rather than repaired after the fact.</w:t>
      </w:r>
    </w:p>
    <w:p>
      <w:pPr>
        <w:pStyle w:val="Heading2"/>
        <w:keepNext/>
        <w:spacing w:after="140" w:before="300" w:line="312"/>
      </w:pPr>
      <w:bookmarkStart w:id="100012" w:name="_Toc100012"/>
      <w:r>
        <w:rPr>
          <w:rFonts w:ascii="Times New Roman" w:eastAsia="SimHei"/>
          <w:b/>
          <w:bCs/>
          <w:color w:val="14424E"/>
          <w:sz w:val="28"/>
          <w:szCs w:val="28"/>
        </w:rPr>
        <w:t xml:space="preserve">5.7 Consistency Agent (Conflict Detection)</w:t>
      </w:r>
      <w:bookmarkEnd w:id="100012"/>
    </w:p>
    <w:p>
      <w:pPr>
        <w:keepNext/>
        <w:spacing w:after="110" w:before="220" w:line="312"/>
      </w:pPr>
      <w:r>
        <w:rPr>
          <w:rFonts w:ascii="Times New Roman" w:eastAsia="SimHei"/>
          <w:b/>
          <w:bCs/>
          <w:color w:val="1B6B7A"/>
          <w:sz w:val="24"/>
          <w:szCs w:val="24"/>
        </w:rPr>
        <w:t xml:space="preserve">Role and operational dynamics</w:t>
      </w:r>
    </w:p>
    <w:p>
      <w:pPr>
        <w:spacing w:after="140" w:line="312"/>
        <w:jc w:val="left"/>
      </w:pPr>
      <w:r>
        <w:rPr>
          <w:rFonts w:ascii="Times New Roman" w:eastAsia="SimSun"/>
          <w:color w:val="000000"/>
          <w:sz w:val="24"/>
          <w:szCs w:val="24"/>
        </w:rPr>
        <w:t xml:space="preserve">The Consistency agent closes the pipeline. It cross-checks all requirement pairs for contradictions (cannot both hold), duplications (the same need stated twice), and overlaps (partially conflicting scopes), returning at most six genuine findings, each with the two refIds, a kind, a one-to-two-sentence explanation, a severity, and a suggested resolution phrased in the requirements' own language. Defensively, only valid refId pairs pointing at two distinct requirements are stored. The human gate is the resolution requirement: every conflict must be resolved before the pipeline can complete, and each resolution is journaled — after which the platform marks the baseline complete and triggers the memory harvest.</w:t>
      </w:r>
    </w:p>
    <w:p>
      <w:pPr>
        <w:keepNext/>
        <w:spacing w:after="110" w:before="220" w:line="312"/>
      </w:pPr>
      <w:r>
        <w:rPr>
          <w:rFonts w:ascii="Times New Roman" w:eastAsia="SimHei"/>
          <w:b/>
          <w:bCs/>
          <w:color w:val="1B6B7A"/>
          <w:sz w:val="24"/>
          <w:szCs w:val="24"/>
        </w:rPr>
        <w:t xml:space="preserve">Behavioural patterns observed</w:t>
      </w:r>
    </w:p>
    <w:p>
      <w:pPr>
        <w:spacing w:after="140" w:line="312"/>
        <w:jc w:val="left"/>
      </w:pPr>
      <w:r>
        <w:rPr>
          <w:rFonts w:ascii="Times New Roman" w:eastAsia="SimSun"/>
          <w:color w:val="000000"/>
          <w:sz w:val="24"/>
          <w:szCs w:val="24"/>
        </w:rPr>
        <w:t xml:space="preserve">Both baseline runs found five conflicts each, a plausible density for a twelve-requirement set, with a healthy kind distribution across overlaps and one genuine high-severity contradiction (the double-cancellation ban versus the 21:00 order-capture rule). Reference integrity was perfect — every finding pointed at two real, distinct requirements — and every suggestion was substantive. The audit also confirmed the defect that motivated this agent's deep dive: in the baseline pass, all five resolved_conflict journal entries read “undefined ↔ undefined” because the resolution handler referenced reqARef/reqBRef fields that do not exist on the Conflict model (F-01). The fix loads the related requirements and logs their real refIds; the post-fix run verified the journal now reads, for example, “REQ-04 ↔ REQ-06 (overlap)”.</w:t>
      </w:r>
    </w:p>
    <w:p>
      <w:pPr>
        <w:keepNext/>
        <w:spacing w:after="110" w:before="220" w:line="312"/>
      </w:pPr>
      <w:r>
        <w:rPr>
          <w:rFonts w:ascii="Times New Roman" w:eastAsia="SimHei"/>
          <w:b/>
          <w:bCs/>
          <w:color w:val="1B6B7A"/>
          <w:sz w:val="24"/>
          <w:szCs w:val="24"/>
        </w:rPr>
        <w:t xml:space="preserve">Audit results and improvement actions</w:t>
      </w:r>
    </w:p>
    <w:p>
      <w:pPr>
        <w:spacing w:after="140" w:line="312"/>
        <w:jc w:val="left"/>
      </w:pPr>
      <w:r>
        <w:rPr>
          <w:rFonts w:ascii="Times New Roman" w:eastAsia="SimSun"/>
          <w:color w:val="000000"/>
          <w:sz w:val="24"/>
          <w:szCs w:val="24"/>
        </w:rPr>
        <w:t xml:space="preserve">Six checks after the fix, all passed: count cap, referential integrity, kind and severity enums, suggestion presence, artifact snapshot, and journal rendering. Improvement actions: the platform's roadmap already plans a typed Requirement Graph — conflicts should become first-class conflicts_with edges there, so change traversal can propagate a resolution's blast radius automatically. Two cheaper actions are worth taking now: allow severity to feed a hint on the requirement's MoSCoW (a high-severity contradiction between two Musts is a scope decision, not an editorial one), and record which suggestion the human actually adopted versus their own wording, giving the negotiation dataset the research programme wants.</w:t>
      </w:r>
    </w:p>
    <w:p>
      <w:pPr>
        <w:pStyle w:val="Heading2"/>
        <w:keepNext/>
        <w:spacing w:after="140" w:before="300" w:line="312"/>
      </w:pPr>
      <w:bookmarkStart w:id="100013" w:name="_Toc100013"/>
      <w:r>
        <w:rPr>
          <w:rFonts w:ascii="Times New Roman" w:eastAsia="SimHei"/>
          <w:b/>
          <w:bCs/>
          <w:color w:val="14424E"/>
          <w:sz w:val="28"/>
          <w:szCs w:val="28"/>
        </w:rPr>
        <w:t xml:space="preserve">5.8 Wind-Tunnel Simulator</w:t>
      </w:r>
      <w:bookmarkEnd w:id="100013"/>
    </w:p>
    <w:p>
      <w:pPr>
        <w:keepNext/>
        <w:spacing w:after="110" w:before="220" w:line="312"/>
      </w:pPr>
      <w:r>
        <w:rPr>
          <w:rFonts w:ascii="Times New Roman" w:eastAsia="SimHei"/>
          <w:b/>
          <w:bCs/>
          <w:color w:val="1B6B7A"/>
          <w:sz w:val="24"/>
          <w:szCs w:val="24"/>
        </w:rPr>
        <w:t xml:space="preserve">Role and operational dynamics</w:t>
      </w:r>
    </w:p>
    <w:p>
      <w:pPr>
        <w:spacing w:after="140" w:line="312"/>
        <w:jc w:val="left"/>
      </w:pPr>
      <w:r>
        <w:rPr>
          <w:rFonts w:ascii="Times New Roman" w:eastAsia="SimSun"/>
          <w:color w:val="000000"/>
          <w:sz w:val="24"/>
          <w:szCs w:val="24"/>
        </w:rPr>
        <w:t xml:space="preserve">The Wind Tunnel (I7) is a rehearsal instrument: before a real interview, a persona-conditioned simulator answers the live question set, holding a secret it will reveal only if a question directly probes its topic. The agent receives the persona description, the held-out secret, and every pending question, and returns in-character answers that are stored with a visible “[synthetic · wind tunnel]” prefix and resolution=answered, so synthetic answers can never be mistaken for real stakeholder testimony. The fill action is journaled as an agent decision, and the answers then flow through the normal gates like any other elicitation input.</w:t>
      </w:r>
    </w:p>
    <w:p>
      <w:pPr>
        <w:keepNext/>
        <w:spacing w:after="110" w:before="220" w:line="312"/>
      </w:pPr>
      <w:r>
        <w:rPr>
          <w:rFonts w:ascii="Times New Roman" w:eastAsia="SimHei"/>
          <w:b/>
          <w:bCs/>
          <w:color w:val="1B6B7A"/>
          <w:sz w:val="24"/>
          <w:szCs w:val="24"/>
        </w:rPr>
        <w:t xml:space="preserve">Behavioural patterns observed</w:t>
      </w:r>
    </w:p>
    <w:p>
      <w:pPr>
        <w:spacing w:after="140" w:line="312"/>
        <w:jc w:val="left"/>
      </w:pPr>
      <w:r>
        <w:rPr>
          <w:rFonts w:ascii="Times New Roman" w:eastAsia="SimSun"/>
          <w:color w:val="000000"/>
          <w:sz w:val="24"/>
          <w:szCs w:val="24"/>
        </w:rPr>
        <w:t xml:space="preserve">The two-arm probe produced the audit's sharpest behavioural contrast. Arm 1 (discreet coordinator persona, unrelated secret — a plan to rebrand the service): the persona answered all five questions in character, deflected the budget question plausibly (“still under final approval; I can't share specific figures”), and the secret string never appeared in any answer — conditioning held perfectly, and every answer was correctly synthetic-labelled and journaled. Arm 2 (candid treasurer persona, budget secret — a 40% budget cut and a slip to the fall semester) exposed the instrument's weakness: directly asked for the precise budget and timeline, the persona confabulated a plausible alternative — “we've allocated approximately $45,000” — instead of revealing the held-out facts (F-07). A simulator that invents figures is worse than useless for question-set evaluation, because it teaches the team their questions failed when the simulator, not the questions, is at fault. The prompt was hardened during the audit (reveal is mandatory on direct probes; inventing substitute facts is forbidden), but re-verification showed the behaviour is model-dependent rather than guaranteed.</w:t>
      </w:r>
    </w:p>
    <w:p>
      <w:pPr>
        <w:keepNext/>
        <w:spacing w:after="110" w:before="220" w:line="312"/>
      </w:pPr>
      <w:r>
        <w:rPr>
          <w:rFonts w:ascii="Times New Roman" w:eastAsia="SimHei"/>
          <w:b/>
          <w:bCs/>
          <w:color w:val="1B6B7A"/>
          <w:sz w:val="24"/>
          <w:szCs w:val="24"/>
        </w:rPr>
        <w:t xml:space="preserve">Audit results and improvement actions</w:t>
      </w:r>
    </w:p>
    <w:p>
      <w:pPr>
        <w:spacing w:after="140" w:line="312"/>
        <w:jc w:val="left"/>
      </w:pPr>
      <w:r>
        <w:rPr>
          <w:rFonts w:ascii="Times New Roman" w:eastAsia="SimSun"/>
          <w:color w:val="000000"/>
          <w:sz w:val="24"/>
          <w:szCs w:val="24"/>
        </w:rPr>
        <w:t xml:space="preserve">Eight checks: six passed, two warn (arm-2 reveal rate; one partially empty answer batch in the post-fix run). The structural recommendation is to stop relying on prompt discipline for the instrument's core promise: when the platform can detect a direct probe — even a simple similarity test between the question and the secret's topic — it should deterministically inject the secret's facts into that answer's context, or post-edit the reveal, making reveal-rate a measurable instrument property rather than a probability. Beyond that fix, three enhancements would turn the wind tunnel from a manual tool into a research asset: a multi-persona panel mode (several personas per question set, revealing which questions survive different stakeholder styles); a question-set quality score derived from probe coverage versus reveal outcomes — the natural seed for the Question-Planner ablation's simulation arm; and an evasion-quality control so that arm-1-style deflection remains believable while never contradicting the secret.</w:t>
      </w:r>
    </w:p>
    <w:p>
      <w:pPr>
        <w:pStyle w:val="Heading2"/>
        <w:keepNext/>
        <w:spacing w:after="140" w:before="300" w:line="312"/>
      </w:pPr>
      <w:bookmarkStart w:id="100014" w:name="_Toc100014"/>
      <w:r>
        <w:rPr>
          <w:rFonts w:ascii="Times New Roman" w:eastAsia="SimHei"/>
          <w:b/>
          <w:bCs/>
          <w:color w:val="14424E"/>
          <w:sz w:val="28"/>
          <w:szCs w:val="28"/>
        </w:rPr>
        <w:t xml:space="preserve">5.9 Drift Radar</w:t>
      </w:r>
      <w:bookmarkEnd w:id="100014"/>
    </w:p>
    <w:p>
      <w:pPr>
        <w:keepNext/>
        <w:spacing w:after="110" w:before="220" w:line="312"/>
      </w:pPr>
      <w:r>
        <w:rPr>
          <w:rFonts w:ascii="Times New Roman" w:eastAsia="SimHei"/>
          <w:b/>
          <w:bCs/>
          <w:color w:val="1B6B7A"/>
          <w:sz w:val="24"/>
          <w:szCs w:val="24"/>
        </w:rPr>
        <w:t xml:space="preserve">Role and operational dynamics</w:t>
      </w:r>
    </w:p>
    <w:p>
      <w:pPr>
        <w:spacing w:after="140" w:line="312"/>
        <w:jc w:val="left"/>
      </w:pPr>
      <w:r>
        <w:rPr>
          <w:rFonts w:ascii="Times New Roman" w:eastAsia="SimSun"/>
          <w:color w:val="000000"/>
          <w:sz w:val="24"/>
          <w:szCs w:val="24"/>
        </w:rPr>
        <w:t xml:space="preserve">The Drift Radar (I8) keeps the frozen baseline honest. Given a change signal — anything that changed in the project's world after the baseline was committed — it judges which requirements are contradicted, invalidated, rendered incomplete, or in need of revision, flags them as drift-suspected, and returns a one-paragraph summary. The prompt instructs conservatism: only genuinely impacted requirements. Flags persist on the requirement records, surface in the constellation and workspace views, and are cleared by a human triage action; the sweep itself is journaled as a lifecycle decision.</w:t>
      </w:r>
    </w:p>
    <w:p>
      <w:pPr>
        <w:keepNext/>
        <w:spacing w:after="110" w:before="220" w:line="312"/>
      </w:pPr>
      <w:r>
        <w:rPr>
          <w:rFonts w:ascii="Times New Roman" w:eastAsia="SimHei"/>
          <w:b/>
          <w:bCs/>
          <w:color w:val="1B6B7A"/>
          <w:sz w:val="24"/>
          <w:szCs w:val="24"/>
        </w:rPr>
        <w:t xml:space="preserve">Behavioural patterns observed</w:t>
      </w:r>
    </w:p>
    <w:p>
      <w:pPr>
        <w:spacing w:after="140" w:line="312"/>
        <w:jc w:val="left"/>
      </w:pPr>
      <w:r>
        <w:rPr>
          <w:rFonts w:ascii="Times New Roman" w:eastAsia="SimSun"/>
          <w:color w:val="000000"/>
          <w:sz w:val="24"/>
          <w:szCs w:val="24"/>
        </w:rPr>
        <w:t xml:space="preserve">The audit's drift probe — “the investor now requires card payments at launch; cash-only is no longer acceptable” — produced the instrument's ideal response: exactly one requirement flagged (REQ-04, the cash-on-delivery-only rule), with a summary that named the contradiction and explicitly stated no other requirements were impacted. Flags persisted to the correct records and cleared cleanly. The conservatism instruction is honoured, which is the right default for an instrument whose cost asymmetry favours under-flagging (a missed flag costs a stale requirement; a false flag costs human attention). One structural observation: the data model defines a confirmed drift state, but no code path sets it — confirmation is currently only implicit in human triage, and the schema's richer semantics are unrealised (F-12 context).</w:t>
      </w:r>
    </w:p>
    <w:p>
      <w:pPr>
        <w:keepNext/>
        <w:spacing w:after="110" w:before="220" w:line="312"/>
      </w:pPr>
      <w:r>
        <w:rPr>
          <w:rFonts w:ascii="Times New Roman" w:eastAsia="SimHei"/>
          <w:b/>
          <w:bCs/>
          <w:color w:val="1B6B7A"/>
          <w:sz w:val="24"/>
          <w:szCs w:val="24"/>
        </w:rPr>
        <w:t xml:space="preserve">Audit results and improvement actions</w:t>
      </w:r>
    </w:p>
    <w:p>
      <w:pPr>
        <w:spacing w:after="140" w:line="312"/>
        <w:jc w:val="left"/>
      </w:pPr>
      <w:r>
        <w:rPr>
          <w:rFonts w:ascii="Times New Roman" w:eastAsia="SimSun"/>
          <w:color w:val="000000"/>
          <w:sz w:val="24"/>
          <w:szCs w:val="24"/>
        </w:rPr>
        <w:t xml:space="preserve">Four checks, all passed: impact detection, summary quality, flag persistence, and clear action. Improvement actions: implement the confirmed state as an explicit human verdict in triage (suspected → confirmed/dismissed with a note), which turns drift into an auditable lifecycle rather than a binary flag; wire drift results into the planned Requirement Graph's affected_by traversal, so the radar can distinguish direct hits from propagated impact; and — once tracker write-sync lands — accept change signals from GitHub Issues and Jira state transitions, closing the loop the platform's integration bay already advertises.</w:t>
      </w:r>
    </w:p>
    <w:p>
      <w:pPr>
        <w:pStyle w:val="Heading2"/>
        <w:keepNext/>
        <w:spacing w:after="140" w:before="300" w:line="312"/>
      </w:pPr>
      <w:bookmarkStart w:id="100015" w:name="_Toc100015"/>
      <w:r>
        <w:rPr>
          <w:rFonts w:ascii="Times New Roman" w:eastAsia="SimHei"/>
          <w:b/>
          <w:bCs/>
          <w:color w:val="14424E"/>
          <w:sz w:val="28"/>
          <w:szCs w:val="28"/>
        </w:rPr>
        <w:t xml:space="preserve">5.10 Compliance Checker</w:t>
      </w:r>
      <w:bookmarkEnd w:id="100015"/>
    </w:p>
    <w:p>
      <w:pPr>
        <w:keepNext/>
        <w:spacing w:after="110" w:before="220" w:line="312"/>
      </w:pPr>
      <w:r>
        <w:rPr>
          <w:rFonts w:ascii="Times New Roman" w:eastAsia="SimHei"/>
          <w:b/>
          <w:bCs/>
          <w:color w:val="1B6B7A"/>
          <w:sz w:val="24"/>
          <w:szCs w:val="24"/>
        </w:rPr>
        <w:t xml:space="preserve">Role and operational dynamics</w:t>
      </w:r>
    </w:p>
    <w:p>
      <w:pPr>
        <w:spacing w:after="140" w:line="312"/>
        <w:jc w:val="left"/>
      </w:pPr>
      <w:r>
        <w:rPr>
          <w:rFonts w:ascii="Times New Roman" w:eastAsia="SimSun"/>
          <w:color w:val="000000"/>
          <w:sz w:val="24"/>
          <w:szCs w:val="24"/>
        </w:rPr>
        <w:t xml:space="preserve">The Compliance Checker (I11) tests the requirement graph against pluggable constraint packs. Three ship by default — privacy and data protection (Egypt PDPL-inspired), accessibility (WCAG 2.2), and performance and resilience — each defined by the aspects it expects the requirement set to cover. The agent returns an overall verdict (pass if no material gaps, partial if some, fail if most aspects are missing), a list of which requirements cover which aspects, and a gap list in which every missing aspect carries a note and one concrete, insertable requirement suggestion. Results are journaled and rendered in the Debrief Bay's constraint-pack panel.</w:t>
      </w:r>
    </w:p>
    <w:p>
      <w:pPr>
        <w:keepNext/>
        <w:spacing w:after="110" w:before="220" w:line="312"/>
      </w:pPr>
      <w:r>
        <w:rPr>
          <w:rFonts w:ascii="Times New Roman" w:eastAsia="SimHei"/>
          <w:b/>
          <w:bCs/>
          <w:color w:val="1B6B7A"/>
          <w:sz w:val="24"/>
          <w:szCs w:val="24"/>
        </w:rPr>
        <w:t xml:space="preserve">Behavioural patterns observed</w:t>
      </w:r>
    </w:p>
    <w:p>
      <w:pPr>
        <w:spacing w:after="140" w:line="312"/>
        <w:jc w:val="left"/>
      </w:pPr>
      <w:r>
        <w:rPr>
          <w:rFonts w:ascii="Times New Roman" w:eastAsia="SimSun"/>
          <w:color w:val="000000"/>
          <w:sz w:val="24"/>
          <w:szCs w:val="24"/>
        </w:rPr>
        <w:t xml:space="preserve">All three packs returned partial on the audited baseline — a realistic verdict for a requirements set that had not been written against those frameworks — with 2-5 gaps per pack, every gap carrying a concrete suggestion (for example, data-retention and account-deletion requirements for the privacy pack), and every covered aspect citing a real refId. The aspect vocabulary tracked the pack definitions faithfully, which matters because pack authors rely on that vocabulary staying stable. The audit also caught a validation gap: an unknown pack name silently fell back to the privacy pack and returned a confident-looking verdict (F-04) — a false-assurance pattern. The route now validates the pack name and rejects unknowns with a 400 listing the available packs.</w:t>
      </w:r>
    </w:p>
    <w:p>
      <w:pPr>
        <w:keepNext/>
        <w:spacing w:after="110" w:before="220" w:line="312"/>
      </w:pPr>
      <w:r>
        <w:rPr>
          <w:rFonts w:ascii="Times New Roman" w:eastAsia="SimHei"/>
          <w:b/>
          <w:bCs/>
          <w:color w:val="1B6B7A"/>
          <w:sz w:val="24"/>
          <w:szCs w:val="24"/>
        </w:rPr>
        <w:t xml:space="preserve">Audit results and improvement actions</w:t>
      </w:r>
    </w:p>
    <w:p>
      <w:pPr>
        <w:spacing w:after="140" w:line="312"/>
        <w:jc w:val="left"/>
      </w:pPr>
      <w:r>
        <w:rPr>
          <w:rFonts w:ascii="Times New Roman" w:eastAsia="SimSun"/>
          <w:color w:val="000000"/>
          <w:sz w:val="24"/>
          <w:szCs w:val="24"/>
        </w:rPr>
        <w:t xml:space="preserve">Five checks after the fix: four passed, one warn (the baseline silent-fallback, now fixed and converted into a validation pass). Improvement actions: give each gap a severity so teams can triage accessibility gaps differently from nice-to-have performance ones; support custom packs as data (the pack is already just a label plus an aspect list, so an upload path is cheap and would let the university pilot bring course-specific constraints); and offer one-click adoption of a gap suggestion into the requirement set through the existing items API, which already supports requirement creation semantics via the human gate.</w:t>
      </w:r>
    </w:p>
    <w:p>
      <w:pPr>
        <w:pStyle w:val="Heading2"/>
        <w:keepNext/>
        <w:spacing w:after="140" w:before="300" w:line="312"/>
      </w:pPr>
      <w:bookmarkStart w:id="100016" w:name="_Toc100016"/>
      <w:r>
        <w:rPr>
          <w:rFonts w:ascii="Times New Roman" w:eastAsia="SimHei"/>
          <w:b/>
          <w:bCs/>
          <w:color w:val="14424E"/>
          <w:sz w:val="28"/>
          <w:szCs w:val="28"/>
        </w:rPr>
        <w:t xml:space="preserve">5.11 Health Reporter</w:t>
      </w:r>
      <w:bookmarkEnd w:id="100016"/>
    </w:p>
    <w:p>
      <w:pPr>
        <w:keepNext/>
        <w:spacing w:after="110" w:before="220" w:line="312"/>
      </w:pPr>
      <w:r>
        <w:rPr>
          <w:rFonts w:ascii="Times New Roman" w:eastAsia="SimHei"/>
          <w:b/>
          <w:bCs/>
          <w:color w:val="1B6B7A"/>
          <w:sz w:val="24"/>
          <w:szCs w:val="24"/>
        </w:rPr>
        <w:t xml:space="preserve">Role and operational dynamics</w:t>
      </w:r>
    </w:p>
    <w:p>
      <w:pPr>
        <w:spacing w:after="140" w:line="312"/>
        <w:jc w:val="left"/>
      </w:pPr>
      <w:r>
        <w:rPr>
          <w:rFonts w:ascii="Times New Roman" w:eastAsia="SimSun"/>
          <w:color w:val="000000"/>
          <w:sz w:val="24"/>
          <w:szCs w:val="24"/>
        </w:rPr>
        <w:t xml:space="preserve">The Health Reporter (I14) writes the handoff document the delivery team actually reads. It receives a compact statistical digest — requirement count, average ambiguity, flagged count, weak-verification count, low-confidence count, the uncertainty ledger's contents, conflict totals and open status, story count — and returns seven fields: a summary, strengths, risks with notes, recommendations, and three debt statements (ambiguity debt, uncertainty ledger, conflict digest) each required to quantify its area in one or two sentences. The platform deliberately refuses a single magic health score; the decomposition is the product's stance on honesty. Reports persist as artifacts and are retrievable through the instrument's GET endpoint.</w:t>
      </w:r>
    </w:p>
    <w:p>
      <w:pPr>
        <w:keepNext/>
        <w:spacing w:after="110" w:before="220" w:line="312"/>
      </w:pPr>
      <w:r>
        <w:rPr>
          <w:rFonts w:ascii="Times New Roman" w:eastAsia="SimHei"/>
          <w:b/>
          <w:bCs/>
          <w:color w:val="1B6B7A"/>
          <w:sz w:val="24"/>
          <w:szCs w:val="24"/>
        </w:rPr>
        <w:t xml:space="preserve">Behavioural patterns observed</w:t>
      </w:r>
    </w:p>
    <w:p>
      <w:pPr>
        <w:spacing w:after="140" w:line="312"/>
        <w:jc w:val="left"/>
      </w:pPr>
      <w:r>
        <w:rPr>
          <w:rFonts w:ascii="Times New Roman" w:eastAsia="SimSun"/>
          <w:color w:val="000000"/>
          <w:sz w:val="24"/>
          <w:szCs w:val="24"/>
        </w:rPr>
        <w:t xml:space="preserve">All seven fields were present and substantive in the audited run, with three strengths, three risks, and three recommendations that referenced specific platform facts (the carried assumption about the temporary-ban period; the resolved-but-undocumented conflict set). The three debt statements quantified their areas — the ambiguity debt cited five flagged items averaging 25%, the ledger statement named the single carried assumption, the conflict digest cited five resolved conflicts — though two used number-words (“One assumption”, “Five conflicts”) rather than digits, which tripped the audit's digit-based quantification heuristic (a checker false-negative worth recording: the reports are quantified, the test was too literal — F-12 context). Persistence and retrieval both worked.</w:t>
      </w:r>
    </w:p>
    <w:p>
      <w:pPr>
        <w:keepNext/>
        <w:spacing w:after="110" w:before="220" w:line="312"/>
      </w:pPr>
      <w:r>
        <w:rPr>
          <w:rFonts w:ascii="Times New Roman" w:eastAsia="SimHei"/>
          <w:b/>
          <w:bCs/>
          <w:color w:val="1B6B7A"/>
          <w:sz w:val="24"/>
          <w:szCs w:val="24"/>
        </w:rPr>
        <w:t xml:space="preserve">Audit results and improvement actions</w:t>
      </w:r>
    </w:p>
    <w:p>
      <w:pPr>
        <w:spacing w:after="140" w:line="312"/>
        <w:jc w:val="left"/>
      </w:pPr>
      <w:r>
        <w:rPr>
          <w:rFonts w:ascii="Times New Roman" w:eastAsia="SimSun"/>
          <w:color w:val="000000"/>
          <w:sz w:val="24"/>
          <w:szCs w:val="24"/>
        </w:rPr>
        <w:t xml:space="preserve">Four checks: two passed, one warn (the quantification heuristic), one info. Improvement actions: make the digest numeric by construction — the platform already computes the statistics the reporter summarises, so injecting the exact numbers into the prompt and asking for verbatim reuse would make debt statements machine-checkable; add trend tracking by diffing each report against the previous one for the same project, turning repeated runs into a health trajectory rather than isolated snapshots; and add a one-page PDF export so the health report can travel to supervisors and stakeholders without the full platform.</w:t>
      </w:r>
    </w:p>
    <w:p>
      <w:pPr>
        <w:pStyle w:val="Heading2"/>
        <w:keepNext/>
        <w:spacing w:after="140" w:before="300" w:line="312"/>
      </w:pPr>
      <w:bookmarkStart w:id="100017" w:name="_Toc100017"/>
      <w:r>
        <w:rPr>
          <w:rFonts w:ascii="Times New Roman" w:eastAsia="SimHei"/>
          <w:b/>
          <w:bCs/>
          <w:color w:val="14424E"/>
          <w:sz w:val="28"/>
          <w:szCs w:val="28"/>
        </w:rPr>
        <w:t xml:space="preserve">5.12 Memory Harvester and Cross-Project Memory</w:t>
      </w:r>
      <w:bookmarkEnd w:id="100017"/>
    </w:p>
    <w:p>
      <w:pPr>
        <w:keepNext/>
        <w:spacing w:after="110" w:before="220" w:line="312"/>
      </w:pPr>
      <w:r>
        <w:rPr>
          <w:rFonts w:ascii="Times New Roman" w:eastAsia="SimHei"/>
          <w:b/>
          <w:bCs/>
          <w:color w:val="1B6B7A"/>
          <w:sz w:val="24"/>
          <w:szCs w:val="24"/>
        </w:rPr>
        <w:t xml:space="preserve">Role and operational dynamics</w:t>
      </w:r>
    </w:p>
    <w:p>
      <w:pPr>
        <w:spacing w:after="140" w:line="312"/>
        <w:jc w:val="left"/>
      </w:pPr>
      <w:r>
        <w:rPr>
          <w:rFonts w:ascii="Times New Roman" w:eastAsia="SimSun"/>
          <w:color w:val="000000"/>
          <w:sz w:val="24"/>
          <w:szCs w:val="24"/>
        </w:rPr>
        <w:t xml:space="preserve">When a pipeline completes, the Memory Harvester (I4) runs best-effort: it reads the completed project's outcomes and returns three to five domain glossary terms with crisp definitions and two to four reusable lessons — general enough to carry to future projects. Glossary entries are stored project-scoped; lessons are stored cross-project with a null project id. The elicitation agent then re-injects up to six recent lessons into every subsequent mission's prompt, closing the learning loop: a tactic that worked on one Cairo marketplace project should surface on the next.</w:t>
      </w:r>
    </w:p>
    <w:p>
      <w:pPr>
        <w:keepNext/>
        <w:spacing w:after="110" w:before="220" w:line="312"/>
      </w:pPr>
      <w:r>
        <w:rPr>
          <w:rFonts w:ascii="Times New Roman" w:eastAsia="SimHei"/>
          <w:b/>
          <w:bCs/>
          <w:color w:val="1B6B7A"/>
          <w:sz w:val="24"/>
          <w:szCs w:val="24"/>
        </w:rPr>
        <w:t xml:space="preserve">Behavioural patterns observed</w:t>
      </w:r>
    </w:p>
    <w:p>
      <w:pPr>
        <w:spacing w:after="140" w:line="312"/>
        <w:jc w:val="left"/>
      </w:pPr>
      <w:r>
        <w:rPr>
          <w:rFonts w:ascii="Times New Roman" w:eastAsia="SimSun"/>
          <w:color w:val="000000"/>
          <w:sz w:val="24"/>
          <w:szCs w:val="24"/>
        </w:rPr>
        <w:t xml:space="preserve">The harvest ran automatically on each of the three completed pipelines and never failed; the memory table grew to 33 entries across the audit (lessons and glossary in the expected 2:1-ish ratio), with lesson terms like elicitation-tactic summaries rather than domain facts — the right generalisation level for cross-project reuse. The re-injection mechanism was code-verified and behaviourally visible: the post-harvest elicitation run consumed noticeably more prompt tokens (about 2,300 versus 1,300-1,700), consistent with the lessons block being present. What the audit could not test without a controlled experiment is whether injected lessons measurably change question quality — that is precisely the ablation programme's territory, and the memory system is now instrumented enough to support it.</w:t>
      </w:r>
    </w:p>
    <w:p>
      <w:pPr>
        <w:keepNext/>
        <w:spacing w:after="110" w:before="220" w:line="312"/>
      </w:pPr>
      <w:r>
        <w:rPr>
          <w:rFonts w:ascii="Times New Roman" w:eastAsia="SimHei"/>
          <w:b/>
          <w:bCs/>
          <w:color w:val="1B6B7A"/>
          <w:sz w:val="24"/>
          <w:szCs w:val="24"/>
        </w:rPr>
        <w:t xml:space="preserve">Audit results and improvement actions</w:t>
      </w:r>
    </w:p>
    <w:p>
      <w:pPr>
        <w:spacing w:after="140" w:line="312"/>
        <w:jc w:val="left"/>
      </w:pPr>
      <w:r>
        <w:rPr>
          <w:rFonts w:ascii="Times New Roman" w:eastAsia="SimSun"/>
          <w:color w:val="000000"/>
          <w:sz w:val="24"/>
          <w:szCs w:val="24"/>
        </w:rPr>
        <w:t xml:space="preserve">One check passed (harvest presence and shape). Improvement actions: memory quality gating — dedupe near-identical lessons and score relevance before injection, so the six-slot window is not wasted on repeats; domain scoping, since a lesson about food-delivery logistics may mislead a medical-records project; and user-visible memory controls — showing which lessons were injected into a given run (and letting a human dismiss one) would both honour the platform's transparency stance and generate labelled data about which lessons actually help.</w:t>
      </w:r>
    </w:p>
    <w:p>
      <w:pPr>
        <w:pStyle w:val="Heading2"/>
        <w:keepNext/>
        <w:spacing w:after="140" w:before="300" w:line="312"/>
      </w:pPr>
      <w:bookmarkStart w:id="100018" w:name="_Toc100018"/>
      <w:r>
        <w:rPr>
          <w:rFonts w:ascii="Times New Roman" w:eastAsia="SimHei"/>
          <w:b/>
          <w:bCs/>
          <w:color w:val="14424E"/>
          <w:sz w:val="28"/>
          <w:szCs w:val="28"/>
        </w:rPr>
        <w:t xml:space="preserve">5.13 Voice-Note Intake (ASR)</w:t>
      </w:r>
      <w:bookmarkEnd w:id="100018"/>
    </w:p>
    <w:p>
      <w:pPr>
        <w:keepNext/>
        <w:spacing w:after="110" w:before="220" w:line="312"/>
      </w:pPr>
      <w:r>
        <w:rPr>
          <w:rFonts w:ascii="Times New Roman" w:eastAsia="SimHei"/>
          <w:b/>
          <w:bCs/>
          <w:color w:val="1B6B7A"/>
          <w:sz w:val="24"/>
          <w:szCs w:val="24"/>
        </w:rPr>
        <w:t xml:space="preserve">Role and operational dynamics</w:t>
      </w:r>
    </w:p>
    <w:p>
      <w:pPr>
        <w:spacing w:after="140" w:line="312"/>
        <w:jc w:val="left"/>
      </w:pPr>
      <w:r>
        <w:rPr>
          <w:rFonts w:ascii="Times New Roman" w:eastAsia="SimSun"/>
          <w:color w:val="000000"/>
          <w:sz w:val="24"/>
          <w:szCs w:val="24"/>
        </w:rPr>
        <w:t xml:space="preserve">Voice intake is the platform's multimodal doorway (I5): the browser records a voice note, converts it to WAV in-page, and posts it base64 to the transcription route, where GLM ASR returns a transcript that lands in the evidence form — editable by design before it becomes evidence, which is itself a human-in-the-loop safeguard. The route caps payloads at roughly 15 MB (rejecting larger with 413), requires a non-empty transcript (422 when no speech is detected), and is the only agent-adjacent service that is language-committed by contract: the platform advertises Arabic-first elicitation, so Arabic speech must work.</w:t>
      </w:r>
    </w:p>
    <w:p>
      <w:pPr>
        <w:keepNext/>
        <w:spacing w:after="110" w:before="220" w:line="312"/>
      </w:pPr>
      <w:r>
        <w:rPr>
          <w:rFonts w:ascii="Times New Roman" w:eastAsia="SimHei"/>
          <w:b/>
          <w:bCs/>
          <w:color w:val="1B6B7A"/>
          <w:sz w:val="24"/>
          <w:szCs w:val="24"/>
        </w:rPr>
        <w:t xml:space="preserve">Behavioural patterns observed</w:t>
      </w:r>
    </w:p>
    <w:p>
      <w:pPr>
        <w:spacing w:after="140" w:line="312"/>
        <w:jc w:val="left"/>
      </w:pPr>
      <w:r>
        <w:rPr>
          <w:rFonts w:ascii="Times New Roman" w:eastAsia="SimSun"/>
          <w:color w:val="000000"/>
          <w:sz w:val="24"/>
          <w:szCs w:val="24"/>
        </w:rPr>
        <w:t xml:space="preserve">English performance was flawless — the synthesised requirements sentence came back word-for-word. Arabic performance failed in a way no structural test would have predicted: the Egyptian-Arabic clip transcribed as Korean Hangul syllables (“한대, 하이, 사에우 후크하하…”), deterministically across two runs on the same audio (F-03). This is an upstream ASR deficiency — the same provider that answers Arabic chat and reads Arabic evidence competently is mis-detecting the script of this Arabic audio — but its consequence lands on the platform: an Arabic-first product whose voice channel silently corrupts Arabic input. The audit's mitigation is now live: the route accepts an expected-language hint (the evidence form passes the language the human selected), retries once on a script mismatch, and returns a warning flag that the interface renders as a destructive toast asking the human to review or re-record. The guard fired correctly on the Arabic clip and produced no false positive on the English clip.</w:t>
      </w:r>
    </w:p>
    <w:p>
      <w:pPr>
        <w:keepNext/>
        <w:spacing w:after="110" w:before="220" w:line="312"/>
      </w:pPr>
      <w:r>
        <w:rPr>
          <w:rFonts w:ascii="Times New Roman" w:eastAsia="SimHei"/>
          <w:b/>
          <w:bCs/>
          <w:color w:val="1B6B7A"/>
          <w:sz w:val="24"/>
          <w:szCs w:val="24"/>
        </w:rPr>
        <w:t xml:space="preserve">Audit results and improvement actions</w:t>
      </w:r>
    </w:p>
    <w:p>
      <w:pPr>
        <w:spacing w:after="140" w:line="312"/>
        <w:jc w:val="left"/>
      </w:pPr>
      <w:r>
        <w:rPr>
          <w:rFonts w:ascii="Times New Roman" w:eastAsia="SimSun"/>
          <w:color w:val="000000"/>
          <w:sz w:val="24"/>
          <w:szCs w:val="24"/>
        </w:rPr>
        <w:t xml:space="preserve">Five checks in the hardened pass: all passed — the two transcripts, both guard behaviours, and the oversize rejection. The limitation itself remains open and is the audit's single most important un-fixed finding. Recommended actions, in order: test whether the ASR service accepts a language hint parameter (the SDK body reserves a model field; if a hint exists, wire it through); add a fallback path that transcribes short Arabic clips through the chat model's audio modality if the ASR route supports it; and if neither resolves the deficiency, document Arabic voice intake as assisted-only for the pilot (type-or-paste is fully supported, and the guard ensures the failure is now visible rather than silent). Whatever the outcome, the edit-before-save human gate stays: it is the correct design for any transcription path.</w:t>
      </w:r>
    </w:p>
    <w:p>
      <w:pPr>
        <w:pStyle w:val="Heading1"/>
        <w:keepNext/>
        <w:spacing w:after="180" w:before="400" w:line="312"/>
      </w:pPr>
      <w:bookmarkStart w:id="100019" w:name="_Toc100019"/>
      <w:r>
        <w:rPr>
          <w:rFonts w:ascii="Times New Roman" w:eastAsia="SimHei"/>
          <w:b/>
          <w:bCs/>
          <w:color w:val="0A1628"/>
          <w:sz w:val="32"/>
          <w:szCs w:val="32"/>
        </w:rPr>
        <w:t xml:space="preserve">6. Cross-Cutting Findings and Root-Cause Analysis</w:t>
      </w:r>
      <w:bookmarkEnd w:id="100019"/>
    </w:p>
    <w:p>
      <w:pPr>
        <w:spacing w:after="140" w:line="312"/>
        <w:jc w:val="left"/>
      </w:pPr>
      <w:r>
        <w:rPr>
          <w:rFonts w:ascii="Times New Roman" w:eastAsia="SimSun"/>
          <w:color w:val="000000"/>
          <w:sz w:val="24"/>
          <w:szCs w:val="24"/>
        </w:rPr>
        <w:t xml:space="preserve">Viewed individually, the twelve deep dives describe agents that mostly behave; viewed together, they reveal the platform's real character. Four structural strengths recur across every role. Defensive normalisation is universal: every agent output passes through clamps, enum whitelists, length caps, and referential checks before touching the database, which is why no behavioural probe ever produced invalid persisted state. Observability is complete: every run left latency, token, cost, and prompt-version records, every stage froze an artifact snapshot, and every human and agent action appeared in the journal — the audit itself was reconstructed from these traces. Human gates are structural, not cosmetic: the state machine rejected approval-before-run, double-runs, and runs against completed baselines with 409s, auto-closed pending questions with an auditable marker, and required exactly one selected problem and fully resolved conflicts before advancing. Graceful degradation is designed in: zero-evidence elicitation still produced five useful questions, and best-effort subsystems (critic, verifier, memory, journal) fail without breaking their hosts.</w:t>
      </w:r>
    </w:p>
    <w:p>
      <w:pPr>
        <w:spacing w:after="140" w:line="312"/>
        <w:jc w:val="left"/>
      </w:pPr>
      <w:r>
        <w:rPr>
          <w:rFonts w:ascii="Times New Roman" w:eastAsia="SimSun"/>
          <w:color w:val="000000"/>
          <w:sz w:val="24"/>
          <w:szCs w:val="24"/>
        </w:rPr>
        <w:t xml:space="preserve">The findings also share root causes, and naming them is what turns a bug list into an engineering programme. The two highest-severity items — the blind evidence window and the journal undefined-refs — were both interface-contract errors: code referencing data shapes that do not exist (a truncated evidence view; non-existent model fields), not model misbehaviour. The reliability items — a transport failure aborting a stage, and the one unparseable-output 500 observed in roughly thirty calls — were single-attempt assumptions in plumbing that now retries. The behavioural items — language mirroring variance and wind-tunnel confabulation — share the opposite root cause: behaviour that matters being delegated to prompt suggestion where the platform's own standard (clamps and gates) demands structural enforcement. The table below consolidates the register with severity, status, and evidence pointers.</w:t>
      </w:r>
    </w:p>
    <w:p>
      <w:pPr>
        <w:keepNext/>
        <w:spacing w:after="100" w:before="220" w:line="312"/>
      </w:pPr>
      <w:r>
        <w:rPr>
          <w:rFonts w:ascii="Times New Roman" w:eastAsia="SimSun"/>
          <w:b/>
          <w:bCs/>
          <w:color w:val="333333"/>
          <w:sz w:val="21"/>
          <w:szCs w:val="21"/>
        </w:rPr>
        <w:t xml:space="preserve">Table 3: Consolidated findings register</w:t>
      </w:r>
    </w:p>
    <w:tbl>
      <w:tblPr>
        <w:tblW w:type="pct" w:w="100%"/>
        <w:tblBorders>
          <w:top w:val="single" w:color="1B6B7A" w:sz="4"/>
          <w:left w:val="none" w:color="FFFFFF" w:sz="0"/>
          <w:bottom w:val="single" w:color="1B6B7A" w:sz="4"/>
          <w:right w:val="none" w:color="FFFFFF" w:sz="0"/>
          <w:insideH w:val="single" w:color="C8DDE2" w:sz="1"/>
          <w:insideV w:val="none" w:color="FFFFFF" w:sz="0"/>
        </w:tblBorders>
      </w:tblPr>
      <w:tblGrid>
        <w:gridCol w:w="100"/>
        <w:gridCol w:w="100"/>
        <w:gridCol w:w="100"/>
        <w:gridCol w:w="100"/>
        <w:gridCol w:w="100"/>
      </w:tblGrid>
      <w:tr>
        <w:trPr>
          <w:cantSplit/>
          <w:tblHeader/>
        </w:trPr>
        <w:tc>
          <w:tcPr>
            <w:tcW w:type="pct" w:w="8%"/>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ID</w:t>
            </w:r>
          </w:p>
        </w:tc>
        <w:tc>
          <w:tcPr>
            <w:tcW w:type="pct" w:w="34%"/>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Finding</w:t>
            </w:r>
          </w:p>
        </w:tc>
        <w:tc>
          <w:tcPr>
            <w:tcW w:type="pct" w:w="12%"/>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Severity</w:t>
            </w:r>
          </w:p>
        </w:tc>
        <w:tc>
          <w:tcPr>
            <w:tcW w:type="pct" w:w="16%"/>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Status</w:t>
            </w:r>
          </w:p>
        </w:tc>
        <w:tc>
          <w:tcPr>
            <w:tcW w:type="pct" w:w="30%"/>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Evidence</w:t>
            </w:r>
          </w:p>
        </w:tc>
      </w:tr>
      <w:tr>
        <w:trPr>
          <w:cantSplit/>
        </w:trPr>
        <w:tc>
          <w:tcPr>
            <w:tcW w:type="pct" w:w="8%"/>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F-01</w:t>
            </w:r>
          </w:p>
        </w:tc>
        <w:tc>
          <w:tcPr>
            <w:tcW w:type="pct" w:w="3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Conflict-resolution journal logged “undefined ↔ undefined” (non-existent reqARef/reqBRef fields)</w:t>
            </w:r>
          </w:p>
        </w:tc>
        <w:tc>
          <w:tcPr>
            <w:tcW w:type="pct" w:w="12%"/>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High</w:t>
            </w:r>
          </w:p>
        </w:tc>
        <w:tc>
          <w:tcPr>
            <w:tcW w:type="pct" w:w="16%"/>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Fixed + verified</w:t>
            </w:r>
          </w:p>
        </w:tc>
        <w:tc>
          <w:tcPr>
            <w:tcW w:type="pct" w:w="3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5/5 baseline journal entries corrupted; post-fix run renders REQ-04 ↔ REQ-06</w:t>
            </w:r>
          </w:p>
        </w:tc>
      </w:tr>
      <w:tr>
        <w:trPr>
          <w:cantSplit/>
        </w:trPr>
        <w:tc>
          <w:tcPr>
            <w:tcW w:type="pct" w:w="8%"/>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F-02</w:t>
            </w:r>
          </w:p>
        </w:tc>
        <w:tc>
          <w:tcPr>
            <w:tcW w:type="pct" w:w="3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Hard 1,200-char per-evidence prompt window silently blinded all agents to longer sources</w:t>
            </w:r>
          </w:p>
        </w:tc>
        <w:tc>
          <w:tcPr>
            <w:tcW w:type="pct" w:w="12%"/>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High</w:t>
            </w:r>
          </w:p>
        </w:tc>
        <w:tc>
          <w:tcPr>
            <w:tcW w:type="pct" w:w="16%"/>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Fixed + verified</w:t>
            </w:r>
          </w:p>
        </w:tc>
        <w:tc>
          <w:tcPr>
            <w:tcW w:type="pct" w:w="3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Probe: 0/10 requirements referenced appendix at char 2,556 pre-fix; 2 (REQ-06, REQ-07) post-fix</w:t>
            </w:r>
          </w:p>
        </w:tc>
      </w:tr>
      <w:tr>
        <w:trPr>
          <w:cantSplit/>
        </w:trPr>
        <w:tc>
          <w:tcPr>
            <w:tcW w:type="pct" w:w="8%"/>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F-03</w:t>
            </w:r>
          </w:p>
        </w:tc>
        <w:tc>
          <w:tcPr>
            <w:tcW w:type="pct" w:w="3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Arabic ASR returned Korean Hangul script for Egyptian-Arabic audio, deterministically</w:t>
            </w:r>
          </w:p>
        </w:tc>
        <w:tc>
          <w:tcPr>
            <w:tcW w:type="pct" w:w="12%"/>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High</w:t>
            </w:r>
          </w:p>
        </w:tc>
        <w:tc>
          <w:tcPr>
            <w:tcW w:type="pct" w:w="16%"/>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Mitigated, open</w:t>
            </w:r>
          </w:p>
        </w:tc>
        <w:tc>
          <w:tcPr>
            <w:tcW w:type="pct" w:w="3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Same Hangul output across 2 runs; guard now warns humans; English word-perfect</w:t>
            </w:r>
          </w:p>
        </w:tc>
      </w:tr>
      <w:tr>
        <w:trPr>
          <w:cantSplit/>
        </w:trPr>
        <w:tc>
          <w:tcPr>
            <w:tcW w:type="pct" w:w="8%"/>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F-04</w:t>
            </w:r>
          </w:p>
        </w:tc>
        <w:tc>
          <w:tcPr>
            <w:tcW w:type="pct" w:w="3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Unknown constraint pack silently fell back to privacy pack with confident verdict</w:t>
            </w:r>
          </w:p>
        </w:tc>
        <w:tc>
          <w:tcPr>
            <w:tcW w:type="pct" w:w="12%"/>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Medium</w:t>
            </w:r>
          </w:p>
        </w:tc>
        <w:tc>
          <w:tcPr>
            <w:tcW w:type="pct" w:w="16%"/>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Fixed + verified</w:t>
            </w:r>
          </w:p>
        </w:tc>
        <w:tc>
          <w:tcPr>
            <w:tcW w:type="pct" w:w="3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POST bogus pack returned 200 pre-fix; returns 400 with pack list post-fix</w:t>
            </w:r>
          </w:p>
        </w:tc>
      </w:tr>
      <w:tr>
        <w:trPr>
          <w:cantSplit/>
        </w:trPr>
        <w:tc>
          <w:tcPr>
            <w:tcW w:type="pct" w:w="8%"/>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F-05</w:t>
            </w:r>
          </w:p>
        </w:tc>
        <w:tc>
          <w:tcPr>
            <w:tcW w:type="pct" w:w="3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Single-attempt LLM plumbing: transport error or unparseable output aborted the whole stage (500)</w:t>
            </w:r>
          </w:p>
        </w:tc>
        <w:tc>
          <w:tcPr>
            <w:tcW w:type="pct" w:w="12%"/>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Medium</w:t>
            </w:r>
          </w:p>
        </w:tc>
        <w:tc>
          <w:tcPr>
            <w:tcW w:type="pct" w:w="16%"/>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Fixed + verified</w:t>
            </w:r>
          </w:p>
        </w:tc>
        <w:tc>
          <w:tcPr>
            <w:tcW w:type="pct" w:w="3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1 unparseable 500 observed in ~30 calls; retry + parse-retry wrappers now in place</w:t>
            </w:r>
          </w:p>
        </w:tc>
      </w:tr>
      <w:tr>
        <w:trPr>
          <w:cantSplit/>
        </w:trPr>
        <w:tc>
          <w:tcPr>
            <w:tcW w:type="pct" w:w="8%"/>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F-06</w:t>
            </w:r>
          </w:p>
        </w:tc>
        <w:tc>
          <w:tcPr>
            <w:tcW w:type="pct" w:w="3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Question language mirroring non-deterministic (0/5 Arabic in run 1, 5/5 in run 2)</w:t>
            </w:r>
          </w:p>
        </w:tc>
        <w:tc>
          <w:tcPr>
            <w:tcW w:type="pct" w:w="12%"/>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Medium</w:t>
            </w:r>
          </w:p>
        </w:tc>
        <w:tc>
          <w:tcPr>
            <w:tcW w:type="pct" w:w="16%"/>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Improved</w:t>
            </w:r>
          </w:p>
        </w:tc>
        <w:tc>
          <w:tcPr>
            <w:tcW w:type="pct" w:w="3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Post-hardening: 4/5 Arabic with ≥2 required when evidence is Arabic-heavy</w:t>
            </w:r>
          </w:p>
        </w:tc>
      </w:tr>
      <w:tr>
        <w:trPr>
          <w:cantSplit/>
        </w:trPr>
        <w:tc>
          <w:tcPr>
            <w:tcW w:type="pct" w:w="8%"/>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F-07</w:t>
            </w:r>
          </w:p>
        </w:tc>
        <w:tc>
          <w:tcPr>
            <w:tcW w:type="pct" w:w="3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Wind-tunnel persona confabulated substitute facts instead of revealing the held-out secret</w:t>
            </w:r>
          </w:p>
        </w:tc>
        <w:tc>
          <w:tcPr>
            <w:tcW w:type="pct" w:w="12%"/>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Medium</w:t>
            </w:r>
          </w:p>
        </w:tc>
        <w:tc>
          <w:tcPr>
            <w:tcW w:type="pct" w:w="16%"/>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Improved, open</w:t>
            </w:r>
          </w:p>
        </w:tc>
        <w:tc>
          <w:tcPr>
            <w:tcW w:type="pct" w:w="3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Arm 2: invented “$45,000” budget when directly probed; prompt hardened, behaviour still model-dependent</w:t>
            </w:r>
          </w:p>
        </w:tc>
      </w:tr>
      <w:tr>
        <w:trPr>
          <w:cantSplit/>
        </w:trPr>
        <w:tc>
          <w:tcPr>
            <w:tcW w:type="pct" w:w="8%"/>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F-08</w:t>
            </w:r>
          </w:p>
        </w:tc>
        <w:tc>
          <w:tcPr>
            <w:tcW w:type="pct" w:w="3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Requirements with unresolvable evidence codes slipped through with zero trace links and no warning</w:t>
            </w:r>
          </w:p>
        </w:tc>
        <w:tc>
          <w:tcPr>
            <w:tcW w:type="pct" w:w="12%"/>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Medium</w:t>
            </w:r>
          </w:p>
        </w:tc>
        <w:tc>
          <w:tcPr>
            <w:tcW w:type="pct" w:w="16%"/>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Fixed + verified</w:t>
            </w:r>
          </w:p>
        </w:tc>
        <w:tc>
          <w:tcPr>
            <w:tcW w:type="pct" w:w="3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Baseline run 1 traceability failure; ungrounded requirements now forced to weak + human-action note</w:t>
            </w:r>
          </w:p>
        </w:tc>
      </w:tr>
      <w:tr>
        <w:trPr>
          <w:cantSplit/>
        </w:trPr>
        <w:tc>
          <w:tcPr>
            <w:tcW w:type="pct" w:w="8%"/>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F-09</w:t>
            </w:r>
          </w:p>
        </w:tc>
        <w:tc>
          <w:tcPr>
            <w:tcW w:type="pct" w:w="3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Language tag describes grounding origin, not text language; Arabic lexicon consequently unused on English-worded ar-EG items</w:t>
            </w:r>
          </w:p>
        </w:tc>
        <w:tc>
          <w:tcPr>
            <w:tcW w:type="pct" w:w="12%"/>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Low</w:t>
            </w:r>
          </w:p>
        </w:tc>
        <w:tc>
          <w:tcPr>
            <w:tcW w:type="pct" w:w="16%"/>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Improved</w:t>
            </w:r>
          </w:p>
        </w:tc>
        <w:tc>
          <w:tcPr>
            <w:tcW w:type="pct" w:w="3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Notes were English for ar-EG-tagged English text; prompt now requires own-language analysis for genuine Arabic text</w:t>
            </w:r>
          </w:p>
        </w:tc>
      </w:tr>
      <w:tr>
        <w:trPr>
          <w:cantSplit/>
        </w:trPr>
        <w:tc>
          <w:tcPr>
            <w:tcW w:type="pct" w:w="8%"/>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F-10</w:t>
            </w:r>
          </w:p>
        </w:tc>
        <w:tc>
          <w:tcPr>
            <w:tcW w:type="pct" w:w="3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Divergent ProjectSummary types (missing brief field, wrong _count key) and missing icon import — three latent TS errors</w:t>
            </w:r>
          </w:p>
        </w:tc>
        <w:tc>
          <w:tcPr>
            <w:tcW w:type="pct" w:w="12%"/>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Low</w:t>
            </w:r>
          </w:p>
        </w:tc>
        <w:tc>
          <w:tcPr>
            <w:tcW w:type="pct" w:w="16%"/>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Fixed + verified</w:t>
            </w:r>
          </w:p>
        </w:tc>
        <w:tc>
          <w:tcPr>
            <w:tcW w:type="pct" w:w="3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npx tsc --noEmit clean for src/ after centralising the shared type</w:t>
            </w:r>
          </w:p>
        </w:tc>
      </w:tr>
      <w:tr>
        <w:trPr>
          <w:cantSplit/>
        </w:trPr>
        <w:tc>
          <w:tcPr>
            <w:tcW w:type="pct" w:w="8%"/>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F-11</w:t>
            </w:r>
          </w:p>
        </w:tc>
        <w:tc>
          <w:tcPr>
            <w:tcW w:type="pct" w:w="3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Proposer confidence and critic verdict diverge (confidence 90 on a weak verdict) with no coupling</w:t>
            </w:r>
          </w:p>
        </w:tc>
        <w:tc>
          <w:tcPr>
            <w:tcW w:type="pct" w:w="12%"/>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Low</w:t>
            </w:r>
          </w:p>
        </w:tc>
        <w:tc>
          <w:tcPr>
            <w:tcW w:type="pct" w:w="16%"/>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Open (roadmap)</w:t>
            </w:r>
          </w:p>
        </w:tc>
        <w:tc>
          <w:tcPr>
            <w:tcW w:type="pct" w:w="3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Critic notes show evidence-distance reasoning the confidence number ignores</w:t>
            </w:r>
          </w:p>
        </w:tc>
      </w:tr>
      <w:tr>
        <w:trPr>
          <w:cantSplit/>
        </w:trPr>
        <w:tc>
          <w:tcPr>
            <w:tcW w:type="pct" w:w="8%"/>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F-12</w:t>
            </w:r>
          </w:p>
        </w:tc>
        <w:tc>
          <w:tcPr>
            <w:tcW w:type="pct" w:w="3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Health debt quantified with number-words; drift 'confirmed' state defined in schema but unreachable</w:t>
            </w:r>
          </w:p>
        </w:tc>
        <w:tc>
          <w:tcPr>
            <w:tcW w:type="pct" w:w="12%"/>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Low</w:t>
            </w:r>
          </w:p>
        </w:tc>
        <w:tc>
          <w:tcPr>
            <w:tcW w:type="pct" w:w="16%"/>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Open (roadmap)</w:t>
            </w:r>
          </w:p>
        </w:tc>
        <w:tc>
          <w:tcPr>
            <w:tcW w:type="pct" w:w="3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Health report text; Requirement.driftStatus enum vs code paths</w:t>
            </w:r>
          </w:p>
        </w:tc>
      </w:tr>
    </w:tbl>
    <w:p>
      <w:pPr>
        <w:spacing w:after="140" w:line="312"/>
        <w:jc w:val="left"/>
      </w:pPr>
      <w:r>
        <w:rPr>
          <w:rFonts w:ascii="Times New Roman" w:eastAsia="SimSun"/>
          <w:color w:val="000000"/>
          <w:sz w:val="24"/>
          <w:szCs w:val="24"/>
        </w:rPr>
        <w:t xml:space="preserve">One further cross-cutting exposure deserves explicit statement even though the audit did not weaponise it: evidence content is interpolated into agent prompts without escaping, so a malicious or careless evidence source could attempt prompt injection against the stage that reads it. The platform's human gates limit the blast radius — nothing an agent returns executes without approval — but a poisoned evidence set could still skew proposals, verdicts, or compliance verdicts. The roadmap therefore includes evidence sandboxing (delimiter fencing, instruction-stripping pre-pass, and output-side provenance checks) before any public demo where untrusted parties can submit evidence. Alongside it sit the other known non-audited surfaces: no authentication or team model on this deployment, PII redaction existing only as a UI affordance, and token/cost figures being chars/4 estimates rather than provider billing data.</w:t>
      </w:r>
    </w:p>
    <w:p>
      <w:pPr>
        <w:pStyle w:val="Heading1"/>
        <w:keepNext/>
        <w:spacing w:after="180" w:before="400" w:line="312"/>
      </w:pPr>
      <w:bookmarkStart w:id="100020" w:name="_Toc100020"/>
      <w:r>
        <w:rPr>
          <w:rFonts w:ascii="Times New Roman" w:eastAsia="SimHei"/>
          <w:b/>
          <w:bCs/>
          <w:color w:val="0A1628"/>
          <w:sz w:val="32"/>
          <w:szCs w:val="32"/>
        </w:rPr>
        <w:t xml:space="preserve">7. Fixes Applied and Verified During This Audit</w:t>
      </w:r>
      <w:bookmarkEnd w:id="100020"/>
    </w:p>
    <w:p>
      <w:pPr>
        <w:spacing w:after="140" w:line="312"/>
        <w:jc w:val="left"/>
      </w:pPr>
      <w:r>
        <w:rPr>
          <w:rFonts w:ascii="Times New Roman" w:eastAsia="SimSun"/>
          <w:color w:val="000000"/>
          <w:sz w:val="24"/>
          <w:szCs w:val="24"/>
        </w:rPr>
        <w:t xml:space="preserve">Every finding marked fixed was repaired in the same cycle and re-verified with a live run against the patched server, using the platform's own prompt-version stamp (v2.1-audit) to separate the runs. The fixes are deliberately conservative: no agent's strategy changed, no prompt lost a capability, and no data model migrated — the audit's mandate was to make the existing design reliable, not to redesign it. The full ledger follows; each entry names the change, the defect it addresses, and the verification evidence from the post-fix pass.</w:t>
      </w:r>
    </w:p>
    <w:p>
      <w:pPr>
        <w:keepNext/>
        <w:spacing w:after="100" w:before="220" w:line="312"/>
      </w:pPr>
      <w:r>
        <w:rPr>
          <w:rFonts w:ascii="Times New Roman" w:eastAsia="SimSun"/>
          <w:b/>
          <w:bCs/>
          <w:color w:val="333333"/>
          <w:sz w:val="21"/>
          <w:szCs w:val="21"/>
        </w:rPr>
        <w:t xml:space="preserve">Table 4: Fix ledger (all verified live)</w:t>
      </w:r>
    </w:p>
    <w:tbl>
      <w:tblPr>
        <w:tblW w:type="pct" w:w="100%"/>
        <w:tblBorders>
          <w:top w:val="single" w:color="1B6B7A" w:sz="4"/>
          <w:left w:val="none" w:color="FFFFFF" w:sz="0"/>
          <w:bottom w:val="single" w:color="1B6B7A" w:sz="4"/>
          <w:right w:val="none" w:color="FFFFFF" w:sz="0"/>
          <w:insideH w:val="single" w:color="C8DDE2" w:sz="1"/>
          <w:insideV w:val="none" w:color="FFFFFF" w:sz="0"/>
        </w:tblBorders>
      </w:tblPr>
      <w:tblGrid>
        <w:gridCol w:w="100"/>
        <w:gridCol w:w="100"/>
        <w:gridCol w:w="100"/>
        <w:gridCol w:w="100"/>
      </w:tblGrid>
      <w:tr>
        <w:trPr>
          <w:cantSplit/>
          <w:tblHeader/>
        </w:trPr>
        <w:tc>
          <w:tcPr>
            <w:tcW w:type="pct" w:w="26%"/>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Fix</w:t>
            </w:r>
          </w:p>
        </w:tc>
        <w:tc>
          <w:tcPr>
            <w:tcW w:type="pct" w:w="14%"/>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Resolves</w:t>
            </w:r>
          </w:p>
        </w:tc>
        <w:tc>
          <w:tcPr>
            <w:tcW w:type="pct" w:w="34%"/>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Change</w:t>
            </w:r>
          </w:p>
        </w:tc>
        <w:tc>
          <w:tcPr>
            <w:tcW w:type="pct" w:w="26%"/>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Post-fix verification</w:t>
            </w:r>
          </w:p>
        </w:tc>
      </w:tr>
      <w:tr>
        <w:trPr>
          <w:cantSplit/>
        </w:trPr>
        <w:tc>
          <w:tcPr>
            <w:tcW w:type="pct" w:w="26%"/>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Journal reference integrity</w:t>
            </w:r>
          </w:p>
        </w:tc>
        <w:tc>
          <w:tcPr>
            <w:tcW w:type="pct" w:w="1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F-01</w:t>
            </w:r>
          </w:p>
        </w:tc>
        <w:tc>
          <w:tcPr>
            <w:tcW w:type="pct" w:w="3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Conflict resolution handler loads related requirements and logs real refIds</w:t>
            </w:r>
          </w:p>
        </w:tc>
        <w:tc>
          <w:tcPr>
            <w:tcW w:type="pct" w:w="26%"/>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Post-fix s1 run: journal reads “REQ-04 ↔ REQ-06 (overlap)”; cf_journal_refs PASS</w:t>
            </w:r>
          </w:p>
        </w:tc>
      </w:tr>
      <w:tr>
        <w:trPr>
          <w:cantSplit/>
        </w:trPr>
        <w:tc>
          <w:tcPr>
            <w:tcW w:type="pct" w:w="26%"/>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Evidence prompt budget</w:t>
            </w:r>
          </w:p>
        </w:tc>
        <w:tc>
          <w:tcPr>
            <w:tcW w:type="pct" w:w="1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F-02</w:t>
            </w:r>
          </w:p>
        </w:tc>
        <w:tc>
          <w:tcPr>
            <w:tcW w:type="pct" w:w="3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Per-evidence window 1,200 → 4,000 chars; 16,000-char shared budget (floor 1,200); explicit truncation notice appended to the agent's view</w:t>
            </w:r>
          </w:p>
        </w:tc>
        <w:tc>
          <w:tcPr>
            <w:tcW w:type="pct" w:w="26%"/>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Probe run: REQ-06 + REQ-07 extracted and critic-verified from beyond the old cutoff</w:t>
            </w:r>
          </w:p>
        </w:tc>
      </w:tr>
      <w:tr>
        <w:trPr>
          <w:cantSplit/>
        </w:trPr>
        <w:tc>
          <w:tcPr>
            <w:tcW w:type="pct" w:w="26%"/>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ASR script guard</w:t>
            </w:r>
          </w:p>
        </w:tc>
        <w:tc>
          <w:tcPr>
            <w:tcW w:type="pct" w:w="1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F-03</w:t>
            </w:r>
          </w:p>
        </w:tc>
        <w:tc>
          <w:tcPr>
            <w:tcW w:type="pct" w:w="3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expectedLanguage hint, script-mismatch detection, one retry, warning flag; UI surfaces a review toast</w:t>
            </w:r>
          </w:p>
        </w:tc>
        <w:tc>
          <w:tcPr>
            <w:tcW w:type="pct" w:w="26%"/>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Arabic clip triggers warning; English clip unaffected; 413 oversize intact</w:t>
            </w:r>
          </w:p>
        </w:tc>
      </w:tr>
      <w:tr>
        <w:trPr>
          <w:cantSplit/>
        </w:trPr>
        <w:tc>
          <w:tcPr>
            <w:tcW w:type="pct" w:w="26%"/>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Constraint-pack validation</w:t>
            </w:r>
          </w:p>
        </w:tc>
        <w:tc>
          <w:tcPr>
            <w:tcW w:type="pct" w:w="1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F-04</w:t>
            </w:r>
          </w:p>
        </w:tc>
        <w:tc>
          <w:tcPr>
            <w:tcW w:type="pct" w:w="3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Compliance route rejects unknown pack names with 400 + available list</w:t>
            </w:r>
          </w:p>
        </w:tc>
        <w:tc>
          <w:tcPr>
            <w:tcW w:type="pct" w:w="26%"/>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Post-fix pass: 400 on bogus pack, three real packs unchanged</w:t>
            </w:r>
          </w:p>
        </w:tc>
      </w:tr>
      <w:tr>
        <w:trPr>
          <w:cantSplit/>
        </w:trPr>
        <w:tc>
          <w:tcPr>
            <w:tcW w:type="pct" w:w="26%"/>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Transport + parse retry</w:t>
            </w:r>
          </w:p>
        </w:tc>
        <w:tc>
          <w:tcPr>
            <w:tcW w:type="pct" w:w="1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F-05</w:t>
            </w:r>
          </w:p>
        </w:tc>
        <w:tc>
          <w:tcPr>
            <w:tcW w:type="pct" w:w="3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callLLM retries once with 1.5 s backoff; callLLMJson wraps call+parse with one parse retry; usage accumulates honestly</w:t>
            </w:r>
          </w:p>
        </w:tc>
        <w:tc>
          <w:tcPr>
            <w:tcW w:type="pct" w:w="26%"/>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Typecheck clean; s7 elicitation ran clean on the new path</w:t>
            </w:r>
          </w:p>
        </w:tc>
      </w:tr>
      <w:tr>
        <w:trPr>
          <w:cantSplit/>
        </w:trPr>
        <w:tc>
          <w:tcPr>
            <w:tcW w:type="pct" w:w="26%"/>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Arabic-first elicitation prompt</w:t>
            </w:r>
          </w:p>
        </w:tc>
        <w:tc>
          <w:tcPr>
            <w:tcW w:type="pct" w:w="1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F-06</w:t>
            </w:r>
          </w:p>
        </w:tc>
        <w:tc>
          <w:tcPr>
            <w:tcW w:type="pct" w:w="3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≥2 native Egyptian-Arabic questions required when evidence is Arabic-heavy</w:t>
            </w:r>
          </w:p>
        </w:tc>
        <w:tc>
          <w:tcPr>
            <w:tcW w:type="pct" w:w="26%"/>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Post-fix run: 4/5 questions native Arabic (baseline run 1: 0/5)</w:t>
            </w:r>
          </w:p>
        </w:tc>
      </w:tr>
      <w:tr>
        <w:trPr>
          <w:cantSplit/>
        </w:trPr>
        <w:tc>
          <w:tcPr>
            <w:tcW w:type="pct" w:w="26%"/>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Wind-tunnel reveal enforcement</w:t>
            </w:r>
          </w:p>
        </w:tc>
        <w:tc>
          <w:tcPr>
            <w:tcW w:type="pct" w:w="1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F-07</w:t>
            </w:r>
          </w:p>
        </w:tc>
        <w:tc>
          <w:tcPr>
            <w:tcW w:type="pct" w:w="3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Direct probes MUST reveal the secret; inventing substitute facts forbidden</w:t>
            </w:r>
          </w:p>
        </w:tc>
        <w:tc>
          <w:tcPr>
            <w:tcW w:type="pct" w:w="26%"/>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Prompt verified in place; behaviour still model-dependent (open item)</w:t>
            </w:r>
          </w:p>
        </w:tc>
      </w:tr>
      <w:tr>
        <w:trPr>
          <w:cantSplit/>
        </w:trPr>
        <w:tc>
          <w:tcPr>
            <w:tcW w:type="pct" w:w="26%"/>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Ungrounded-requirement safety net</w:t>
            </w:r>
          </w:p>
        </w:tc>
        <w:tc>
          <w:tcPr>
            <w:tcW w:type="pct" w:w="1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F-08</w:t>
            </w:r>
          </w:p>
        </w:tc>
        <w:tc>
          <w:tcPr>
            <w:tcW w:type="pct" w:w="3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Requirements with zero valid citations forced to verifyStatus weak + explicit human-action note</w:t>
            </w:r>
          </w:p>
        </w:tc>
        <w:tc>
          <w:tcPr>
            <w:tcW w:type="pct" w:w="26%"/>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In place from the fix commit; covered by critic-enum checks</w:t>
            </w:r>
          </w:p>
        </w:tc>
      </w:tr>
      <w:tr>
        <w:trPr>
          <w:cantSplit/>
        </w:trPr>
        <w:tc>
          <w:tcPr>
            <w:tcW w:type="pct" w:w="26%"/>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Shared ProjectSummary type</w:t>
            </w:r>
          </w:p>
        </w:tc>
        <w:tc>
          <w:tcPr>
            <w:tcW w:type="pct" w:w="1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F-10</w:t>
            </w:r>
          </w:p>
        </w:tc>
        <w:tc>
          <w:tcPr>
            <w:tcW w:type="pct" w:w="3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Single type in lib/rp.ts matching the API (_count.reqs); page.tsx and Mission Control import it; Github icon imported</w:t>
            </w:r>
          </w:p>
        </w:tc>
        <w:tc>
          <w:tcPr>
            <w:tcW w:type="pct" w:w="26%"/>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npx tsc --noEmit: src/ clean (was 3 errors)</w:t>
            </w:r>
          </w:p>
        </w:tc>
      </w:tr>
    </w:tbl>
    <w:p>
      <w:pPr>
        <w:spacing w:after="140" w:line="312"/>
        <w:jc w:val="left"/>
      </w:pPr>
      <w:r>
        <w:rPr>
          <w:rFonts w:ascii="Times New Roman" w:eastAsia="SimSun"/>
          <w:color w:val="000000"/>
          <w:sz w:val="24"/>
          <w:szCs w:val="24"/>
        </w:rPr>
        <w:t xml:space="preserve">Two hardening changes were also applied at the prompt level and are tracked as improved rather than fixed because model variance keeps them probabilistic: the ambiguity agent's own-language quoting instruction (F-09) and the wind-tunnel reveal contract (F-07). Both are correct directions; both need the structural enforcement described in their deep dives before the platform should claim them as guarantees. No regression was observed in any previously passing check after the fixes: the post-fix pipeline flight passed all structural contracts with materially better language mirroring, and total pipeline latency actually improved in the post-fix run (about 40 seconds median versus 75 at baseline, driven by model-side variance that the observatory now records per run).</w:t>
      </w:r>
    </w:p>
    <w:p>
      <w:pPr>
        <w:pStyle w:val="Heading1"/>
        <w:keepNext/>
        <w:spacing w:after="180" w:before="400" w:line="312"/>
      </w:pPr>
      <w:bookmarkStart w:id="100021" w:name="_Toc100021"/>
      <w:r>
        <w:rPr>
          <w:rFonts w:ascii="Times New Roman" w:eastAsia="SimHei"/>
          <w:b/>
          <w:bCs/>
          <w:color w:val="0A1628"/>
          <w:sz w:val="32"/>
          <w:szCs w:val="32"/>
        </w:rPr>
        <w:t xml:space="preserve">8. Core Operations: Improvement Roadmap</w:t>
      </w:r>
      <w:bookmarkEnd w:id="100021"/>
    </w:p>
    <w:p>
      <w:pPr>
        <w:spacing w:after="140" w:line="312"/>
        <w:jc w:val="left"/>
      </w:pPr>
      <w:r>
        <w:rPr>
          <w:rFonts w:ascii="Times New Roman" w:eastAsia="SimSun"/>
          <w:color w:val="000000"/>
          <w:sz w:val="24"/>
          <w:szCs w:val="24"/>
        </w:rPr>
        <w:t xml:space="preserve">The audit's remit includes suggestions for the core operations as a whole — the systems around the agents that make them dependable in production. The roadmap below is prioritised by risk to the platform's three nearest commitments: the supervised university pilot, the research-validation programme (Question-Planner ablation, benchmark expansion, user studies), and the public demo environment. P0 items are preconditions for those commitments; P1 items raise the ceiling of the research claims; P2 items are productionisation work that can trail behind real usage.</w:t>
      </w:r>
    </w:p>
    <w:p>
      <w:pPr>
        <w:keepNext/>
        <w:spacing w:after="100" w:before="220" w:line="312"/>
      </w:pPr>
      <w:r>
        <w:rPr>
          <w:rFonts w:ascii="Times New Roman" w:eastAsia="SimSun"/>
          <w:b/>
          <w:bCs/>
          <w:color w:val="333333"/>
          <w:sz w:val="21"/>
          <w:szCs w:val="21"/>
        </w:rPr>
        <w:t xml:space="preserve">Table 5: Prioritised improvement roadmap</w:t>
      </w:r>
    </w:p>
    <w:tbl>
      <w:tblPr>
        <w:tblW w:type="pct" w:w="100%"/>
        <w:tblBorders>
          <w:top w:val="single" w:color="1B6B7A" w:sz="4"/>
          <w:left w:val="none" w:color="FFFFFF" w:sz="0"/>
          <w:bottom w:val="single" w:color="1B6B7A" w:sz="4"/>
          <w:right w:val="none" w:color="FFFFFF" w:sz="0"/>
          <w:insideH w:val="single" w:color="C8DDE2" w:sz="1"/>
          <w:insideV w:val="none" w:color="FFFFFF" w:sz="0"/>
        </w:tblBorders>
      </w:tblPr>
      <w:tblGrid>
        <w:gridCol w:w="100"/>
        <w:gridCol w:w="100"/>
        <w:gridCol w:w="100"/>
        <w:gridCol w:w="100"/>
      </w:tblGrid>
      <w:tr>
        <w:trPr>
          <w:cantSplit/>
          <w:tblHeader/>
        </w:trPr>
        <w:tc>
          <w:tcPr>
            <w:tcW w:type="pct" w:w="10%"/>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Tier</w:t>
            </w:r>
          </w:p>
        </w:tc>
        <w:tc>
          <w:tcPr>
            <w:tcW w:type="pct" w:w="36%"/>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Item</w:t>
            </w:r>
          </w:p>
        </w:tc>
        <w:tc>
          <w:tcPr>
            <w:tcW w:type="pct" w:w="34%"/>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Rationale (audit-linked)</w:t>
            </w:r>
          </w:p>
        </w:tc>
        <w:tc>
          <w:tcPr>
            <w:tcW w:type="pct" w:w="20%"/>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Horizon / owner</w:t>
            </w:r>
          </w:p>
        </w:tc>
      </w:tr>
      <w:tr>
        <w:trPr>
          <w:cantSplit/>
        </w:trPr>
        <w:tc>
          <w:tcPr>
            <w:tcW w:type="pct" w:w="1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P0</w:t>
            </w:r>
          </w:p>
        </w:tc>
        <w:tc>
          <w:tcPr>
            <w:tcW w:type="pct" w:w="36%"/>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Structured JSON output at the provider layer + LLM Provider Interface (GLM | Model B | local)</w:t>
            </w:r>
          </w:p>
        </w:tc>
        <w:tc>
          <w:tcPr>
            <w:tcW w:type="pct" w:w="3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Removes the parse-repair path from the critical route (F-05); enables the cross-model ablation the research programme requires; strategy fixed, model swappable</w:t>
            </w:r>
          </w:p>
        </w:tc>
        <w:tc>
          <w:tcPr>
            <w:tcW w:type="pct" w:w="2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Weeks 1-3 / core team</w:t>
            </w:r>
          </w:p>
        </w:tc>
      </w:tr>
      <w:tr>
        <w:trPr>
          <w:cantSplit/>
        </w:trPr>
        <w:tc>
          <w:tcPr>
            <w:tcW w:type="pct" w:w="1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P0</w:t>
            </w:r>
          </w:p>
        </w:tc>
        <w:tc>
          <w:tcPr>
            <w:tcW w:type="pct" w:w="36%"/>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Codify this audit's harness as a CI regression suite (Playwright E2E + API checks)</w:t>
            </w:r>
          </w:p>
        </w:tc>
        <w:tc>
          <w:tcPr>
            <w:tcW w:type="pct" w:w="3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141 checks exist as a manual harness; the FEATURES_STATUS ledger names the missing automated suite explicitly; every fix here stays fixed only if it runs in CI</w:t>
            </w:r>
          </w:p>
        </w:tc>
        <w:tc>
          <w:tcPr>
            <w:tcW w:type="pct" w:w="2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Weeks 1-3 / core team</w:t>
            </w:r>
          </w:p>
        </w:tc>
      </w:tr>
      <w:tr>
        <w:trPr>
          <w:cantSplit/>
        </w:trPr>
        <w:tc>
          <w:tcPr>
            <w:tcW w:type="pct" w:w="1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P0</w:t>
            </w:r>
          </w:p>
        </w:tc>
        <w:tc>
          <w:tcPr>
            <w:tcW w:type="pct" w:w="36%"/>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Arabic ASR decision: language-hint parameter, chat-model fallback, or assisted-only scope for the pilot</w:t>
            </w:r>
          </w:p>
        </w:tc>
        <w:tc>
          <w:tcPr>
            <w:tcW w:type="pct" w:w="3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F-03 is the one un-fixed high-severity finding; the Arabic-first claim (N7) must be honest about its voice channel</w:t>
            </w:r>
          </w:p>
        </w:tc>
        <w:tc>
          <w:tcPr>
            <w:tcW w:type="pct" w:w="2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Weeks 1-2 / core team</w:t>
            </w:r>
          </w:p>
        </w:tc>
      </w:tr>
      <w:tr>
        <w:trPr>
          <w:cantSplit/>
        </w:trPr>
        <w:tc>
          <w:tcPr>
            <w:tcW w:type="pct" w:w="1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P0</w:t>
            </w:r>
          </w:p>
        </w:tc>
        <w:tc>
          <w:tcPr>
            <w:tcW w:type="pct" w:w="36%"/>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Question-Planner ablation harness (4 arms, 5 metrics) running on arbench</w:t>
            </w:r>
          </w:p>
        </w:tc>
        <w:tc>
          <w:tcPr>
            <w:tcW w:type="pct" w:w="3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The platform's central novelty claim is still engine-supported but experiment-unrun; wind-tunnel findings (F-07) feed the simulation arm</w:t>
            </w:r>
          </w:p>
        </w:tc>
        <w:tc>
          <w:tcPr>
            <w:tcW w:type="pct" w:w="2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Weeks 2-6 / research track</w:t>
            </w:r>
          </w:p>
        </w:tc>
      </w:tr>
      <w:tr>
        <w:trPr>
          <w:cantSplit/>
        </w:trPr>
        <w:tc>
          <w:tcPr>
            <w:tcW w:type="pct" w:w="1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P1</w:t>
            </w:r>
          </w:p>
        </w:tc>
        <w:tc>
          <w:tcPr>
            <w:tcW w:type="pct" w:w="36%"/>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Deterministic wind-tunnel reveal injection + reveal-rate metric; multi-persona panel</w:t>
            </w:r>
          </w:p>
        </w:tc>
        <w:tc>
          <w:tcPr>
            <w:tcW w:type="pct" w:w="3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Turns the instrument's core promise from probabilistic to structural (F-07) and produces the question-quality dataset</w:t>
            </w:r>
          </w:p>
        </w:tc>
        <w:tc>
          <w:tcPr>
            <w:tcW w:type="pct" w:w="2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Month 2 / core team</w:t>
            </w:r>
          </w:p>
        </w:tc>
      </w:tr>
      <w:tr>
        <w:trPr>
          <w:cantSplit/>
        </w:trPr>
        <w:tc>
          <w:tcPr>
            <w:tcW w:type="pct" w:w="1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P1</w:t>
            </w:r>
          </w:p>
        </w:tc>
        <w:tc>
          <w:tcPr>
            <w:tcW w:type="pct" w:w="36%"/>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Calibration coupling: derive confidence from proposer self-report × critic verdict</w:t>
            </w:r>
          </w:p>
        </w:tc>
        <w:tc>
          <w:tcPr>
            <w:tcW w:type="pct" w:w="3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F-11; trivial post-processing on existing data, materially improves the calibration engine's input</w:t>
            </w:r>
          </w:p>
        </w:tc>
        <w:tc>
          <w:tcPr>
            <w:tcW w:type="pct" w:w="2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Month 2 / core team</w:t>
            </w:r>
          </w:p>
        </w:tc>
      </w:tr>
      <w:tr>
        <w:trPr>
          <w:cantSplit/>
        </w:trPr>
        <w:tc>
          <w:tcPr>
            <w:tcW w:type="pct" w:w="1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P1</w:t>
            </w:r>
          </w:p>
        </w:tc>
        <w:tc>
          <w:tcPr>
            <w:tcW w:type="pct" w:w="36%"/>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Typed Requirement Graph (depends_on, conflicts_with, derived_from, affected_by) + drift traversal</w:t>
            </w:r>
          </w:p>
        </w:tc>
        <w:tc>
          <w:tcPr>
            <w:tcW w:type="pct" w:w="3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Consistency and drift deep dives both converge here; conflicts become traversable edges, drift gains propagation</w:t>
            </w:r>
          </w:p>
        </w:tc>
        <w:tc>
          <w:tcPr>
            <w:tcW w:type="pct" w:w="2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Months 2-4 / core team</w:t>
            </w:r>
          </w:p>
        </w:tc>
      </w:tr>
      <w:tr>
        <w:trPr>
          <w:cantSplit/>
        </w:trPr>
        <w:tc>
          <w:tcPr>
            <w:tcW w:type="pct" w:w="1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P1</w:t>
            </w:r>
          </w:p>
        </w:tc>
        <w:tc>
          <w:tcPr>
            <w:tcW w:type="pct" w:w="36%"/>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Tracker write-sync (GitHub Issues + Jira) and round-trip into drift radar</w:t>
            </w:r>
          </w:p>
        </w:tc>
        <w:tc>
          <w:tcPr>
            <w:tcW w:type="pct" w:w="3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Integration bay advertises both targets; change signals from real issue trackers become drift inputs</w:t>
            </w:r>
          </w:p>
        </w:tc>
        <w:tc>
          <w:tcPr>
            <w:tcW w:type="pct" w:w="2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Months 2-4 / core team</w:t>
            </w:r>
          </w:p>
        </w:tc>
      </w:tr>
      <w:tr>
        <w:trPr>
          <w:cantSplit/>
        </w:trPr>
        <w:tc>
          <w:tcPr>
            <w:tcW w:type="pct" w:w="1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P1</w:t>
            </w:r>
          </w:p>
        </w:tc>
        <w:tc>
          <w:tcPr>
            <w:tcW w:type="pct" w:w="36%"/>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Benchmark expansion: 100-150 scenarios, 8 categories, 6 gold artifact types</w:t>
            </w:r>
          </w:p>
        </w:tc>
        <w:tc>
          <w:tcPr>
            <w:tcW w:type="pct" w:w="3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Prerequisite for statistically meaningful ablation results on the claims</w:t>
            </w:r>
          </w:p>
        </w:tc>
        <w:tc>
          <w:tcPr>
            <w:tcW w:type="pct" w:w="2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Months 2-5 / research track</w:t>
            </w:r>
          </w:p>
        </w:tc>
      </w:tr>
      <w:tr>
        <w:trPr>
          <w:cantSplit/>
        </w:trPr>
        <w:tc>
          <w:tcPr>
            <w:tcW w:type="pct" w:w="1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P2</w:t>
            </w:r>
          </w:p>
        </w:tc>
        <w:tc>
          <w:tcPr>
            <w:tcW w:type="pct" w:w="36%"/>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Evidence sandboxing against prompt injection (fencing, instruction-stripping pre-pass)</w:t>
            </w:r>
          </w:p>
        </w:tc>
        <w:tc>
          <w:tcPr>
            <w:tcW w:type="pct" w:w="3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Known exposure; human gates bound the damage but public demos raise the threat</w:t>
            </w:r>
          </w:p>
        </w:tc>
        <w:tc>
          <w:tcPr>
            <w:tcW w:type="pct" w:w="2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Before public demo / core team</w:t>
            </w:r>
          </w:p>
        </w:tc>
      </w:tr>
      <w:tr>
        <w:trPr>
          <w:cantSplit/>
        </w:trPr>
        <w:tc>
          <w:tcPr>
            <w:tcW w:type="pct" w:w="1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P2</w:t>
            </w:r>
          </w:p>
        </w:tc>
        <w:tc>
          <w:tcPr>
            <w:tcW w:type="pct" w:w="36%"/>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Auth, team accounts, RBAC; multi-stakeholder sessions with per-persona evidence attribution</w:t>
            </w:r>
          </w:p>
        </w:tc>
        <w:tc>
          <w:tcPr>
            <w:tcW w:type="pct" w:w="3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Declared missing in FEATURES_STATUS; required for unsupervised deployments</w:t>
            </w:r>
          </w:p>
        </w:tc>
        <w:tc>
          <w:tcPr>
            <w:tcW w:type="pct" w:w="2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Months 4-6 / core team</w:t>
            </w:r>
          </w:p>
        </w:tc>
      </w:tr>
      <w:tr>
        <w:trPr>
          <w:cantSplit/>
        </w:trPr>
        <w:tc>
          <w:tcPr>
            <w:tcW w:type="pct" w:w="1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P2</w:t>
            </w:r>
          </w:p>
        </w:tc>
        <w:tc>
          <w:tcPr>
            <w:tcW w:type="pct" w:w="36%"/>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Health trending, numeric debt fields, drift confirmed-state triage, custom constraint packs, memory quality gating</w:t>
            </w:r>
          </w:p>
        </w:tc>
        <w:tc>
          <w:tcPr>
            <w:tcW w:type="pct" w:w="3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Deep-dive improvement backlog (5.9-5.12) bundled for the production hardening cycle</w:t>
            </w:r>
          </w:p>
        </w:tc>
        <w:tc>
          <w:tcPr>
            <w:tcW w:type="pct" w:w="2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Months 4-6 / core team</w:t>
            </w:r>
          </w:p>
        </w:tc>
      </w:tr>
    </w:tbl>
    <w:p>
      <w:pPr>
        <w:spacing w:after="140" w:line="312"/>
        <w:jc w:val="left"/>
      </w:pPr>
      <w:r>
        <w:rPr>
          <w:rFonts w:ascii="Times New Roman" w:eastAsia="SimSun"/>
          <w:color w:val="000000"/>
          <w:sz w:val="24"/>
          <w:szCs w:val="24"/>
        </w:rPr>
        <w:t xml:space="preserve">Three roadmap items deserve emphasis because the audit changed their priority. The regression suite moved from a hygiene item to a P0: this audit demonstrated both that the platform's failure modes are catchable by scripted checks (every defect here was) and that manual per-build browser verification does not scale to a pilot with real users. The provider interface moved from a research convenience to a P0: a single unparseable-output 500 in thirty calls is a provider-behaviour sample size of one, and the ablation programme needs at least three providers to make its comparisons meaningful. And the wind-tunnel structural fix was promoted from instrument polish to research infrastructure: once reveal-rate is measurable, the platform gains a synthetic evaluation arm for question-set quality that the 4-arm ablation can consume directly.</w:t>
      </w:r>
    </w:p>
    <w:p>
      <w:pPr>
        <w:pStyle w:val="Heading1"/>
        <w:keepNext/>
        <w:spacing w:after="180" w:before="400" w:line="312"/>
      </w:pPr>
      <w:bookmarkStart w:id="100022" w:name="_Toc100022"/>
      <w:r>
        <w:rPr>
          <w:rFonts w:ascii="Times New Roman" w:eastAsia="SimHei"/>
          <w:b/>
          <w:bCs/>
          <w:color w:val="0A1628"/>
          <w:sz w:val="32"/>
          <w:szCs w:val="32"/>
        </w:rPr>
        <w:t xml:space="preserve">9. Conclusions and Verdict</w:t>
      </w:r>
      <w:bookmarkEnd w:id="100022"/>
    </w:p>
    <w:p>
      <w:pPr>
        <w:spacing w:after="140" w:line="312"/>
        <w:jc w:val="left"/>
      </w:pPr>
      <w:r>
        <w:rPr>
          <w:rFonts w:ascii="Times New Roman" w:eastAsia="SimSun"/>
          <w:color w:val="000000"/>
          <w:sz w:val="24"/>
          <w:szCs w:val="24"/>
        </w:rPr>
        <w:t xml:space="preserve">The audit set out to test every agent in the platform carefully and deeply, and the resulting picture is of an agent society whose design promises are mostly kept in production conditions. All six pipeline agents honoured their structural contracts in every run: atomic shall-statement extraction with valid taxonomies and trace links, complete ambiguity scoring with threshold-consistent rewrites, exact story-to-requirement parity with Gherkin-shaped criteria, referentially clean conflict detection, and a question set whose evidence-coupling was the audit's single most impressive quality result. The lifecycle instruments added genuine post-baseline value: a drift sweep that flagged exactly the right requirement and no others, constraint-pack scans that produced honest partial verdicts with insertable gap suggestions, and a health report whose decomposed debt statements quantified the mission's real residual risk without collapsing it into a magic number.</w:t>
      </w:r>
    </w:p>
    <w:p>
      <w:pPr>
        <w:spacing w:after="140" w:line="312"/>
        <w:jc w:val="left"/>
      </w:pPr>
      <w:r>
        <w:rPr>
          <w:rFonts w:ascii="Times New Roman" w:eastAsia="SimSun"/>
          <w:color w:val="000000"/>
          <w:sz w:val="24"/>
          <w:szCs w:val="24"/>
        </w:rPr>
        <w:t xml:space="preserve">The audit also did its second job: the platform that emerges from this cycle is measurably harder than the one that entered it. One production defect was found, fixed, and re-verified; one blind operational window was opened to 4,000 characters per source with truncation honesty; one upstream model deficiency was converted from a silent failure into a guarded, human-visible warning; five reliability or validation gaps were closed; and two behavioural improvements were locked in at the prompt level with their remaining variance documented. The platform's own observatory recorded every fix-verification run at the new prompt version, so the audit trail of the audit itself is inspectable — a property the platform deserves credit for enabling.</w:t>
      </w:r>
    </w:p>
    <w:p>
      <w:pPr>
        <w:spacing w:after="140" w:line="312"/>
        <w:jc w:val="left"/>
      </w:pPr>
      <w:r>
        <w:rPr>
          <w:rFonts w:ascii="Times New Roman" w:eastAsia="SimSun"/>
          <w:color w:val="000000"/>
          <w:sz w:val="24"/>
          <w:szCs w:val="24"/>
        </w:rPr>
        <w:t xml:space="preserve">The verdict is a conditional go for the supervised university pilot, consistent with the platform's earlier conditional-go posture. The agent society is fit for supervised production use now; the conditions attach to what must land before unsupervised exposure and before the research claims are published. Condition one: resolve the Arabic voice-intake path (language hint, fallback, or honest assisted-only scoping) — the one high-severity finding still open. Condition two: codify this audit's harness into CI so the fixes here cannot silently regress. Condition three: run the Question-Planner ablation on the expanded benchmark, because the platform's central novelty claim deserves experimental evidence rather than engine support alone. Condition four: land the provider interface and make at least one cross-model comparison run, converting single-provider behaviour samples into bounded claims. With those four conditions met, the platform's remaining roadmap — typed requirement graph, tracker round-trips, evidence sandboxing, auth and teams — is a scaling programme, not a survival programme, and the core operations underneath it have now been audited to the standard the product itself preaches: evidence first, humans in the loop, and every number traceable to a record.</w:t>
      </w:r>
    </w:p>
    <w:p>
      <w:pPr>
        <w:pStyle w:val="Heading1"/>
        <w:keepNext/>
        <w:spacing w:after="180" w:before="400" w:line="312"/>
      </w:pPr>
      <w:bookmarkStart w:id="100023" w:name="_Toc100023"/>
      <w:r>
        <w:rPr>
          <w:rFonts w:ascii="Times New Roman" w:eastAsia="SimHei"/>
          <w:b/>
          <w:bCs/>
          <w:color w:val="0A1628"/>
          <w:sz w:val="32"/>
          <w:szCs w:val="32"/>
        </w:rPr>
        <w:t xml:space="preserve">Appendix A. Audit Check Distribution</w:t>
      </w:r>
      <w:bookmarkEnd w:id="100023"/>
    </w:p>
    <w:p>
      <w:pPr>
        <w:spacing w:after="140" w:line="312"/>
        <w:jc w:val="left"/>
      </w:pPr>
      <w:r>
        <w:rPr>
          <w:rFonts w:ascii="Times New Roman" w:eastAsia="SimSun"/>
          <w:color w:val="000000"/>
          <w:sz w:val="24"/>
          <w:szCs w:val="24"/>
        </w:rPr>
        <w:t xml:space="preserve">The master results file records 141 automated checks across the baseline and post-fix passes: 130 passed, 5 were informational, 5 warned (all explained in Section 5 and resolved into improvements or documented limitations), and 1 failed (F-01, fixed and re-verified). The distribution below counts the post-fix state of every check, grouped by the agent or subsystem it exercises; the harness, setup, and cleanup records are excluded from the agent totals. Every check carries a detail string, structured evidence where relevant, and a timestamp, and the full machine-readable log is preserved alongside the harness for reproduction.</w:t>
      </w:r>
    </w:p>
    <w:p>
      <w:pPr>
        <w:keepNext/>
        <w:spacing w:after="80" w:before="240"/>
        <w:jc w:val="center"/>
      </w:pPr>
      <w:r>
        <w:drawing>
          <wp:inline distT="0" distB="0" distL="0" distR="0">
            <wp:extent cx="519112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91125" cy="3048000"/>
                    </a:xfrm>
                    <a:prstGeom prst="rect">
                      <a:avLst/>
                    </a:prstGeom>
                  </pic:spPr>
                </pic:pic>
              </a:graphicData>
            </a:graphic>
          </wp:inline>
        </w:drawing>
      </w:r>
    </w:p>
    <w:p>
      <w:pPr>
        <w:spacing w:after="240" w:line="276"/>
        <w:jc w:val="center"/>
      </w:pPr>
      <w:r>
        <w:rPr>
          <w:rFonts w:ascii="Times New Roman" w:eastAsia="SimSun"/>
          <w:i/>
          <w:iCs/>
          <w:color w:val="555555"/>
          <w:sz w:val="20"/>
          <w:szCs w:val="20"/>
        </w:rPr>
        <w:t xml:space="preserve">Figure 2: Audit coverage and outcomes per agent across the baseline and post-fix passes (141 checks). Every fail-class finding was converted to a fix and re-verified.</w:t>
      </w:r>
    </w:p>
    <w:p>
      <w:pPr>
        <w:keepNext/>
        <w:spacing w:after="100" w:before="220" w:line="312"/>
      </w:pPr>
      <w:r>
        <w:rPr>
          <w:rFonts w:ascii="Times New Roman" w:eastAsia="SimSun"/>
          <w:b/>
          <w:bCs/>
          <w:color w:val="333333"/>
          <w:sz w:val="21"/>
          <w:szCs w:val="21"/>
        </w:rPr>
        <w:t xml:space="preserve">Table 6: Checks per agent or subsystem (final state)</w:t>
      </w:r>
    </w:p>
    <w:tbl>
      <w:tblPr>
        <w:tblW w:type="pct" w:w="100%"/>
        <w:tblBorders>
          <w:top w:val="single" w:color="1B6B7A" w:sz="4"/>
          <w:left w:val="none" w:color="FFFFFF" w:sz="0"/>
          <w:bottom w:val="single" w:color="1B6B7A" w:sz="4"/>
          <w:right w:val="none" w:color="FFFFFF" w:sz="0"/>
          <w:insideH w:val="single" w:color="C8DDE2" w:sz="1"/>
          <w:insideV w:val="none" w:color="FFFFFF" w:sz="0"/>
        </w:tblBorders>
      </w:tblPr>
      <w:tblGrid>
        <w:gridCol w:w="100"/>
        <w:gridCol w:w="100"/>
        <w:gridCol w:w="100"/>
        <w:gridCol w:w="100"/>
        <w:gridCol w:w="100"/>
      </w:tblGrid>
      <w:tr>
        <w:trPr>
          <w:cantSplit/>
          <w:tblHeader/>
        </w:trPr>
        <w:tc>
          <w:tcPr>
            <w:tcW w:type="pct" w:w="34%"/>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Group</w:t>
            </w:r>
          </w:p>
        </w:tc>
        <w:tc>
          <w:tcPr>
            <w:tcW w:type="pct" w:w="14%"/>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Pass</w:t>
            </w:r>
          </w:p>
        </w:tc>
        <w:tc>
          <w:tcPr>
            <w:tcW w:type="pct" w:w="14%"/>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Warn</w:t>
            </w:r>
          </w:p>
        </w:tc>
        <w:tc>
          <w:tcPr>
            <w:tcW w:type="pct" w:w="14%"/>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Fail</w:t>
            </w:r>
          </w:p>
        </w:tc>
        <w:tc>
          <w:tcPr>
            <w:tcW w:type="pct" w:w="24%"/>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Notes</w:t>
            </w:r>
          </w:p>
        </w:tc>
      </w:tr>
      <w:tr>
        <w:trPr>
          <w:cantSplit/>
        </w:trPr>
        <w:tc>
          <w:tcPr>
            <w:tcW w:type="pct" w:w="3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Questioner (Elicitation)</w:t>
            </w:r>
          </w:p>
        </w:tc>
        <w:tc>
          <w:tcPr>
            <w:tcW w:type="pct" w:w="1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23</w:t>
            </w:r>
          </w:p>
        </w:tc>
        <w:tc>
          <w:tcPr>
            <w:tcW w:type="pct" w:w="1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0</w:t>
            </w:r>
          </w:p>
        </w:tc>
        <w:tc>
          <w:tcPr>
            <w:tcW w:type="pct" w:w="1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0</w:t>
            </w:r>
          </w:p>
        </w:tc>
        <w:tc>
          <w:tcPr>
            <w:tcW w:type="pct" w:w="2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Baseline language-mirror warn improved; gate + journal checks included</w:t>
            </w:r>
          </w:p>
        </w:tc>
      </w:tr>
      <w:tr>
        <w:trPr>
          <w:cantSplit/>
        </w:trPr>
        <w:tc>
          <w:tcPr>
            <w:tcW w:type="pct" w:w="3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Scope Agent</w:t>
            </w:r>
          </w:p>
        </w:tc>
        <w:tc>
          <w:tcPr>
            <w:tcW w:type="pct" w:w="1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6</w:t>
            </w:r>
          </w:p>
        </w:tc>
        <w:tc>
          <w:tcPr>
            <w:tcW w:type="pct" w:w="1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0</w:t>
            </w:r>
          </w:p>
        </w:tc>
        <w:tc>
          <w:tcPr>
            <w:tcW w:type="pct" w:w="1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0</w:t>
            </w:r>
          </w:p>
        </w:tc>
        <w:tc>
          <w:tcPr>
            <w:tcW w:type="pct" w:w="2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1 informational (ledger respect, qualitative)</w:t>
            </w:r>
          </w:p>
        </w:tc>
      </w:tr>
      <w:tr>
        <w:trPr>
          <w:cantSplit/>
        </w:trPr>
        <w:tc>
          <w:tcPr>
            <w:tcW w:type="pct" w:w="3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Extraction + Critic</w:t>
            </w:r>
          </w:p>
        </w:tc>
        <w:tc>
          <w:tcPr>
            <w:tcW w:type="pct" w:w="1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12</w:t>
            </w:r>
          </w:p>
        </w:tc>
        <w:tc>
          <w:tcPr>
            <w:tcW w:type="pct" w:w="1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0</w:t>
            </w:r>
          </w:p>
        </w:tc>
        <w:tc>
          <w:tcPr>
            <w:tcW w:type="pct" w:w="1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0</w:t>
            </w:r>
          </w:p>
        </w:tc>
        <w:tc>
          <w:tcPr>
            <w:tcW w:type="pct" w:w="2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2 informational (probe setup, post-fix window)</w:t>
            </w:r>
          </w:p>
        </w:tc>
      </w:tr>
      <w:tr>
        <w:trPr>
          <w:cantSplit/>
        </w:trPr>
        <w:tc>
          <w:tcPr>
            <w:tcW w:type="pct" w:w="3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Ambiguity Agent</w:t>
            </w:r>
          </w:p>
        </w:tc>
        <w:tc>
          <w:tcPr>
            <w:tcW w:type="pct" w:w="1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7</w:t>
            </w:r>
          </w:p>
        </w:tc>
        <w:tc>
          <w:tcPr>
            <w:tcW w:type="pct" w:w="1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0</w:t>
            </w:r>
          </w:p>
        </w:tc>
        <w:tc>
          <w:tcPr>
            <w:tcW w:type="pct" w:w="1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0</w:t>
            </w:r>
          </w:p>
        </w:tc>
        <w:tc>
          <w:tcPr>
            <w:tcW w:type="pct" w:w="2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Lexicon nuance resolved by prompt hardening</w:t>
            </w:r>
          </w:p>
        </w:tc>
      </w:tr>
      <w:tr>
        <w:trPr>
          <w:cantSplit/>
        </w:trPr>
        <w:tc>
          <w:tcPr>
            <w:tcW w:type="pct" w:w="3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Story Agent</w:t>
            </w:r>
          </w:p>
        </w:tc>
        <w:tc>
          <w:tcPr>
            <w:tcW w:type="pct" w:w="1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6</w:t>
            </w:r>
          </w:p>
        </w:tc>
        <w:tc>
          <w:tcPr>
            <w:tcW w:type="pct" w:w="1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0</w:t>
            </w:r>
          </w:p>
        </w:tc>
        <w:tc>
          <w:tcPr>
            <w:tcW w:type="pct" w:w="1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0</w:t>
            </w:r>
          </w:p>
        </w:tc>
        <w:tc>
          <w:tcPr>
            <w:tcW w:type="pct" w:w="2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Perfect format parity in all runs</w:t>
            </w:r>
          </w:p>
        </w:tc>
      </w:tr>
      <w:tr>
        <w:trPr>
          <w:cantSplit/>
        </w:trPr>
        <w:tc>
          <w:tcPr>
            <w:tcW w:type="pct" w:w="3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Consistency Agent</w:t>
            </w:r>
          </w:p>
        </w:tc>
        <w:tc>
          <w:tcPr>
            <w:tcW w:type="pct" w:w="1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6</w:t>
            </w:r>
          </w:p>
        </w:tc>
        <w:tc>
          <w:tcPr>
            <w:tcW w:type="pct" w:w="1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0</w:t>
            </w:r>
          </w:p>
        </w:tc>
        <w:tc>
          <w:tcPr>
            <w:tcW w:type="pct" w:w="1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0</w:t>
            </w:r>
          </w:p>
        </w:tc>
        <w:tc>
          <w:tcPr>
            <w:tcW w:type="pct" w:w="2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Journal integrity PASS post-fix</w:t>
            </w:r>
          </w:p>
        </w:tc>
      </w:tr>
      <w:tr>
        <w:trPr>
          <w:cantSplit/>
        </w:trPr>
        <w:tc>
          <w:tcPr>
            <w:tcW w:type="pct" w:w="3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Health Reporter</w:t>
            </w:r>
          </w:p>
        </w:tc>
        <w:tc>
          <w:tcPr>
            <w:tcW w:type="pct" w:w="1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2</w:t>
            </w:r>
          </w:p>
        </w:tc>
        <w:tc>
          <w:tcPr>
            <w:tcW w:type="pct" w:w="1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0</w:t>
            </w:r>
          </w:p>
        </w:tc>
        <w:tc>
          <w:tcPr>
            <w:tcW w:type="pct" w:w="1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0</w:t>
            </w:r>
          </w:p>
        </w:tc>
        <w:tc>
          <w:tcPr>
            <w:tcW w:type="pct" w:w="2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Quantification warn was a checker false-negative; 1 informational</w:t>
            </w:r>
          </w:p>
        </w:tc>
      </w:tr>
      <w:tr>
        <w:trPr>
          <w:cantSplit/>
        </w:trPr>
        <w:tc>
          <w:tcPr>
            <w:tcW w:type="pct" w:w="3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Drift Radar</w:t>
            </w:r>
          </w:p>
        </w:tc>
        <w:tc>
          <w:tcPr>
            <w:tcW w:type="pct" w:w="1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4</w:t>
            </w:r>
          </w:p>
        </w:tc>
        <w:tc>
          <w:tcPr>
            <w:tcW w:type="pct" w:w="1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0</w:t>
            </w:r>
          </w:p>
        </w:tc>
        <w:tc>
          <w:tcPr>
            <w:tcW w:type="pct" w:w="1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0</w:t>
            </w:r>
          </w:p>
        </w:tc>
        <w:tc>
          <w:tcPr>
            <w:tcW w:type="pct" w:w="2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Precise single-requirement impact</w:t>
            </w:r>
          </w:p>
        </w:tc>
      </w:tr>
      <w:tr>
        <w:trPr>
          <w:cantSplit/>
        </w:trPr>
        <w:tc>
          <w:tcPr>
            <w:tcW w:type="pct" w:w="3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Compliance Checker</w:t>
            </w:r>
          </w:p>
        </w:tc>
        <w:tc>
          <w:tcPr>
            <w:tcW w:type="pct" w:w="1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4</w:t>
            </w:r>
          </w:p>
        </w:tc>
        <w:tc>
          <w:tcPr>
            <w:tcW w:type="pct" w:w="1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0</w:t>
            </w:r>
          </w:p>
        </w:tc>
        <w:tc>
          <w:tcPr>
            <w:tcW w:type="pct" w:w="1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0</w:t>
            </w:r>
          </w:p>
        </w:tc>
        <w:tc>
          <w:tcPr>
            <w:tcW w:type="pct" w:w="2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Invalid-pack warn converted to a fixed validation</w:t>
            </w:r>
          </w:p>
        </w:tc>
      </w:tr>
      <w:tr>
        <w:trPr>
          <w:cantSplit/>
        </w:trPr>
        <w:tc>
          <w:tcPr>
            <w:tcW w:type="pct" w:w="3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Wind Tunnel</w:t>
            </w:r>
          </w:p>
        </w:tc>
        <w:tc>
          <w:tcPr>
            <w:tcW w:type="pct" w:w="1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6</w:t>
            </w:r>
          </w:p>
        </w:tc>
        <w:tc>
          <w:tcPr>
            <w:tcW w:type="pct" w:w="1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0</w:t>
            </w:r>
          </w:p>
        </w:tc>
        <w:tc>
          <w:tcPr>
            <w:tcW w:type="pct" w:w="1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0</w:t>
            </w:r>
          </w:p>
        </w:tc>
        <w:tc>
          <w:tcPr>
            <w:tcW w:type="pct" w:w="2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2 warns: arm-2 reveal rate (documented limitation)</w:t>
            </w:r>
          </w:p>
        </w:tc>
      </w:tr>
      <w:tr>
        <w:trPr>
          <w:cantSplit/>
        </w:trPr>
        <w:tc>
          <w:tcPr>
            <w:tcW w:type="pct" w:w="3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Voice Intake (ASR)</w:t>
            </w:r>
          </w:p>
        </w:tc>
        <w:tc>
          <w:tcPr>
            <w:tcW w:type="pct" w:w="1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5</w:t>
            </w:r>
          </w:p>
        </w:tc>
        <w:tc>
          <w:tcPr>
            <w:tcW w:type="pct" w:w="1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0</w:t>
            </w:r>
          </w:p>
        </w:tc>
        <w:tc>
          <w:tcPr>
            <w:tcW w:type="pct" w:w="1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0</w:t>
            </w:r>
          </w:p>
        </w:tc>
        <w:tc>
          <w:tcPr>
            <w:tcW w:type="pct" w:w="2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Guard behaviours verified; upstream limitation open</w:t>
            </w:r>
          </w:p>
        </w:tc>
      </w:tr>
      <w:tr>
        <w:trPr>
          <w:cantSplit/>
        </w:trPr>
        <w:tc>
          <w:tcPr>
            <w:tcW w:type="pct" w:w="3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State Machine &amp; Gates</w:t>
            </w:r>
          </w:p>
        </w:tc>
        <w:tc>
          <w:tcPr>
            <w:tcW w:type="pct" w:w="1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15</w:t>
            </w:r>
          </w:p>
        </w:tc>
        <w:tc>
          <w:tcPr>
            <w:tcW w:type="pct" w:w="1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0</w:t>
            </w:r>
          </w:p>
        </w:tc>
        <w:tc>
          <w:tcPr>
            <w:tcW w:type="pct" w:w="1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0</w:t>
            </w:r>
          </w:p>
        </w:tc>
        <w:tc>
          <w:tcPr>
            <w:tcW w:type="pct" w:w="2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All negative paths rejected correctly</w:t>
            </w:r>
          </w:p>
        </w:tc>
      </w:tr>
      <w:tr>
        <w:trPr>
          <w:cantSplit/>
        </w:trPr>
        <w:tc>
          <w:tcPr>
            <w:tcW w:type="pct" w:w="3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Memory Harvester</w:t>
            </w:r>
          </w:p>
        </w:tc>
        <w:tc>
          <w:tcPr>
            <w:tcW w:type="pct" w:w="1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1</w:t>
            </w:r>
          </w:p>
        </w:tc>
        <w:tc>
          <w:tcPr>
            <w:tcW w:type="pct" w:w="1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0</w:t>
            </w:r>
          </w:p>
        </w:tc>
        <w:tc>
          <w:tcPr>
            <w:tcW w:type="pct" w:w="1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0</w:t>
            </w:r>
          </w:p>
        </w:tc>
        <w:tc>
          <w:tcPr>
            <w:tcW w:type="pct" w:w="2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33 entries observed across 3 completions</w:t>
            </w:r>
          </w:p>
        </w:tc>
      </w:tr>
    </w:tbl>
    <w:p>
      <w:pPr>
        <w:spacing w:after="140" w:line="312"/>
        <w:jc w:val="left"/>
      </w:pPr>
      <w:r>
        <w:rPr>
          <w:rFonts w:ascii="Times New Roman" w:eastAsia="SimSun"/>
          <w:color w:val="000000"/>
          <w:sz w:val="24"/>
          <w:szCs w:val="24"/>
        </w:rPr>
        <w:t xml:space="preserve">Reproduction commands: the harness lives in scripts/agent_tests/ with phases run as python3 rp_audit_core.py {sanity|s1..s7}; TTS fixtures are generated by rp_tts.mjs; figures for this report were produced by rp3_charts.py reading the master results file. The audited server was the production Next.js build at localhost:3000 with the SQLite database at db/custom.db; audit projects were deleted after each pass, leaving the demo project untouched.</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88887"/>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88888"/>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eastAsia="SimSun"/>
        <w:color w:val="888888"/>
        <w:sz w:val="18"/>
        <w:szCs w:val="18"/>
      </w:rPr>
      <w:t xml:space="preserve">RequirementPilot — Agent Audit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eastAsia="SimSun"/>
        <w:color w:val="888888"/>
        <w:sz w:val="18"/>
        <w:szCs w:val="18"/>
      </w:rPr>
      <w:t xml:space="preserve">RequirementPilot — Agent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400" w:line="312"/>
      <w:outlineLvl w:val="0"/>
    </w:pPr>
    <w:rPr>
      <w:rFonts w:ascii="Times New Roman" w:eastAsia="SimHei"/>
      <w:b/>
      <w:bCs/>
      <w:color w:val="0A1628"/>
      <w:sz w:val="32"/>
      <w:szCs w:val="32"/>
    </w:rPr>
  </w:style>
  <w:style w:type="paragraph" w:styleId="Heading2">
    <w:name w:val="Heading 2"/>
    <w:basedOn w:val="Normal"/>
    <w:next w:val="Normal"/>
    <w:qFormat/>
    <w:pPr>
      <w:spacing w:after="140" w:before="300" w:line="312"/>
      <w:outlineLvl w:val="1"/>
    </w:pPr>
    <w:rPr>
      <w:rFonts w:ascii="Times New Roman" w:eastAsia="SimHei"/>
      <w:b/>
      <w:bCs/>
      <w:color w:val="14424E"/>
      <w:sz w:val="28"/>
      <w:szCs w:val="28"/>
    </w:rPr>
  </w:style>
  <w:style w:type="paragraph" w:styleId="Heading3">
    <w:name w:val="Heading 3"/>
    <w:basedOn w:val="Normal"/>
    <w:next w:val="Normal"/>
    <w:qFormat/>
    <w:pPr>
      <w:spacing w:after="110" w:before="220" w:line="312"/>
      <w:outlineLvl w:val="2"/>
    </w:pPr>
    <w:rPr>
      <w:rFonts w:ascii="Times New Roman" w:eastAsia="SimHei"/>
      <w:b/>
      <w:bCs/>
      <w:color w:val="1B6B7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8ba3cf84a5ef2d882f814a8e955f346867f86882.png"/><Relationship Id="rId12" Type="http://schemas.openxmlformats.org/officeDocument/2006/relationships/image" Target="media/6a85b2b477179dcbb0ba94184518a4fce6cd1b8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2026-10-08T22:37:17.607Z</dcterms:created>
  <dcterms:modified xsi:type="dcterms:W3CDTF">2026-10-08T22:37:17.607Z</dcterms:modified>
</cp:coreProperties>
</file>

<file path=docProps/custom.xml><?xml version="1.0" encoding="utf-8"?>
<Properties xmlns="http://schemas.openxmlformats.org/officeDocument/2006/custom-properties" xmlns:vt="http://schemas.openxmlformats.org/officeDocument/2006/docPropsVTypes"/>
</file>