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3440"/>
            </w:pPr>
          </w:p>
          <w:p>
            <w:pPr>
              <w:pBdr>
                <w:bottom w:val="single" w:color="37DCF2" w:sz="6" w:space="8"/>
              </w:pBdr>
              <w:spacing w:after="500"/>
              <w:ind w:left="1200" w:right="800"/>
            </w:pPr>
            <w:r>
              <w:rPr>
                <w:rFonts w:ascii="Calibri" w:eastAsia="SimHei"/>
                <w:color w:val="37DCF2"/>
                <w:spacing w:val="40"/>
                <w:sz w:val="18"/>
                <w:szCs w:val="18"/>
              </w:rPr>
              <w:t xml:space="preserve">E  X  P  A  N  S  I  O  N     A  N  D     I  N  N  O  V  A  T  I  O  N</w:t>
            </w:r>
          </w:p>
          <w:p>
            <w:pPr>
              <w:spacing w:after="100" w:line="920" w:lineRule="atLeast"/>
              <w:ind w:left="1200"/>
            </w:pPr>
            <w:r>
              <w:rPr>
                <w:rFonts w:ascii="Arial" w:eastAsia="SimHei"/>
                <w:b/>
                <w:bCs/>
                <w:color w:val="FFFFFF"/>
                <w:sz w:val="80"/>
                <w:szCs w:val="80"/>
              </w:rPr>
              <w:t xml:space="preserve">RequirementPilot</w:t>
            </w:r>
          </w:p>
          <w:p>
            <w:pPr>
              <w:spacing w:after="100" w:line="920" w:lineRule="atLeast"/>
              <w:ind w:left="1200"/>
            </w:pPr>
            <w:r>
              <w:rPr>
                <w:rFonts w:ascii="Arial" w:eastAsia="SimHei"/>
                <w:b/>
                <w:bCs/>
                <w:color w:val="FFFFFF"/>
                <w:sz w:val="80"/>
                <w:szCs w:val="80"/>
              </w:rPr>
              <w:t xml:space="preserve">Expansion and</w:t>
            </w:r>
          </w:p>
          <w:p>
            <w:pPr>
              <w:spacing w:after="300" w:line="920" w:lineRule="atLeast"/>
              <w:ind w:left="1200"/>
            </w:pPr>
            <w:r>
              <w:rPr>
                <w:rFonts w:ascii="Arial" w:eastAsia="SimHei"/>
                <w:b/>
                <w:bCs/>
                <w:color w:val="FFFFFF"/>
                <w:sz w:val="80"/>
                <w:szCs w:val="80"/>
              </w:rPr>
              <w:t xml:space="preserve">Innovation Roadmap</w:t>
            </w:r>
          </w:p>
          <w:p>
            <w:pPr>
              <w:spacing w:after="800"/>
              <w:ind w:left="1200" w:right="800"/>
            </w:pPr>
            <w:r>
              <w:rPr>
                <w:rFonts w:ascii="Arial" w:eastAsia="Microsoft YaHei"/>
                <w:color w:val="B0B8C0"/>
                <w:sz w:val="24"/>
                <w:szCs w:val="24"/>
              </w:rPr>
              <w:t xml:space="preserve">Gap analysis, fourteen development ideas, and strategic modifications for a broader platform</w:t>
            </w:r>
          </w:p>
          <w:p>
            <w:pPr>
              <w:pBdr>
                <w:left w:val="single" w:color="37DCF2" w:sz="8" w:space="12"/>
              </w:pBdr>
              <w:spacing w:after="80"/>
              <w:ind w:left="1400"/>
            </w:pPr>
            <w:r>
              <w:rPr>
                <w:rFonts w:ascii="Arial" w:eastAsia="Microsoft YaHei"/>
                <w:color w:val="90989F"/>
                <w:sz w:val="24"/>
                <w:szCs w:val="24"/>
              </w:rPr>
              <w:t xml:space="preserve">Companion volume to the RequirementPilot Project Analysis Report</w:t>
            </w:r>
          </w:p>
          <w:p>
            <w:pPr>
              <w:pBdr>
                <w:left w:val="single" w:color="37DCF2" w:sz="8" w:space="12"/>
              </w:pBdr>
              <w:spacing w:after="80"/>
              <w:ind w:left="1400"/>
            </w:pPr>
            <w:r>
              <w:rPr>
                <w:rFonts w:ascii="Arial" w:eastAsia="Microsoft YaHei"/>
                <w:color w:val="90989F"/>
                <w:sz w:val="24"/>
                <w:szCs w:val="24"/>
              </w:rPr>
              <w:t xml:space="preserve">Basis: reference document of 30 September 2026 and the implemented MVP</w:t>
            </w:r>
          </w:p>
          <w:p>
            <w:pPr>
              <w:pBdr>
                <w:left w:val="single" w:color="37DCF2" w:sz="8" w:space="12"/>
              </w:pBdr>
              <w:spacing w:after="80"/>
              <w:ind w:left="1400"/>
            </w:pPr>
            <w:r>
              <w:rPr>
                <w:rFonts w:ascii="Arial" w:eastAsia="Microsoft YaHei"/>
                <w:color w:val="90989F"/>
                <w:sz w:val="24"/>
                <w:szCs w:val="24"/>
              </w:rPr>
              <w:t xml:space="preserve">Prepared for: Graduation Project Supervisor and Committee</w:t>
            </w:r>
          </w:p>
          <w:p>
            <w:pPr>
              <w:pBdr>
                <w:left w:val="single" w:color="37DCF2" w:sz="8" w:space="12"/>
              </w:pBdr>
              <w:spacing w:after="80"/>
              <w:ind w:left="1400"/>
            </w:pPr>
            <w:r>
              <w:rPr>
                <w:rFonts w:ascii="Arial" w:eastAsia="Microsoft YaHei"/>
                <w:color w:val="90989F"/>
                <w:sz w:val="24"/>
                <w:szCs w:val="24"/>
              </w:rPr>
              <w:t xml:space="preserve">Scope: Missing elements - Developments - Modifications - Sequencing</w:t>
            </w:r>
          </w:p>
          <w:p>
            <w:pPr>
              <w:pBdr>
                <w:left w:val="single" w:color="37DCF2" w:sz="8" w:space="12"/>
              </w:pBdr>
              <w:spacing w:after="80"/>
              <w:ind w:left="1400"/>
            </w:pPr>
            <w:r>
              <w:rPr>
                <w:rFonts w:ascii="Arial" w:eastAsia="Microsoft YaHei"/>
                <w:color w:val="90989F"/>
                <w:sz w:val="24"/>
                <w:szCs w:val="24"/>
              </w:rPr>
              <w:t xml:space="preserve">Date: October 2026</w:t>
            </w:r>
          </w:p>
          <w:p>
            <w:pPr>
              <w:spacing w:before="3440"/>
            </w:pPr>
          </w:p>
          <w:p>
            <w:pPr>
              <w:pBdr>
                <w:top w:val="single" w:color="37DCF2" w:sz="2" w:space="8"/>
              </w:pBdr>
              <w:spacing w:before="200"/>
              <w:ind w:left="1200" w:right="800"/>
            </w:pPr>
            <w:r>
              <w:rPr>
                <w:rFonts w:ascii="Arial"/>
                <w:color w:val="687078"/>
                <w:sz w:val="16"/>
                <w:szCs w:val="16"/>
              </w:rPr>
              <w:t xml:space="preserve">RequirementPilot Expansion and Innovation Roadmap</w:t>
            </w:r>
            <w:r>
              <w:t xml:space="preserve">                                        </w:t>
            </w:r>
            <w:r>
              <w:rPr>
                <w:rFonts w:ascii="Arial"/>
                <w:color w:val="687078"/>
                <w:sz w:val="16"/>
                <w:szCs w:val="16"/>
              </w:rPr>
              <w:t xml:space="preserve">October 2026</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0A1628"/>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Scope, Sources, and Method for This Roadmap</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Starting Point: What Exists and What It Proves</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Gap Analysis: What Is Missing</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5. Innovation Portfolio: Fourteen Developments in Four Clusters</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6. Strategic Modifications: Repositioning for Breadth Without Scope Explosion</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M1. Consolidate ten contributions into three flagship claims</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M2. From one-shot elicitation to a continuous requirements lifecycle</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M3. From solo agent to a small verified agent society</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M4. From system to platform assets: release the benchmark, the harness, and the server</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M5. Upgrade the evaluation contract</w:t>
            </w:r>
            <w:r>
              <w:tab/>
            </w:r>
            <w:r>
              <w:fldChar w:fldCharType="begin"/>
            </w:r>
            <w:r>
              <w:instrText xml:space="preserve"> PAGEREF _Toc100010 \h </w:instrText>
            </w:r>
            <w:r>
              <w:fldChar w:fldCharType="separate"/>
            </w:r>
            <w:r>
              <w:t>6</w:t>
            </w:r>
            <w:r>
              <w:fldChar w:fldCharType="end"/>
            </w:r>
          </w:hyperlink>
        </w:p>
        <w:p>
          <w:pPr>
            <w:pStyle w:val="9"/>
            <w:tabs>
              <w:tab w:val="right" w:leader="dot" w:pos="9026"/>
            </w:tabs>
            <w:spacing w:before="120" w:after="60"/>
          </w:pPr>
          <w:hyperlink w:anchor="_Toc100011" w:history="1">
            <w:r>
              <w:rPr>
                <w:rStyle w:val="Hyperlink"/>
              </w:rPr>
              <w:t>7. Sequenced Roadmap: What to Adopt, When, and What to Refuse</w:t>
            </w:r>
            <w:r>
              <w:tab/>
            </w:r>
            <w:r>
              <w:fldChar w:fldCharType="begin"/>
            </w:r>
            <w:r>
              <w:instrText xml:space="preserve"> PAGEREF _Toc100011 \h </w:instrText>
            </w:r>
            <w:r>
              <w:fldChar w:fldCharType="separate"/>
            </w:r>
            <w:r>
              <w:t>6</w:t>
            </w:r>
            <w:r>
              <w:fldChar w:fldCharType="end"/>
            </w:r>
          </w:hyperlink>
        </w:p>
        <w:p>
          <w:pPr>
            <w:pStyle w:val="9"/>
            <w:tabs>
              <w:tab w:val="right" w:leader="dot" w:pos="9026"/>
            </w:tabs>
            <w:spacing w:before="120" w:after="60"/>
          </w:pPr>
          <w:hyperlink w:anchor="_Toc100012" w:history="1">
            <w:r>
              <w:rPr>
                <w:rStyle w:val="Hyperlink"/>
              </w:rPr>
              <w:t>8. Projected Effect on the Consolidated Assessment</w:t>
            </w:r>
            <w:r>
              <w:tab/>
            </w:r>
            <w:r>
              <w:fldChar w:fldCharType="begin"/>
            </w:r>
            <w:r>
              <w:instrText xml:space="preserve"> PAGEREF _Toc100012 \h </w:instrText>
            </w:r>
            <w:r>
              <w:fldChar w:fldCharType="separate"/>
            </w:r>
            <w:r>
              <w:t>8</w:t>
            </w:r>
            <w:r>
              <w:fldChar w:fldCharType="end"/>
            </w:r>
          </w:hyperlink>
        </w:p>
        <w:p>
          <w:pPr>
            <w:pStyle w:val="9"/>
            <w:tabs>
              <w:tab w:val="right" w:leader="dot" w:pos="9026"/>
            </w:tabs>
            <w:spacing w:before="120" w:after="60"/>
          </w:pPr>
          <w:hyperlink w:anchor="_Toc100013" w:history="1">
            <w:r>
              <w:rPr>
                <w:rStyle w:val="Hyperlink"/>
              </w:rPr>
              <w:t>9. Concluding Recommendation</w:t>
            </w:r>
            <w:r>
              <w:tab/>
            </w:r>
            <w:r>
              <w:fldChar w:fldCharType="begin"/>
            </w:r>
            <w:r>
              <w:instrText xml:space="preserve"> PAGEREF _Toc100013 \h </w:instrText>
            </w:r>
            <w:r>
              <w:fldChar w:fldCharType="separate"/>
            </w:r>
            <w:r>
              <w:t>8</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keepNext/>
        <w:spacing w:after="180" w:before="400" w:line="312"/>
      </w:pPr>
      <w:bookmarkStart w:id="100000" w:name="_Toc100000"/>
      <w:r>
        <w:rPr>
          <w:rFonts w:ascii="Times New Roman" w:eastAsia="SimHei"/>
          <w:b/>
          <w:bCs/>
          <w:color w:val="0A1628"/>
          <w:sz w:val="32"/>
          <w:szCs w:val="32"/>
        </w:rPr>
        <w:t xml:space="preserve">1. Executive Summary</w:t>
      </w:r>
      <w:bookmarkEnd w:id="100000"/>
    </w:p>
    <w:p>
      <w:pPr>
        <w:spacing w:after="140" w:line="312"/>
        <w:jc w:val="left"/>
      </w:pPr>
      <w:r>
        <w:rPr>
          <w:rFonts w:ascii="Times New Roman" w:eastAsia="SimSun"/>
          <w:color w:val="000000"/>
          <w:sz w:val="24"/>
          <w:szCs w:val="24"/>
        </w:rPr>
        <w:t xml:space="preserve">This roadmap answers three questions posed by the project team after the delivery of the independent analysis report and the first working prototype of RequirementPilot: what developments and ideas can be added to the project, what is missing, and which modifications would make the idea broader, more comprehensive, and more innovative. It is a companion volume to the Project Analysis Report, inherits that report's verdict of a conditional go at a consolidated 4.0 out of 5, and treats every recommendation in it as an active constraint. The central conclusion can be stated in one sentence: the idea is already broad enough on paper; what broadens it now is not more features but a deeper scientific core, a wider evidence surface, and explicit connections to the rest of the software development lifecycle, adopted in tiers so that the fragile 24-week schedule is protected.</w:t>
      </w:r>
    </w:p>
    <w:p>
      <w:pPr>
        <w:spacing w:after="140" w:line="312"/>
        <w:jc w:val="left"/>
      </w:pPr>
      <w:r>
        <w:rPr>
          <w:rFonts w:ascii="Times New Roman" w:eastAsia="SimSun"/>
          <w:color w:val="000000"/>
          <w:sz w:val="24"/>
          <w:szCs w:val="24"/>
        </w:rPr>
        <w:t xml:space="preserve">The gap analysis in Chapter 4 identifies fourteen missing elements in four categories. The research gaps are the most consequential: the question planner selects which question to ask but has no policy for deciding whether to ask at all; confidence values are produced but never calibrated against stakeholder validation outcomes; and no mechanism carries learning from one interview to the next. The engineering gaps (long-conversation context management, concurrency control, and observability) and the evaluation gaps (statistical execution, an integration-isolating condition, and any field contact with real teams) were already flagged in the analysis report and remain open. The scope gaps are new: the platform currently ends where professional requirements engineering begins, with no living-requirements sync, no downstream verification loop, and no governance layer.</w:t>
      </w:r>
    </w:p>
    <w:p>
      <w:pPr>
        <w:spacing w:after="140" w:line="312"/>
        <w:jc w:val="left"/>
      </w:pPr>
      <w:r>
        <w:rPr>
          <w:rFonts w:ascii="Times New Roman" w:eastAsia="SimSun"/>
          <w:color w:val="000000"/>
          <w:sz w:val="24"/>
          <w:szCs w:val="24"/>
        </w:rPr>
        <w:t xml:space="preserve">The innovation portfolio in Chapter 5 organizes fourteen concrete developments (I1-I14) into four clusters: deepening the science (an uncertainty-gated ask-versus-proceed policy, confidence calibration, a critic-verifier loop, and cross-project learning), broadening the evidence surface (multimodal intake, an Arabic-first interaction layer, and an upgraded synthetic stakeholder wind tunnel), connecting the lifecycle (living-requirements sync, verifiable downstream artifacts, an MCP requirement server, and compliance constraint packs), and accountability (a decision journal, a cost and latency observatory, and an auto-generated requirements health report). Seven of the fourteen are small efforts that fit inside the existing plan; the portfolio map in Figure 1 makes the selection logic visible.</w:t>
      </w:r>
    </w:p>
    <w:p>
      <w:pPr>
        <w:spacing w:after="140" w:line="312"/>
        <w:jc w:val="left"/>
      </w:pPr>
      <w:r>
        <w:rPr>
          <w:rFonts w:ascii="Times New Roman" w:eastAsia="SimSun"/>
          <w:color w:val="000000"/>
          <w:sz w:val="24"/>
          <w:szCs w:val="24"/>
        </w:rPr>
        <w:t xml:space="preserve">The strategic modifications in Chapter 6 then reshape how the project is framed: consolidate ten contributions into three flagship claims, reposition the platform from a one-shot elicitation tool into a continuous requirements lifecycle, evolve the solo agent into a small verified agent society, release the benchmark and an MCP server as community assets, and upgrade the evaluation contract with a new research question, an integration-isolation condition, and a small field pilot. Chapter 7 sequences everything into three adoption tiers mapped onto the existing 24-week window and descope ladder, and Chapter 8 projects the effect on the six assessment dimensions. If only three moves are made, they should be: implement the uncertainty-gated questioning policy (I1), start the Arabic-first layer beside the benchmark (I6), and pre-register the evaluation including the integration-isolation condition (M5).</w:t>
      </w:r>
    </w:p>
    <w:p>
      <w:pPr>
        <w:pStyle w:val="Heading1"/>
        <w:keepNext/>
        <w:spacing w:after="180" w:before="400" w:line="312"/>
      </w:pPr>
      <w:bookmarkStart w:id="100001" w:name="_Toc100001"/>
      <w:r>
        <w:rPr>
          <w:rFonts w:ascii="Times New Roman" w:eastAsia="SimHei"/>
          <w:b/>
          <w:bCs/>
          <w:color w:val="0A1628"/>
          <w:sz w:val="32"/>
          <w:szCs w:val="32"/>
        </w:rPr>
        <w:t xml:space="preserve">2. Scope, Sources, and Method for This Roadmap</w:t>
      </w:r>
      <w:bookmarkEnd w:id="100001"/>
    </w:p>
    <w:p>
      <w:pPr>
        <w:spacing w:after="140" w:line="312"/>
        <w:jc w:val="left"/>
      </w:pPr>
      <w:r>
        <w:rPr>
          <w:rFonts w:ascii="Times New Roman" w:eastAsia="SimSun"/>
          <w:color w:val="000000"/>
          <w:sz w:val="24"/>
          <w:szCs w:val="24"/>
        </w:rPr>
        <w:t xml:space="preserve">The purpose of this document is to convert the criticism of the analysis report into a constructive expansion agenda without breaking the disciplines that made the project defensible in the first place. The team asked what could be added, what is missing, and how the idea could be made broader, more comprehensive, and more innovative. Each of the three questions is answered in its own chapter, and the answers are deliberately interlocked: nothing is proposed as an addition unless the gap analysis shows it is missing, and nothing is scheduled unless it survives the same feasibility arithmetic that made the original plan tight. The roadmap therefore behaves like an options portfolio with an admission rule, not a wish list.</w:t>
      </w:r>
    </w:p>
    <w:p>
      <w:pPr>
        <w:spacing w:after="140" w:line="312"/>
        <w:jc w:val="left"/>
      </w:pPr>
      <w:r>
        <w:rPr>
          <w:rFonts w:ascii="Times New Roman" w:eastAsia="SimSun"/>
          <w:color w:val="000000"/>
          <w:sz w:val="24"/>
          <w:szCs w:val="24"/>
        </w:rPr>
        <w:t xml:space="preserve">Four sources constrain every recommendation. First, the RequirementPilot Project Reference Document (111 sections, dated 30 September 2026) defines the contribution set N1-N10, the architecture, the evaluation design, and the boundaries of the what-not-to-build list; ideas that violate those boundaries are labeled as such and scheduled only beyond the thesis horizon. Second, the Project Analysis Report (October 2026) contributes the scored verdicts, the consolidated risk register R1-R11, the twelve-action plan, and the descope ladder, all of which are reused here without modification. Third, the implemented Minimum Viable Product, a six-stage human-in-the-loop pipeline with Arabic and code-switched evidence handling, establishes what already exists in running code and therefore what an expansion must build upon rather than replace. Fourth, the documented literature benchmark of eight systems (RECOVER, LENS, OntoAgent, ReqElicitGym, ProReFiCIA, AraREQ, MAAD, and MedNegotiator) defines the neighborhood in which any new idea must still be novel.</w:t>
      </w:r>
    </w:p>
    <w:p>
      <w:pPr>
        <w:spacing w:after="140" w:line="312"/>
        <w:jc w:val="left"/>
      </w:pPr>
      <w:r>
        <w:rPr>
          <w:rFonts w:ascii="Times New Roman" w:eastAsia="SimSun"/>
          <w:color w:val="000000"/>
          <w:sz w:val="24"/>
          <w:szCs w:val="24"/>
        </w:rPr>
        <w:t xml:space="preserve">The method used to derive and filter ideas is explicit. Candidate developments were collected from three sources: open items in the analysis report, forward-looking sections of the reference document itself (the Phase C extension list, the MCP integration sections, and the future coding-agent workflow), and mechanisms known from adjacent research fields that the document does not yet exploit. Each candidate was then scored on expected thesis impact and implementation effort by the same analyst rubric used for the novelty matrix in the analysis report, and was checked against three admission rules: it must strengthen one of the two defensible novelty cores or the integration claim; it must not consume core research time needed by the question planner, the evidence model, or the benchmark; and it must have a defined descope behavior if the schedule slips. Fourteen candidates survived, and they are presented with their scores so the team can re-run the filtering with its own weights.</w:t>
      </w:r>
    </w:p>
    <w:p>
      <w:pPr>
        <w:spacing w:after="140" w:line="312"/>
        <w:jc w:val="left"/>
      </w:pPr>
      <w:r>
        <w:rPr>
          <w:rFonts w:ascii="Times New Roman" w:eastAsia="SimSun"/>
          <w:color w:val="000000"/>
          <w:sz w:val="24"/>
          <w:szCs w:val="24"/>
        </w:rPr>
        <w:t xml:space="preserve">Two limitations bound this roadmap. It is an analyst document, not a measurement: impact scores are judgments grounded in the cited sources, and the projected dimension scores in Chapter 8 are conditional on execution rather than promises. It also deliberately refrains from inventing resource margins that do not exist: the team remains four people, the window remains twenty-four weeks, and every addition is therefore paired with an explicit cost, a proposed owner profile, and a position in the descope order. Where an idea genuinely cannot fit inside the window, it is assigned to the post-thesis tier rather than silently absorbed into an already full plan.</w:t>
      </w:r>
    </w:p>
    <w:p>
      <w:pPr>
        <w:pStyle w:val="Heading1"/>
        <w:keepNext/>
        <w:spacing w:after="180" w:before="400" w:line="312"/>
      </w:pPr>
      <w:bookmarkStart w:id="100002" w:name="_Toc100002"/>
      <w:r>
        <w:rPr>
          <w:rFonts w:ascii="Times New Roman" w:eastAsia="SimHei"/>
          <w:b/>
          <w:bCs/>
          <w:color w:val="0A1628"/>
          <w:sz w:val="32"/>
          <w:szCs w:val="32"/>
        </w:rPr>
        <w:t xml:space="preserve">3. Starting Point: What Exists and What It Proves</w:t>
      </w:r>
      <w:bookmarkEnd w:id="100002"/>
    </w:p>
    <w:p>
      <w:pPr>
        <w:spacing w:after="140" w:line="312"/>
        <w:jc w:val="left"/>
      </w:pPr>
      <w:r>
        <w:rPr>
          <w:rFonts w:ascii="Times New Roman" w:eastAsia="SimSun"/>
          <w:color w:val="000000"/>
          <w:sz w:val="24"/>
          <w:szCs w:val="24"/>
        </w:rPr>
        <w:t xml:space="preserve">Any expansion plan must begin from an accurate inventory, because the project is no longer a paper proposal. Three deliverables exist today. The analysis report established the assessment baseline: a conditional go at 4.0 overall, with evaluation methodology strongest at 4.5 and feasibility and schedule weakest at 3.0, plus four go-conditions and a documented descope ladder. The defense briefing deck converted that assessment into a seventeen-slide committee presentation. Most importantly, the Minimum Viable Product implements a six-stage pipeline (elicitation, problem selection, requirement extraction, ambiguity analysis, user-story generation, and conflict resolution) with human-approval gates between stages, structured JSON contracts for every agent call, artifact snapshots for auditability, and working demonstration data that includes an Egyptian Arabic interview, an English specification, and a code-switched meeting, so the platform's two signature claims are visible in running software rather than in slides.</w:t>
      </w:r>
    </w:p>
    <w:p>
      <w:pPr>
        <w:spacing w:after="140" w:line="312"/>
        <w:jc w:val="left"/>
      </w:pPr>
      <w:r>
        <w:rPr>
          <w:rFonts w:ascii="Times New Roman" w:eastAsia="SimSun"/>
          <w:color w:val="000000"/>
          <w:sz w:val="24"/>
          <w:szCs w:val="24"/>
        </w:rPr>
        <w:t xml:space="preserve">Table 1 maps the current assets against the graduation-grade version defined in the reference document. The comparison is instructive: the MVP demonstrates the shape of the whole lifecycle but at shallow depth in exactly the places the reference document reserves for the research contribution. Problem selection uses impact and effort sliders rather than the deterministic question-utility formula; ambiguity analysis produces rewrites rather than interpretation branches with behavioral divergence; and the uncertainty ledger, requirement debt score, requirement graph, and cross-artifact traceability exist only as data-model entities. In other words, the platform skeleton is standing, and the expansion work is now less about building new rooms and more about wiring the house to the electrical plan the reference document already drew.</w:t>
      </w:r>
    </w:p>
    <w:p>
      <w:pPr>
        <w:spacing w:after="140" w:line="312"/>
        <w:jc w:val="left"/>
      </w:pPr>
      <w:r>
        <w:rPr>
          <w:rFonts w:ascii="Times New Roman" w:eastAsia="SimSun"/>
          <w:color w:val="000000"/>
          <w:sz w:val="24"/>
          <w:szCs w:val="24"/>
        </w:rPr>
        <w:t xml:space="preserve">This starting point changes what broadening can mean. A project with no implementation must buy breadth with paper claims, which committees discount; a project with a running pipeline can buy breadth with mechanisms and measurements, which committees can verify. The MVP also de-risks several ideas that would otherwise be speculative: the demonstration project proves that Arabic and code-switched evidence flows through the existing schema without modification, which makes the Arabic-first interaction layer (I6) an incremental build rather than a redesign, and the artifact-snapshot mechanism already produces most of what a decision journal (I12) needs to persist.</w:t>
      </w:r>
    </w:p>
    <w:p>
      <w:pPr>
        <w:spacing w:after="140" w:line="312"/>
        <w:jc w:val="left"/>
      </w:pPr>
      <w:r>
        <w:rPr>
          <w:rFonts w:ascii="Times New Roman" w:eastAsia="SimSun"/>
          <w:color w:val="000000"/>
          <w:sz w:val="24"/>
          <w:szCs w:val="24"/>
        </w:rPr>
        <w:t xml:space="preserve">The inventory also clarifies what the expansion must not do. The MVP was built in a consolidated, single-route architecture appropriate for a demonstration; the reference document's production design (FastAPI service tier, PostgreSQL with pgvector, explicit state machine) remains the correct target for the evaluation-grade system, and expansion work should migrate toward that design rather than accrete onto the demo skeleton. Similarly, the seven demonstration artifacts must never be presented as evaluation results; the benchmark and the statistical plan remain the only path to evidence, and the sequencing rules in Chapter 7 keep them ahead of any new mechanism.</w:t>
      </w:r>
    </w:p>
    <w:p>
      <w:pPr>
        <w:pStyle w:val="Heading1"/>
        <w:keepNext/>
        <w:spacing w:after="180" w:before="400" w:line="312"/>
      </w:pPr>
      <w:bookmarkStart w:id="100003" w:name="_Toc100003"/>
      <w:r>
        <w:rPr>
          <w:rFonts w:ascii="Times New Roman" w:eastAsia="SimHei"/>
          <w:b/>
          <w:bCs/>
          <w:color w:val="0A1628"/>
          <w:sz w:val="32"/>
          <w:szCs w:val="32"/>
        </w:rPr>
        <w:t xml:space="preserve">4. Gap Analysis: What Is Missing</w:t>
      </w:r>
      <w:bookmarkEnd w:id="100003"/>
    </w:p>
    <w:p>
      <w:pPr>
        <w:spacing w:after="140" w:line="312"/>
        <w:jc w:val="left"/>
      </w:pPr>
      <w:r>
        <w:rPr>
          <w:rFonts w:ascii="Times New Roman" w:eastAsia="SimSun"/>
          <w:color w:val="000000"/>
          <w:sz w:val="24"/>
          <w:szCs w:val="24"/>
        </w:rPr>
        <w:t xml:space="preserve">This chapter answers the second of the team's three questions by consolidating everything the project is missing into a single register. Fourteen gaps are identified across four categories: research gaps (missing mechanisms that would strengthen the scientific core), engineering gaps (missing infrastructure that the evaluation-grade system needs), evaluation gaps (missing evidence practices), and scope gaps (missing connections that keep the idea narrower than its own vision). Nine of the fourteen were raised in the analysis report and are carried forward here with sharper consequence statements; five are new observations that became visible only when the roadmap questions were asked directly. Table 2 presents the register, and the discussion that follows groups the gaps by the response they call for.</w:t>
      </w:r>
    </w:p>
    <w:p>
      <w:pPr>
        <w:keepNext/>
        <w:spacing w:after="100" w:before="220" w:line="312"/>
      </w:pPr>
      <w:r>
        <w:rPr>
          <w:rFonts w:ascii="Times New Roman" w:eastAsia="SimSun"/>
          <w:b/>
          <w:bCs/>
          <w:color w:val="333333"/>
          <w:sz w:val="21"/>
          <w:szCs w:val="21"/>
        </w:rPr>
        <w:t xml:space="preserve">Table 2: Consolidated gap register (G1-G14)</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615"/>
        <w:gridCol w:w="1318"/>
        <w:gridCol w:w="3339"/>
        <w:gridCol w:w="3515"/>
      </w:tblGrid>
      <w:tr>
        <w:trPr>
          <w:cantSplit/>
          <w:tblHeader/>
        </w:trPr>
        <w:tc>
          <w:tcPr>
            <w:tcW w:type="pct" w:w="35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ID</w:t>
            </w:r>
          </w:p>
        </w:tc>
        <w:tc>
          <w:tcPr>
            <w:tcW w:type="pct" w:w="75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Category</w:t>
            </w:r>
          </w:p>
        </w:tc>
        <w:tc>
          <w:tcPr>
            <w:tcW w:type="pct" w:w="190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Missing element</w:t>
            </w:r>
          </w:p>
        </w:tc>
        <w:tc>
          <w:tcPr>
            <w:tcW w:type="pct" w:w="200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Consequence if left open</w:t>
            </w:r>
          </w:p>
        </w:tc>
      </w:tr>
      <w:tr>
        <w:trPr>
          <w:cantSplit/>
        </w:trPr>
        <w:tc>
          <w:tcPr>
            <w:tcW w:type="pct" w:w="3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G1</w:t>
            </w:r>
          </w:p>
        </w:tc>
        <w:tc>
          <w:tcPr>
            <w:tcW w:type="pct" w:w="7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Research</w:t>
            </w:r>
          </w:p>
        </w:tc>
        <w:tc>
          <w:tcPr>
            <w:tcW w:type="pct" w:w="19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Ask-versus-proceed policy: the planner never weighs the cost of interrupting the stakeholder against the cost of residual ambiguity</w:t>
            </w:r>
          </w:p>
        </w:tc>
        <w:tc>
          <w:tcPr>
            <w:tcW w:type="pct" w:w="20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N2 remains a question ranker, not a decision policy; every uncertainty becomes an interruption, which contradicts the effort term already present in the utility formula</w:t>
            </w:r>
          </w:p>
        </w:tc>
      </w:tr>
      <w:tr>
        <w:trPr>
          <w:cantSplit/>
        </w:trPr>
        <w:tc>
          <w:tcPr>
            <w:tcW w:type="pct" w:w="3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G2</w:t>
            </w:r>
          </w:p>
        </w:tc>
        <w:tc>
          <w:tcPr>
            <w:tcW w:type="pct" w:w="7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Research</w:t>
            </w:r>
          </w:p>
        </w:tc>
        <w:tc>
          <w:tcPr>
            <w:tcW w:type="pct" w:w="19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Confidence calibration: requirement and evidence confidence values are produced but never validated against outcomes</w:t>
            </w:r>
          </w:p>
        </w:tc>
        <w:tc>
          <w:tcPr>
            <w:tcW w:type="pct" w:w="20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Committees increasingly test whether published confidence numbers mean anything; uncalibrated values invite the accusation of decoration</w:t>
            </w:r>
          </w:p>
        </w:tc>
      </w:tr>
      <w:tr>
        <w:trPr>
          <w:cantSplit/>
        </w:trPr>
        <w:tc>
          <w:tcPr>
            <w:tcW w:type="pct" w:w="3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G3</w:t>
            </w:r>
          </w:p>
        </w:tc>
        <w:tc>
          <w:tcPr>
            <w:tcW w:type="pct" w:w="7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Research</w:t>
            </w:r>
          </w:p>
        </w:tc>
        <w:tc>
          <w:tcPr>
            <w:tcW w:type="pct" w:w="19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Cross-project memory: no glossary, question-outcome, or lesson carries from one interview to the next</w:t>
            </w:r>
          </w:p>
        </w:tc>
        <w:tc>
          <w:tcPr>
            <w:tcW w:type="pct" w:w="20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The platform cannot claim to improve with use; every project restarts the same learning curve</w:t>
            </w:r>
          </w:p>
        </w:tc>
      </w:tr>
      <w:tr>
        <w:trPr>
          <w:cantSplit/>
        </w:trPr>
        <w:tc>
          <w:tcPr>
            <w:tcW w:type="pct" w:w="3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G4</w:t>
            </w:r>
          </w:p>
        </w:tc>
        <w:tc>
          <w:tcPr>
            <w:tcW w:type="pct" w:w="7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Engineering</w:t>
            </w:r>
          </w:p>
        </w:tc>
        <w:tc>
          <w:tcPr>
            <w:tcW w:type="pct" w:w="19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Long-conversation context management strategy (summarization, state re-injection per turn)</w:t>
            </w:r>
          </w:p>
        </w:tc>
        <w:tc>
          <w:tcPr>
            <w:tcW w:type="pct" w:w="20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Multi-turn interviews with growing requirement sets will exceed practical context windows late in Phase 3 where fixes are expensive</w:t>
            </w:r>
          </w:p>
        </w:tc>
      </w:tr>
      <w:tr>
        <w:trPr>
          <w:cantSplit/>
        </w:trPr>
        <w:tc>
          <w:tcPr>
            <w:tcW w:type="pct" w:w="3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G5</w:t>
            </w:r>
          </w:p>
        </w:tc>
        <w:tc>
          <w:tcPr>
            <w:tcW w:type="pct" w:w="7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Engineering</w:t>
            </w:r>
          </w:p>
        </w:tc>
        <w:tc>
          <w:tcPr>
            <w:tcW w:type="pct" w:w="19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Concurrency and merge rules for simultaneous stakeholder edits</w:t>
            </w:r>
          </w:p>
        </w:tc>
        <w:tc>
          <w:tcPr>
            <w:tcW w:type="pct" w:w="20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Optimistic-locking conflicts will surface during human evaluation, the worst possible moment to discover them</w:t>
            </w:r>
          </w:p>
        </w:tc>
      </w:tr>
      <w:tr>
        <w:trPr>
          <w:cantSplit/>
        </w:trPr>
        <w:tc>
          <w:tcPr>
            <w:tcW w:type="pct" w:w="3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G6</w:t>
            </w:r>
          </w:p>
        </w:tc>
        <w:tc>
          <w:tcPr>
            <w:tcW w:type="pct" w:w="7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Engineering</w:t>
            </w:r>
          </w:p>
        </w:tc>
        <w:tc>
          <w:tcPr>
            <w:tcW w:type="pct" w:w="19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Observability: per-run cost accounting, prompt-version traceability, structured agent decision logs</w:t>
            </w:r>
          </w:p>
        </w:tc>
        <w:tc>
          <w:tcPr>
            <w:tcW w:type="pct" w:w="20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Ablation studies cannot be debugged or trusted; the cost-per-requirement claim remains unmeasurable</w:t>
            </w:r>
          </w:p>
        </w:tc>
      </w:tr>
      <w:tr>
        <w:trPr>
          <w:cantSplit/>
        </w:trPr>
        <w:tc>
          <w:tcPr>
            <w:tcW w:type="pct" w:w="3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G7</w:t>
            </w:r>
          </w:p>
        </w:tc>
        <w:tc>
          <w:tcPr>
            <w:tcW w:type="pct" w:w="7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Evaluation</w:t>
            </w:r>
          </w:p>
        </w:tc>
        <w:tc>
          <w:tcPr>
            <w:tcW w:type="pct" w:w="19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Statistical execution plan: power analysis, seeds, significance tests, inter-annotator agreement thresholds</w:t>
            </w:r>
          </w:p>
        </w:tc>
        <w:tc>
          <w:tcPr>
            <w:tcW w:type="pct" w:w="20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RQ1-RQ7 results are exposed to the underpowered-study criticism despite the strongest evaluation design in the cohort</w:t>
            </w:r>
          </w:p>
        </w:tc>
      </w:tr>
      <w:tr>
        <w:trPr>
          <w:cantSplit/>
        </w:trPr>
        <w:tc>
          <w:tcPr>
            <w:tcW w:type="pct" w:w="3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G8</w:t>
            </w:r>
          </w:p>
        </w:tc>
        <w:tc>
          <w:tcPr>
            <w:tcW w:type="pct" w:w="7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Evaluation</w:t>
            </w:r>
          </w:p>
        </w:tc>
        <w:tc>
          <w:tcPr>
            <w:tcW w:type="pct" w:w="19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Integration-isolating condition: no experiment measures the value of the integration claim itself</w:t>
            </w:r>
          </w:p>
        </w:tc>
        <w:tc>
          <w:tcPr>
            <w:tcW w:type="pct" w:w="20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The central positioning (integration over isolated capability) is asserted by construction and never tested</w:t>
            </w:r>
          </w:p>
        </w:tc>
      </w:tr>
      <w:tr>
        <w:trPr>
          <w:cantSplit/>
        </w:trPr>
        <w:tc>
          <w:tcPr>
            <w:tcW w:type="pct" w:w="3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G9</w:t>
            </w:r>
          </w:p>
        </w:tc>
        <w:tc>
          <w:tcPr>
            <w:tcW w:type="pct" w:w="7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Evaluation</w:t>
            </w:r>
          </w:p>
        </w:tc>
        <w:tc>
          <w:tcPr>
            <w:tcW w:type="pct" w:w="19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Human field contact: no pilot with real teams using the platform on their own projects</w:t>
            </w:r>
          </w:p>
        </w:tc>
        <w:tc>
          <w:tcPr>
            <w:tcW w:type="pct" w:w="20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All evidence stays synthetic; user-facing claims (effort, trust) rest on simulation only</w:t>
            </w:r>
          </w:p>
        </w:tc>
      </w:tr>
      <w:tr>
        <w:trPr>
          <w:cantSplit/>
        </w:trPr>
        <w:tc>
          <w:tcPr>
            <w:tcW w:type="pct" w:w="3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G10</w:t>
            </w:r>
          </w:p>
        </w:tc>
        <w:tc>
          <w:tcPr>
            <w:tcW w:type="pct" w:w="7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Scope</w:t>
            </w:r>
          </w:p>
        </w:tc>
        <w:tc>
          <w:tcPr>
            <w:tcW w:type="pct" w:w="19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Living-requirements sync: no connection to issue trackers after handoff, no drift detection</w:t>
            </w:r>
          </w:p>
        </w:tc>
        <w:tc>
          <w:tcPr>
            <w:tcW w:type="pct" w:w="20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Requirements freeze at export while code and stakeholders move; the change-aware claim stops at the platform boundary</w:t>
            </w:r>
          </w:p>
        </w:tc>
      </w:tr>
      <w:tr>
        <w:trPr>
          <w:cantSplit/>
        </w:trPr>
        <w:tc>
          <w:tcPr>
            <w:tcW w:type="pct" w:w="3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G11</w:t>
            </w:r>
          </w:p>
        </w:tc>
        <w:tc>
          <w:tcPr>
            <w:tcW w:type="pct" w:w="7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Scope</w:t>
            </w:r>
          </w:p>
        </w:tc>
        <w:tc>
          <w:tcPr>
            <w:tcW w:type="pct" w:w="19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Verifiable downstream loop: no generated artifact is checked by execution</w:t>
            </w:r>
          </w:p>
        </w:tc>
        <w:tc>
          <w:tcPr>
            <w:tcW w:type="pct" w:w="20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Phase C test generation has no ground truth; downstream value claims remain undemonstrable</w:t>
            </w:r>
          </w:p>
        </w:tc>
      </w:tr>
      <w:tr>
        <w:trPr>
          <w:cantSplit/>
        </w:trPr>
        <w:tc>
          <w:tcPr>
            <w:tcW w:type="pct" w:w="3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G12</w:t>
            </w:r>
          </w:p>
        </w:tc>
        <w:tc>
          <w:tcPr>
            <w:tcW w:type="pct" w:w="7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Scope</w:t>
            </w:r>
          </w:p>
        </w:tc>
        <w:tc>
          <w:tcPr>
            <w:tcW w:type="pct" w:w="19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Multimodal evidence intake beyond typed chat (transcripts, documents, boards)</w:t>
            </w:r>
          </w:p>
        </w:tc>
        <w:tc>
          <w:tcPr>
            <w:tcW w:type="pct" w:w="20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The real-conversations claim stays narrow; evidence begins only at the keyboard</w:t>
            </w:r>
          </w:p>
        </w:tc>
      </w:tr>
      <w:tr>
        <w:trPr>
          <w:cantSplit/>
        </w:trPr>
        <w:tc>
          <w:tcPr>
            <w:tcW w:type="pct" w:w="3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G13</w:t>
            </w:r>
          </w:p>
        </w:tc>
        <w:tc>
          <w:tcPr>
            <w:tcW w:type="pct" w:w="7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Scope</w:t>
            </w:r>
          </w:p>
        </w:tc>
        <w:tc>
          <w:tcPr>
            <w:tcW w:type="pct" w:w="19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Governance and ethics protocol: consent, PII handling, dialect bias statement</w:t>
            </w:r>
          </w:p>
        </w:tc>
        <w:tc>
          <w:tcPr>
            <w:tcW w:type="pct" w:w="20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Track C (real conversations) remains exposed to approval blockage (risk R11) with no prepared counter-document</w:t>
            </w:r>
          </w:p>
        </w:tc>
      </w:tr>
      <w:tr>
        <w:trPr>
          <w:cantSplit/>
        </w:trPr>
        <w:tc>
          <w:tcPr>
            <w:tcW w:type="pct" w:w="3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G14</w:t>
            </w:r>
          </w:p>
        </w:tc>
        <w:tc>
          <w:tcPr>
            <w:tcW w:type="pct" w:w="7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Scope</w:t>
            </w:r>
          </w:p>
        </w:tc>
        <w:tc>
          <w:tcPr>
            <w:tcW w:type="pct" w:w="19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Arabic-first interaction layer: dialect normalization, RTL elicitation UI, Arabic ambiguity lexicon</w:t>
            </w:r>
          </w:p>
        </w:tc>
        <w:tc>
          <w:tcPr>
            <w:tcW w:type="pct" w:w="20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N7 is confined to a dataset contribution; the platform itself remains English-first in experience</w:t>
            </w:r>
          </w:p>
        </w:tc>
      </w:tr>
    </w:tbl>
    <w:p>
      <w:pPr>
        <w:spacing w:after="140" w:line="312"/>
        <w:jc w:val="left"/>
      </w:pPr>
      <w:r>
        <w:rPr>
          <w:rFonts w:ascii="Times New Roman" w:eastAsia="SimSun"/>
          <w:color w:val="000000"/>
          <w:sz w:val="24"/>
          <w:szCs w:val="24"/>
        </w:rPr>
        <w:t xml:space="preserve">The research gaps (G1-G3) share a common character: each converts an existing mechanism from a static feature into a measured behavior, which is precisely the conversion committees reward. G1 is the clearest opportunity. The reference document's utility formula already contains a stakeholder-effort term, but effort only differentiates candidate questions; the planner never considers the alternative of not asking and instead proceeding with a marked uncertainty in the ledger. Because the human-role policy forbids silently filling gaps, proceeding-with-uncertainty is legal and auditable, which makes an ask-versus-proceed gate both novel and compliant with the project's own constitution. G2 similarly turns the provisional-weights disclaimer in the reference document from an apology into an experiment: if confidence is compared against stakeholder validation outcomes and reported with a calibration curve, the platform gains a property almost no comparable system publishes.</w:t>
      </w:r>
    </w:p>
    <w:p>
      <w:pPr>
        <w:spacing w:after="140" w:line="312"/>
        <w:jc w:val="left"/>
      </w:pPr>
      <w:r>
        <w:rPr>
          <w:rFonts w:ascii="Times New Roman" w:eastAsia="SimSun"/>
          <w:color w:val="000000"/>
          <w:sz w:val="24"/>
          <w:szCs w:val="24"/>
        </w:rPr>
        <w:t xml:space="preserve">The engineering gaps (G4-G6) are those the analysis report already priced as cheap in Phase 1 and expensive in Phase 6, and nothing in the expansion agenda changes that arithmetic; they are restated here because a roadmap that adds features without restating open infrastructure debt would mislead the team. The evaluation gaps (G7-G9) are the most strategic. G7 is already covered by Action 3 of the analysis action plan and will not be re-argued. G8 is new and matters because the project's positioning sentence claims that integration of controls into one lifecycle is the contribution; an ablation condition that runs the full pipeline against a feature-ablated pipeline (for example, with the ledger, conflict checks, or provenance chips disabled in turn) measures exactly that sentence. G9 does not require statistical power: a qualitative pilot with two or three student teams building their real graduation projects on the platform, with think-aloud sessions and a post-hoc interview, produces the field-evidence chapter that purely synthetic evaluations lack.</w:t>
      </w:r>
    </w:p>
    <w:p>
      <w:pPr>
        <w:spacing w:after="140" w:line="312"/>
        <w:jc w:val="left"/>
      </w:pPr>
      <w:r>
        <w:rPr>
          <w:rFonts w:ascii="Times New Roman" w:eastAsia="SimSun"/>
          <w:color w:val="000000"/>
          <w:sz w:val="24"/>
          <w:szCs w:val="24"/>
        </w:rPr>
        <w:t xml:space="preserve">The scope gaps (G10-G14) define the boundary between the current idea and a broader one. G10 and G11 extend the lifecycle in opposite directions: G10 connects the requirement graph backward to living project context, and G11 connects it forward to verifiable artifacts. G12 and G14 widen the input and experience surfaces respectively, and G13 closes the governance hole that the analysis report's risk R11 exposed. None of these five is required for a defensible thesis, which is why Chapter 7 places them in the second and post-thesis tiers; but all five change what the idea is, and two of them (G11, G14) convert existing novelty claims into demonstrably broader ones. The portfolio that follows is organized around exactly these conversions.</w:t>
      </w:r>
    </w:p>
    <w:p>
      <w:pPr>
        <w:pStyle w:val="Heading1"/>
        <w:keepNext/>
        <w:spacing w:after="180" w:before="400" w:line="312"/>
      </w:pPr>
      <w:bookmarkStart w:id="100004" w:name="_Toc100004"/>
      <w:r>
        <w:rPr>
          <w:rFonts w:ascii="Times New Roman" w:eastAsia="SimHei"/>
          <w:b/>
          <w:bCs/>
          <w:color w:val="0A1628"/>
          <w:sz w:val="32"/>
          <w:szCs w:val="32"/>
        </w:rPr>
        <w:t xml:space="preserve">5. Innovation Portfolio: Fourteen Developments in Four Clusters</w:t>
      </w:r>
      <w:bookmarkEnd w:id="100004"/>
    </w:p>
    <w:p>
      <w:pPr>
        <w:spacing w:after="140" w:line="312"/>
        <w:jc w:val="left"/>
      </w:pPr>
      <w:r>
        <w:rPr>
          <w:rFonts w:ascii="Times New Roman" w:eastAsia="SimSun"/>
          <w:color w:val="000000"/>
          <w:sz w:val="24"/>
          <w:szCs w:val="24"/>
        </w:rPr>
        <w:t xml:space="preserve">This chapter answers the first of the team's questions with a portfolio of fourteen developments, I1-I14, organized into four clusters that correspond to the four verbs of the expansion strategy: deepen, broaden, connect, and make accountable. Each development is documented with its mechanism, its relationship to the existing novelty claims, its expected impact on the thesis, and its effort class (S: up to one person-week; M: one to three person-weeks; L: more than three person-weeks). Table 3 presents the catalog, and Figure 1 positions all fourteen on the impact-effort plane with the adoption tier (defined in Chapter 7) as the color dimension. The portfolio is deliberately biased toward small, mechanism-level additions in the first tier, because the analysis report's central feasibility finding, eighteen to twenty-six weeks of work against a twenty-four-week window, has not changed.</w:t>
      </w:r>
    </w:p>
    <w:p>
      <w:pPr>
        <w:keepNext/>
        <w:spacing w:after="100" w:before="220" w:line="312"/>
      </w:pPr>
      <w:r>
        <w:rPr>
          <w:rFonts w:ascii="Times New Roman" w:eastAsia="SimSun"/>
          <w:b/>
          <w:bCs/>
          <w:color w:val="333333"/>
          <w:sz w:val="21"/>
          <w:szCs w:val="21"/>
        </w:rPr>
        <w:t xml:space="preserve">Table 3: Innovation portfolio catalog (I1-I14)</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615"/>
        <w:gridCol w:w="2988"/>
        <w:gridCol w:w="1494"/>
        <w:gridCol w:w="1845"/>
        <w:gridCol w:w="879"/>
        <w:gridCol w:w="967"/>
      </w:tblGrid>
      <w:tr>
        <w:trPr>
          <w:cantSplit/>
          <w:tblHeader/>
        </w:trPr>
        <w:tc>
          <w:tcPr>
            <w:tcW w:type="pct" w:w="35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ID</w:t>
            </w:r>
          </w:p>
        </w:tc>
        <w:tc>
          <w:tcPr>
            <w:tcW w:type="pct" w:w="170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Development</w:t>
            </w:r>
          </w:p>
        </w:tc>
        <w:tc>
          <w:tcPr>
            <w:tcW w:type="pct" w:w="85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Cluster</w:t>
            </w:r>
          </w:p>
        </w:tc>
        <w:tc>
          <w:tcPr>
            <w:tcW w:type="pct" w:w="105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Builds on</w:t>
            </w:r>
          </w:p>
        </w:tc>
        <w:tc>
          <w:tcPr>
            <w:tcW w:type="pct" w:w="50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Effort</w:t>
            </w:r>
          </w:p>
        </w:tc>
        <w:tc>
          <w:tcPr>
            <w:tcW w:type="pct" w:w="55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Tier</w:t>
            </w:r>
          </w:p>
        </w:tc>
      </w:tr>
      <w:tr>
        <w:trPr>
          <w:cantSplit/>
        </w:trPr>
        <w:tc>
          <w:tcPr>
            <w:tcW w:type="pct" w:w="3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I1</w:t>
            </w:r>
          </w:p>
        </w:tc>
        <w:tc>
          <w:tcPr>
            <w:tcW w:type="pct" w:w="17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Uncertainty-gated questioning: ask-versus-proceed decision policy on top of the utility formula</w:t>
            </w:r>
          </w:p>
        </w:tc>
        <w:tc>
          <w:tcPr>
            <w:tcW w:type="pct" w:w="8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A. Deepen</w:t>
            </w:r>
          </w:p>
        </w:tc>
        <w:tc>
          <w:tcPr>
            <w:tcW w:type="pct" w:w="10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N2, RQ2, human-role policy</w:t>
            </w:r>
          </w:p>
        </w:tc>
        <w:tc>
          <w:tcPr>
            <w:tcW w:type="pct" w:w="5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w:t>
            </w:r>
          </w:p>
        </w:tc>
        <w:tc>
          <w:tcPr>
            <w:tcW w:type="pct" w:w="5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V1</w:t>
            </w:r>
          </w:p>
        </w:tc>
      </w:tr>
      <w:tr>
        <w:trPr>
          <w:cantSplit/>
        </w:trPr>
        <w:tc>
          <w:tcPr>
            <w:tcW w:type="pct" w:w="3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I2</w:t>
            </w:r>
          </w:p>
        </w:tc>
        <w:tc>
          <w:tcPr>
            <w:tcW w:type="pct" w:w="17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Confidence calibration study with calibration curves against stakeholder validation outcomes</w:t>
            </w:r>
          </w:p>
        </w:tc>
        <w:tc>
          <w:tcPr>
            <w:tcW w:type="pct" w:w="8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A. Deepen</w:t>
            </w:r>
          </w:p>
        </w:tc>
        <w:tc>
          <w:tcPr>
            <w:tcW w:type="pct" w:w="10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N1, N4, RQ3</w:t>
            </w:r>
          </w:p>
        </w:tc>
        <w:tc>
          <w:tcPr>
            <w:tcW w:type="pct" w:w="5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S</w:t>
            </w:r>
          </w:p>
        </w:tc>
        <w:tc>
          <w:tcPr>
            <w:tcW w:type="pct" w:w="5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V1</w:t>
            </w:r>
          </w:p>
        </w:tc>
      </w:tr>
      <w:tr>
        <w:trPr>
          <w:cantSplit/>
        </w:trPr>
        <w:tc>
          <w:tcPr>
            <w:tcW w:type="pct" w:w="3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I3</w:t>
            </w:r>
          </w:p>
        </w:tc>
        <w:tc>
          <w:tcPr>
            <w:tcW w:type="pct" w:w="17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Critic-verifier loop: second-pass verification of extractions against evidence spans</w:t>
            </w:r>
          </w:p>
        </w:tc>
        <w:tc>
          <w:tcPr>
            <w:tcW w:type="pct" w:w="8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A. Deepen</w:t>
            </w:r>
          </w:p>
        </w:tc>
        <w:tc>
          <w:tcPr>
            <w:tcW w:type="pct" w:w="10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Hallucination control 6, RQ1</w:t>
            </w:r>
          </w:p>
        </w:tc>
        <w:tc>
          <w:tcPr>
            <w:tcW w:type="pct" w:w="5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w:t>
            </w:r>
          </w:p>
        </w:tc>
        <w:tc>
          <w:tcPr>
            <w:tcW w:type="pct" w:w="5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V1</w:t>
            </w:r>
          </w:p>
        </w:tc>
      </w:tr>
      <w:tr>
        <w:trPr>
          <w:cantSplit/>
        </w:trPr>
        <w:tc>
          <w:tcPr>
            <w:tcW w:type="pct" w:w="3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I4</w:t>
            </w:r>
          </w:p>
        </w:tc>
        <w:tc>
          <w:tcPr>
            <w:tcW w:type="pct" w:w="17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Cross-project learning memory: question-outcome memory and reusable domain glossaries</w:t>
            </w:r>
          </w:p>
        </w:tc>
        <w:tc>
          <w:tcPr>
            <w:tcW w:type="pct" w:w="8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A. Deepen</w:t>
            </w:r>
          </w:p>
        </w:tc>
        <w:tc>
          <w:tcPr>
            <w:tcW w:type="pct" w:w="10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Glossary engine (sec. 63)</w:t>
            </w:r>
          </w:p>
        </w:tc>
        <w:tc>
          <w:tcPr>
            <w:tcW w:type="pct" w:w="5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w:t>
            </w:r>
          </w:p>
        </w:tc>
        <w:tc>
          <w:tcPr>
            <w:tcW w:type="pct" w:w="5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Future</w:t>
            </w:r>
          </w:p>
        </w:tc>
      </w:tr>
      <w:tr>
        <w:trPr>
          <w:cantSplit/>
        </w:trPr>
        <w:tc>
          <w:tcPr>
            <w:tcW w:type="pct" w:w="3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I5</w:t>
            </w:r>
          </w:p>
        </w:tc>
        <w:tc>
          <w:tcPr>
            <w:tcW w:type="pct" w:w="17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Multimodal evidence intake: meeting transcripts, document upload, whiteboard OCR</w:t>
            </w:r>
          </w:p>
        </w:tc>
        <w:tc>
          <w:tcPr>
            <w:tcW w:type="pct" w:w="8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B. Broaden</w:t>
            </w:r>
          </w:p>
        </w:tc>
        <w:tc>
          <w:tcPr>
            <w:tcW w:type="pct" w:w="10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Evidence object schema</w:t>
            </w:r>
          </w:p>
        </w:tc>
        <w:tc>
          <w:tcPr>
            <w:tcW w:type="pct" w:w="5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M</w:t>
            </w:r>
          </w:p>
        </w:tc>
        <w:tc>
          <w:tcPr>
            <w:tcW w:type="pct" w:w="5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V2</w:t>
            </w:r>
          </w:p>
        </w:tc>
      </w:tr>
      <w:tr>
        <w:trPr>
          <w:cantSplit/>
        </w:trPr>
        <w:tc>
          <w:tcPr>
            <w:tcW w:type="pct" w:w="3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I6</w:t>
            </w:r>
          </w:p>
        </w:tc>
        <w:tc>
          <w:tcPr>
            <w:tcW w:type="pct" w:w="17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Arabic-first interaction layer: dialect normalization, RTL elicitation, Arabic ambiguity lexicon</w:t>
            </w:r>
          </w:p>
        </w:tc>
        <w:tc>
          <w:tcPr>
            <w:tcW w:type="pct" w:w="8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B. Broaden</w:t>
            </w:r>
          </w:p>
        </w:tc>
        <w:tc>
          <w:tcPr>
            <w:tcW w:type="pct" w:w="10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N7, evidence schema</w:t>
            </w:r>
          </w:p>
        </w:tc>
        <w:tc>
          <w:tcPr>
            <w:tcW w:type="pct" w:w="5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w:t>
            </w:r>
          </w:p>
        </w:tc>
        <w:tc>
          <w:tcPr>
            <w:tcW w:type="pct" w:w="5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V2</w:t>
            </w:r>
          </w:p>
        </w:tc>
      </w:tr>
      <w:tr>
        <w:trPr>
          <w:cantSplit/>
        </w:trPr>
        <w:tc>
          <w:tcPr>
            <w:tcW w:type="pct" w:w="3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I7</w:t>
            </w:r>
          </w:p>
        </w:tc>
        <w:tc>
          <w:tcPr>
            <w:tcW w:type="pct" w:w="17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Synthetic stakeholder wind tunnel: persona-conditioned simulator with held-out secrets</w:t>
            </w:r>
          </w:p>
        </w:tc>
        <w:tc>
          <w:tcPr>
            <w:tcW w:type="pct" w:w="8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B. Broaden</w:t>
            </w:r>
          </w:p>
        </w:tc>
        <w:tc>
          <w:tcPr>
            <w:tcW w:type="pct" w:w="10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Simulator (sec. 45), RQ2</w:t>
            </w:r>
          </w:p>
        </w:tc>
        <w:tc>
          <w:tcPr>
            <w:tcW w:type="pct" w:w="5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w:t>
            </w:r>
          </w:p>
        </w:tc>
        <w:tc>
          <w:tcPr>
            <w:tcW w:type="pct" w:w="5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V1</w:t>
            </w:r>
          </w:p>
        </w:tc>
      </w:tr>
      <w:tr>
        <w:trPr>
          <w:cantSplit/>
        </w:trPr>
        <w:tc>
          <w:tcPr>
            <w:tcW w:type="pct" w:w="3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I8</w:t>
            </w:r>
          </w:p>
        </w:tc>
        <w:tc>
          <w:tcPr>
            <w:tcW w:type="pct" w:w="17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Continuous requirements sync: bidirectional tracker integration with drift detection</w:t>
            </w:r>
          </w:p>
        </w:tc>
        <w:tc>
          <w:tcPr>
            <w:tcW w:type="pct" w:w="8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C. Connect</w:t>
            </w:r>
          </w:p>
        </w:tc>
        <w:tc>
          <w:tcPr>
            <w:tcW w:type="pct" w:w="10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N8, change-impact engine</w:t>
            </w:r>
          </w:p>
        </w:tc>
        <w:tc>
          <w:tcPr>
            <w:tcW w:type="pct" w:w="5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L</w:t>
            </w:r>
          </w:p>
        </w:tc>
        <w:tc>
          <w:tcPr>
            <w:tcW w:type="pct" w:w="5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Future</w:t>
            </w:r>
          </w:p>
        </w:tc>
      </w:tr>
      <w:tr>
        <w:trPr>
          <w:cantSplit/>
        </w:trPr>
        <w:tc>
          <w:tcPr>
            <w:tcW w:type="pct" w:w="3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I9</w:t>
            </w:r>
          </w:p>
        </w:tc>
        <w:tc>
          <w:tcPr>
            <w:tcW w:type="pct" w:w="17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Verifiable downstream artifacts: acceptance criteria to Gherkin to executable test skeletons</w:t>
            </w:r>
          </w:p>
        </w:tc>
        <w:tc>
          <w:tcPr>
            <w:tcW w:type="pct" w:w="8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C. Connect</w:t>
            </w:r>
          </w:p>
        </w:tc>
        <w:tc>
          <w:tcPr>
            <w:tcW w:type="pct" w:w="10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N8, story stage</w:t>
            </w:r>
          </w:p>
        </w:tc>
        <w:tc>
          <w:tcPr>
            <w:tcW w:type="pct" w:w="5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M</w:t>
            </w:r>
          </w:p>
        </w:tc>
        <w:tc>
          <w:tcPr>
            <w:tcW w:type="pct" w:w="5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V2</w:t>
            </w:r>
          </w:p>
        </w:tc>
      </w:tr>
      <w:tr>
        <w:trPr>
          <w:cantSplit/>
        </w:trPr>
        <w:tc>
          <w:tcPr>
            <w:tcW w:type="pct" w:w="3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I10</w:t>
            </w:r>
          </w:p>
        </w:tc>
        <w:tc>
          <w:tcPr>
            <w:tcW w:type="pct" w:w="17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MCP requirement server exposing the requirement graph to coding agents</w:t>
            </w:r>
          </w:p>
        </w:tc>
        <w:tc>
          <w:tcPr>
            <w:tcW w:type="pct" w:w="8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C. Connect</w:t>
            </w:r>
          </w:p>
        </w:tc>
        <w:tc>
          <w:tcPr>
            <w:tcW w:type="pct" w:w="10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Sections 91-92</w:t>
            </w:r>
          </w:p>
        </w:tc>
        <w:tc>
          <w:tcPr>
            <w:tcW w:type="pct" w:w="5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w:t>
            </w:r>
          </w:p>
        </w:tc>
        <w:tc>
          <w:tcPr>
            <w:tcW w:type="pct" w:w="5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V2</w:t>
            </w:r>
          </w:p>
        </w:tc>
      </w:tr>
      <w:tr>
        <w:trPr>
          <w:cantSplit/>
        </w:trPr>
        <w:tc>
          <w:tcPr>
            <w:tcW w:type="pct" w:w="3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I11</w:t>
            </w:r>
          </w:p>
        </w:tc>
        <w:tc>
          <w:tcPr>
            <w:tcW w:type="pct" w:w="17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Compliance and NFR constraint packs checked against the requirement graph</w:t>
            </w:r>
          </w:p>
        </w:tc>
        <w:tc>
          <w:tcPr>
            <w:tcW w:type="pct" w:w="8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C. Connect</w:t>
            </w:r>
          </w:p>
        </w:tc>
        <w:tc>
          <w:tcPr>
            <w:tcW w:type="pct" w:w="10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Authority-aware retrieval</w:t>
            </w:r>
          </w:p>
        </w:tc>
        <w:tc>
          <w:tcPr>
            <w:tcW w:type="pct" w:w="5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M</w:t>
            </w:r>
          </w:p>
        </w:tc>
        <w:tc>
          <w:tcPr>
            <w:tcW w:type="pct" w:w="5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Future</w:t>
            </w:r>
          </w:p>
        </w:tc>
      </w:tr>
      <w:tr>
        <w:trPr>
          <w:cantSplit/>
        </w:trPr>
        <w:tc>
          <w:tcPr>
            <w:tcW w:type="pct" w:w="3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I12</w:t>
            </w:r>
          </w:p>
        </w:tc>
        <w:tc>
          <w:tcPr>
            <w:tcW w:type="pct" w:w="17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Decision journal and audit export for every human-in-the-loop action</w:t>
            </w:r>
          </w:p>
        </w:tc>
        <w:tc>
          <w:tcPr>
            <w:tcW w:type="pct" w:w="8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D. Accountable</w:t>
            </w:r>
          </w:p>
        </w:tc>
        <w:tc>
          <w:tcPr>
            <w:tcW w:type="pct" w:w="10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Artifact snapshots</w:t>
            </w:r>
          </w:p>
        </w:tc>
        <w:tc>
          <w:tcPr>
            <w:tcW w:type="pct" w:w="5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S</w:t>
            </w:r>
          </w:p>
        </w:tc>
        <w:tc>
          <w:tcPr>
            <w:tcW w:type="pct" w:w="5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V1</w:t>
            </w:r>
          </w:p>
        </w:tc>
      </w:tr>
      <w:tr>
        <w:trPr>
          <w:cantSplit/>
        </w:trPr>
        <w:tc>
          <w:tcPr>
            <w:tcW w:type="pct" w:w="3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I13</w:t>
            </w:r>
          </w:p>
        </w:tc>
        <w:tc>
          <w:tcPr>
            <w:tcW w:type="pct" w:w="17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Cost and latency observatory: per-requirement cost accounting and model routing</w:t>
            </w:r>
          </w:p>
        </w:tc>
        <w:tc>
          <w:tcPr>
            <w:tcW w:type="pct" w:w="8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D. Accountable</w:t>
            </w:r>
          </w:p>
        </w:tc>
        <w:tc>
          <w:tcPr>
            <w:tcW w:type="pct" w:w="10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Section 82, R2</w:t>
            </w:r>
          </w:p>
        </w:tc>
        <w:tc>
          <w:tcPr>
            <w:tcW w:type="pct" w:w="5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w:t>
            </w:r>
          </w:p>
        </w:tc>
        <w:tc>
          <w:tcPr>
            <w:tcW w:type="pct" w:w="5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V1</w:t>
            </w:r>
          </w:p>
        </w:tc>
      </w:tr>
      <w:tr>
        <w:trPr>
          <w:cantSplit/>
        </w:trPr>
        <w:tc>
          <w:tcPr>
            <w:tcW w:type="pct" w:w="3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I14</w:t>
            </w:r>
          </w:p>
        </w:tc>
        <w:tc>
          <w:tcPr>
            <w:tcW w:type="pct" w:w="17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Auto-generated requirements health report (SRS, debt, uncertainty, conflict digest)</w:t>
            </w:r>
          </w:p>
        </w:tc>
        <w:tc>
          <w:tcPr>
            <w:tcW w:type="pct" w:w="8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D. Accountable</w:t>
            </w:r>
          </w:p>
        </w:tc>
        <w:tc>
          <w:tcPr>
            <w:tcW w:type="pct" w:w="10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N5, dashboard</w:t>
            </w:r>
          </w:p>
        </w:tc>
        <w:tc>
          <w:tcPr>
            <w:tcW w:type="pct" w:w="5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S</w:t>
            </w:r>
          </w:p>
        </w:tc>
        <w:tc>
          <w:tcPr>
            <w:tcW w:type="pct" w:w="5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V2</w:t>
            </w:r>
          </w:p>
        </w:tc>
      </w:tr>
    </w:tbl>
    <w:p>
      <w:pPr>
        <w:keepNext/>
        <w:spacing w:after="80" w:before="240"/>
        <w:jc w:val="center"/>
      </w:pPr>
      <w:r>
        <w:drawing>
          <wp:inline distT="0" distB="0" distL="0" distR="0">
            <wp:extent cx="5191125"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91125" cy="3429000"/>
                    </a:xfrm>
                    <a:prstGeom prst="rect">
                      <a:avLst/>
                    </a:prstGeom>
                  </pic:spPr>
                </pic:pic>
              </a:graphicData>
            </a:graphic>
          </wp:inline>
        </w:drawing>
      </w:r>
    </w:p>
    <w:p>
      <w:pPr>
        <w:spacing w:after="240" w:line="276"/>
        <w:jc w:val="center"/>
      </w:pPr>
      <w:r>
        <w:rPr>
          <w:rFonts w:ascii="Times New Roman" w:eastAsia="SimSun"/>
          <w:i/>
          <w:iCs/>
          <w:color w:val="555555"/>
          <w:sz w:val="20"/>
          <w:szCs w:val="20"/>
        </w:rPr>
        <w:t xml:space="preserve">Figure 1: Innovation portfolio map. Fourteen developments positioned by expected thesis impact and effort class; color indicates the adoption tier defined in Chapter 7</w:t>
      </w:r>
    </w:p>
    <w:p>
      <w:pPr>
        <w:spacing w:after="140" w:line="312"/>
        <w:jc w:val="left"/>
      </w:pPr>
      <w:r>
        <w:rPr>
          <w:rFonts w:ascii="Times New Roman" w:eastAsia="SimSun"/>
          <w:color w:val="000000"/>
          <w:sz w:val="24"/>
          <w:szCs w:val="24"/>
        </w:rPr>
        <w:t xml:space="preserve">Cluster A deepens the science around the platform's strongest existing asset, the question-selection mechanism. I1 adds the decision layer that G1 shows to be missing: before any candidate question is issued, a deterministic gate compares the expected cost of asking (stakeholder effort, interruption, latency) with the expected cost of proceeding (residual ambiguity propagated into downstream artifacts, made concrete by the same dependency fan-out argument the reference document uses for impact weighting). The gate's decisions are logged with their inputs, which produces a new measurable behavior and a natural eighth research question: does uncertainty-gated questioning achieve the same coverage with fewer interruptions than always-ask policies, and at what accuracy cost. I2 then makes the platform's confidence numbers honest by comparing predicted confidence against observed validation outcomes and reporting calibration error; I3 operationalizes the reference document's cross-agent verification control as a critic pass that re-derives each extraction from its cited spans and records the disagreement rate, giving RQ1 a second, model-independent error signal; and I4, deferred beyond the thesis, turns the glossary engine into a learning loop so that the platform improves across projects rather than within them.</w:t>
      </w:r>
    </w:p>
    <w:p>
      <w:pPr>
        <w:spacing w:after="140" w:line="312"/>
        <w:jc w:val="left"/>
      </w:pPr>
      <w:r>
        <w:rPr>
          <w:rFonts w:ascii="Times New Roman" w:eastAsia="SimSun"/>
          <w:color w:val="000000"/>
          <w:sz w:val="24"/>
          <w:szCs w:val="24"/>
        </w:rPr>
        <w:t xml:space="preserve">Cluster B widens what counts as evidence and who the platform serves. I5 extends intake beyond typed chat to the artifacts where stakeholder conversations actually happen: imported meeting transcripts (which the platform already handles as text), uploaded specification documents, and photographed whiteboards processed by OCR into candidate evidence, all entering the same provenance schema with their source type recorded, so the evidence-first model is exercised rather than widened in principle only. I6 is the most strategically valuable item in the cluster: it converts the Arabic contribution from a benchmark into a language capability by adding a dialect-normalization layer, an Arabic ambiguity lexicon, a right-to-left elicitation interface, and a systematic MSA-versus-dialect error analysis, thereby answering risk R6 (Arabic claims broader than the evidence) by making the platform itself do the work it claims. I7 upgrades the synthetic stakeholder simulator from an evaluation convenience into a stress-testing instrument: persona-conditioned simulated stakeholders hold private facts and constraints that the interviewer must surface, enabling unlimited cheap interviews for policy comparison (I1's experiments depend on this) while the persona-secret protocol, in which the simulator's model never sees the private facts it is asked to reveal, keeps the shared-model bias of risk R3 in check.</w:t>
      </w:r>
    </w:p>
    <w:p>
      <w:pPr>
        <w:spacing w:after="140" w:line="312"/>
        <w:jc w:val="left"/>
      </w:pPr>
      <w:r>
        <w:rPr>
          <w:rFonts w:ascii="Times New Roman" w:eastAsia="SimSun"/>
          <w:color w:val="000000"/>
          <w:sz w:val="24"/>
          <w:szCs w:val="24"/>
        </w:rPr>
        <w:t xml:space="preserve">Cluster C connects the platform to the software lifecycle that requirements are supposed to govern, and it is where the idea becomes genuinely broader rather than merely deeper. I8 realizes the living-requirements vision: a bidirectional sync with an issue tracker in which validated requirements create tracked issues, and, in the reverse direction, drift detection alerts when an implementation or stakeholder decision moves away from its requirement, extending the change-impact engine beyond the platform boundary; it is a large effort and is scheduled beyond the thesis, with the MCP server (I10) as its minimal, high-value predecessor. I10 implements the tool interface the reference document already specified in its sections 91 and 92, exposing get-requirement, get-impact, and get-open-ambiguities tools so that a coding agent consults the approved requirement graph instead of a stale prompt; it is modest work with outsized demonstration value, because an agent answering from governed requirements is exactly the single-source-of-truth story the document wants to tell. I9 closes the verifiability gap G11 by generating Gherkin scenarios from approved acceptance criteria and executable test skeletons from those scenarios, which gives the downstream direction something no other RE system in the benchmark offers: artifacts whose correctness is checkable by running them. I11 packages non-functional governance as authority-scored constraint packs (privacy, accessibility, security baselines) that the graph is checked against on every change, reusing the authority-aware retrieval mechanism the reference document already designed.</w:t>
      </w:r>
    </w:p>
    <w:p>
      <w:pPr>
        <w:spacing w:after="140" w:line="312"/>
        <w:jc w:val="left"/>
      </w:pPr>
      <w:r>
        <w:rPr>
          <w:rFonts w:ascii="Times New Roman" w:eastAsia="SimSun"/>
          <w:color w:val="000000"/>
          <w:sz w:val="24"/>
          <w:szCs w:val="24"/>
        </w:rPr>
        <w:t xml:space="preserve">Cluster D makes the platform's accountability claims demonstrable, which matters because accountability is the project's ethical differentiator but currently exists mostly as policy text. I12 persists every human-in-the-loop action (approvals, rejections, ambiguity resolutions, conflict settlements, descopes) with actor, timestamp, rationale, and diff into an exportable decision journal, converting the artifact-snapshot mechanism the MVP already has into the audit trail the formal problem statement promises. I13 instruments every agent call with cost and latency accounting and adds model routing (a small model for classification-grade tasks, the strong model for analysis), turning risk R2 from a worry into a measured engineering result and enabling the cost-per-accepted-requirement metric that no baseline in the reference document reports. I14 generates the requirements health report, a continuously regenerating document combining the validated SRS, the debt score, the uncertainty distribution, and the conflict digest, which simultaneously serves teams, supervisors, and the living-document claim of the repositioning in Chapter 6. One portfolio-level observation closes the chapter: seven of the fourteen developments are effort class S, and every one of those seven either hardens an existing novelty claim or closes a named gap from Chapter 4, which is the cheapest ratio of breadth gained to risk added available to this project.</w:t>
      </w:r>
    </w:p>
    <w:p>
      <w:pPr>
        <w:pStyle w:val="Heading1"/>
        <w:keepNext/>
        <w:spacing w:after="180" w:before="400" w:line="312"/>
      </w:pPr>
      <w:bookmarkStart w:id="100005" w:name="_Toc100005"/>
      <w:r>
        <w:rPr>
          <w:rFonts w:ascii="Times New Roman" w:eastAsia="SimHei"/>
          <w:b/>
          <w:bCs/>
          <w:color w:val="0A1628"/>
          <w:sz w:val="32"/>
          <w:szCs w:val="32"/>
        </w:rPr>
        <w:t xml:space="preserve">6. Strategic Modifications: Repositioning for Breadth Without Scope Explosion</w:t>
      </w:r>
      <w:bookmarkEnd w:id="100005"/>
    </w:p>
    <w:p>
      <w:pPr>
        <w:spacing w:after="140" w:line="312"/>
        <w:jc w:val="left"/>
      </w:pPr>
      <w:r>
        <w:rPr>
          <w:rFonts w:ascii="Times New Roman" w:eastAsia="SimSun"/>
          <w:color w:val="000000"/>
          <w:sz w:val="24"/>
          <w:szCs w:val="24"/>
        </w:rPr>
        <w:t xml:space="preserve">Additions alone do not make an idea broader; framing does. This chapter proposes five strategic modifications, M1-M5, that change how the project presents and organizes itself. Each modification is described with what changes, what it costs, and what it buys, and Table 4 summarizes the set. The common principle is that the reference document already contains the raw material for each repositioning; the modifications re-sequence and re-label that material into a structure that is wider in claim and no wider in commitment, which is the only kind of breadth a twenty-four-week project can afford.</w:t>
      </w:r>
    </w:p>
    <w:p>
      <w:pPr>
        <w:pStyle w:val="Heading2"/>
        <w:keepNext/>
        <w:spacing w:after="130" w:before="280" w:line="312"/>
      </w:pPr>
      <w:bookmarkStart w:id="100006" w:name="_Toc100006"/>
      <w:r>
        <w:rPr>
          <w:rFonts w:ascii="Times New Roman" w:eastAsia="SimHei"/>
          <w:b/>
          <w:bCs/>
          <w:color w:val="14424E"/>
          <w:sz w:val="28"/>
          <w:szCs w:val="28"/>
        </w:rPr>
        <w:t xml:space="preserve">M1. Consolidate ten contributions into three flagship claims</w:t>
      </w:r>
      <w:bookmarkEnd w:id="100006"/>
    </w:p>
    <w:p>
      <w:pPr>
        <w:spacing w:after="140" w:line="312"/>
        <w:jc w:val="left"/>
      </w:pPr>
      <w:r>
        <w:rPr>
          <w:rFonts w:ascii="Times New Roman" w:eastAsia="SimSun"/>
          <w:color w:val="000000"/>
          <w:sz w:val="24"/>
          <w:szCs w:val="24"/>
        </w:rPr>
        <w:t xml:space="preserve">The current contribution structure, ten labeled novelties, is honest but strategically diffuse: it invites the committee to evaluate ten claims when three would be stronger. The modification is to reorganize the narrative into three flagship contributions, each an umbrella with named sub-mechanisms. Flagship one, uncertainty-aware interviewing, absorbs N2, N3, and the new ask-versus-proceed gate (I1) into a single claim: the platform decides whether and what to ask in order to reduce requirement uncertainty most efficiently. Flagship two, language-inclusive requirements engineering, absorbs N7 and the Arabic-first layer (I6): the platform and its benchmark together make requirements work in Egyptian Arabic and code-switched conversation first-class rather than translated afterthoughts. Flagship three, the evidence-provenance lifecycle, absorbs N1, N4, N5, N6, N8, and N10 into one auditable-lifecycle claim whose value is demonstrated by the integration-isolation condition of M5. The cost is a rewriting day and a committee-briefing update; the purchase is a viva story with three defensible pillars instead of ten arguable ones, and a defensible answer to the classic question, what is the one thing this thesis contributes.</w:t>
      </w:r>
    </w:p>
    <w:p>
      <w:pPr>
        <w:pStyle w:val="Heading2"/>
        <w:keepNext/>
        <w:spacing w:after="130" w:before="280" w:line="312"/>
      </w:pPr>
      <w:bookmarkStart w:id="100007" w:name="_Toc100007"/>
      <w:r>
        <w:rPr>
          <w:rFonts w:ascii="Times New Roman" w:eastAsia="SimHei"/>
          <w:b/>
          <w:bCs/>
          <w:color w:val="14424E"/>
          <w:sz w:val="28"/>
          <w:szCs w:val="28"/>
        </w:rPr>
        <w:t xml:space="preserve">M2. From one-shot elicitation to a continuous requirements lifecycle</w:t>
      </w:r>
      <w:bookmarkEnd w:id="100007"/>
    </w:p>
    <w:p>
      <w:pPr>
        <w:spacing w:after="140" w:line="312"/>
        <w:jc w:val="left"/>
      </w:pPr>
      <w:r>
        <w:rPr>
          <w:rFonts w:ascii="Times New Roman" w:eastAsia="SimSun"/>
          <w:color w:val="000000"/>
          <w:sz w:val="24"/>
          <w:szCs w:val="24"/>
        </w:rPr>
        <w:t xml:space="preserve">The platform currently treats requirements as an artifact produced during an interview phase and exported at the end. The modification repositions the same system as the requirements layer of the whole development lifecycle: elicitation is the entry point, but the validated graph, the uncertainty ledger, the debt score, and the change-impact engine are continuously consulted and updated as implementation proceeds. Nothing in the core build changes to make this claim; what changes is that the MCP server (I10), the health report (I14), and the tracker-sync direction of I8 are sequenced so that a live connection from platform to development work exists by the end of the window. The cost is roughly the effort already budgeted for I10 plus integration polish; the purchase is a positioning sentence that spans the SDLC instead of stopping at handoff, a demonstrable answer to what happens after the interview, and a natural home for the descope ladder, because tracker sync is the outermost layer and can be cut without touching the research core.</w:t>
      </w:r>
    </w:p>
    <w:p>
      <w:pPr>
        <w:pStyle w:val="Heading2"/>
        <w:keepNext/>
        <w:spacing w:after="130" w:before="280" w:line="312"/>
      </w:pPr>
      <w:bookmarkStart w:id="100008" w:name="_Toc100008"/>
      <w:r>
        <w:rPr>
          <w:rFonts w:ascii="Times New Roman" w:eastAsia="SimHei"/>
          <w:b/>
          <w:bCs/>
          <w:color w:val="14424E"/>
          <w:sz w:val="28"/>
          <w:szCs w:val="28"/>
        </w:rPr>
        <w:t xml:space="preserve">M3. From solo agent to a small verified agent society</w:t>
      </w:r>
      <w:bookmarkEnd w:id="100008"/>
    </w:p>
    <w:p>
      <w:pPr>
        <w:spacing w:after="140" w:line="312"/>
        <w:jc w:val="left"/>
      </w:pPr>
      <w:r>
        <w:rPr>
          <w:rFonts w:ascii="Times New Roman" w:eastAsia="SimSun"/>
          <w:color w:val="000000"/>
          <w:sz w:val="24"/>
          <w:szCs w:val="24"/>
        </w:rPr>
        <w:t xml:space="preserve">The reference document prescribes ten agent responsibilities and the MVP consolidates them into one pipeline; the modification lands deliberately in between. A three-role topology is proposed: the analyst (extraction, ambiguity, stories), the critic (I3's verification pass plus conflict and consistency checks), and the supervisor (the state machine plus the I1 gate and the human-approval policy). The critic is the only genuinely new role, and its value is measured: the disagreement rate between analyst and critic becomes a published metric and a trigger for human review, which simultaneously answers the reference document's own risk of an agent swarm without measurable benefit, because each added role carries a number. The cost is one additional model call per extraction, priced and monitored by I13; the purchase is a defense-ready answer to why not just one prompt, an architectural embodiment of the propose-verify principle the document already states, and a measurable hallucination control that strengthens RQ1 without new annotation work.</w:t>
      </w:r>
    </w:p>
    <w:p>
      <w:pPr>
        <w:pStyle w:val="Heading2"/>
        <w:keepNext/>
        <w:spacing w:after="130" w:before="280" w:line="312"/>
      </w:pPr>
      <w:bookmarkStart w:id="100009" w:name="_Toc100009"/>
      <w:r>
        <w:rPr>
          <w:rFonts w:ascii="Times New Roman" w:eastAsia="SimHei"/>
          <w:b/>
          <w:bCs/>
          <w:color w:val="14424E"/>
          <w:sz w:val="28"/>
          <w:szCs w:val="28"/>
        </w:rPr>
        <w:t xml:space="preserve">M4. From system to platform assets: release the benchmark, the harness, and the server</w:t>
      </w:r>
      <w:bookmarkEnd w:id="100009"/>
    </w:p>
    <w:p>
      <w:pPr>
        <w:spacing w:after="140" w:line="312"/>
        <w:jc w:val="left"/>
      </w:pPr>
      <w:r>
        <w:rPr>
          <w:rFonts w:ascii="Times New Roman" w:eastAsia="SimSun"/>
          <w:color w:val="000000"/>
          <w:sz w:val="24"/>
          <w:szCs w:val="24"/>
        </w:rPr>
        <w:t xml:space="preserve">The project's most publishable artifacts, the four-condition Arabic benchmark, the evaluation harness with its error taxonomy, and the MCP tool interface, are currently framed as internal evaluation infrastructure. The modification treats them as releasable community assets: the benchmark is published with its annotation guidelines and a scoring harness, the harness is open-sourced with configuration files for each baseline, and the MCP server ships with a documented tool contract. This costs licensing hygiene and roughly a week of packaging inside effort already budgeted for Actions 6 and 12 of the analysis action plan. It buys three things: citation pressure in the Arabic NLP community where conversation-level requirement resources are absent; external validation pressure that disciplines the team's own numbers; and a positioning shift from a graduation project to the seed of a standard, which is the strongest form of breadth a platform can claim. The reference document's own advice to release benchmark and code where licensing permits is followed here, with the addition that the release is scheduled, not aspirational.</w:t>
      </w:r>
    </w:p>
    <w:p>
      <w:pPr>
        <w:pStyle w:val="Heading2"/>
        <w:keepNext/>
        <w:spacing w:after="130" w:before="280" w:line="312"/>
      </w:pPr>
      <w:bookmarkStart w:id="100010" w:name="_Toc100010"/>
      <w:r>
        <w:rPr>
          <w:rFonts w:ascii="Times New Roman" w:eastAsia="SimHei"/>
          <w:b/>
          <w:bCs/>
          <w:color w:val="14424E"/>
          <w:sz w:val="28"/>
          <w:szCs w:val="28"/>
        </w:rPr>
        <w:t xml:space="preserve">M5. Upgrade the evaluation contract</w:t>
      </w:r>
      <w:bookmarkEnd w:id="100010"/>
    </w:p>
    <w:p>
      <w:pPr>
        <w:spacing w:after="140" w:line="312"/>
        <w:jc w:val="left"/>
      </w:pPr>
      <w:r>
        <w:rPr>
          <w:rFonts w:ascii="Times New Roman" w:eastAsia="SimSun"/>
          <w:color w:val="000000"/>
          <w:sz w:val="24"/>
          <w:szCs w:val="24"/>
        </w:rPr>
        <w:t xml:space="preserve">The evaluation design is already the project's strongest dimension; the modification extends it in four inexpensive ways so that it covers what the expanded project will claim. First, add an eighth research question for the ask-versus-proceed gate (coverage at equal or fewer interruptions, with the accuracy cost of proceeding stated explicitly), pre-registered before the gate exists. Second, add the integration-isolation condition demanded by gap G8: the full pipeline compared against ablated variants (no ledger, no conflict checks, no provenance surfacing) on coverage, unsupported-requirement rate, and human trust, converting the positioning sentence into a testable claim. Third, pre-register the whole package, hypotheses, cells, sample sizes, seeds, IAA targets, and analysis plan, in a dated document signed by the supervisor before Phase 3, following Action 3 of the analysis plan. Fourth, run the small qualitative field pilot of G9: two or three teams use the platform on their real projects for one sprint, with think-aloud observation and a structured debrief. The combined cost is planning discipline plus roughly two person-weeks of harness work; the purchase is an evaluation chapter that no committee in this cohort can accuse of measuring only what the system was built to do.</w:t>
      </w:r>
    </w:p>
    <w:p>
      <w:pPr>
        <w:keepNext/>
        <w:spacing w:after="100" w:before="220" w:line="312"/>
      </w:pPr>
      <w:r>
        <w:rPr>
          <w:rFonts w:ascii="Times New Roman" w:eastAsia="SimSun"/>
          <w:b/>
          <w:bCs/>
          <w:color w:val="333333"/>
          <w:sz w:val="21"/>
          <w:szCs w:val="21"/>
        </w:rPr>
        <w:t xml:space="preserve">Table 4: Strategic modifications summary (M1-M5)</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703"/>
        <w:gridCol w:w="2812"/>
        <w:gridCol w:w="2373"/>
        <w:gridCol w:w="2900"/>
      </w:tblGrid>
      <w:tr>
        <w:trPr>
          <w:cantSplit/>
          <w:tblHeader/>
        </w:trPr>
        <w:tc>
          <w:tcPr>
            <w:tcW w:type="pct" w:w="40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ID</w:t>
            </w:r>
          </w:p>
        </w:tc>
        <w:tc>
          <w:tcPr>
            <w:tcW w:type="pct" w:w="160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Modification</w:t>
            </w:r>
          </w:p>
        </w:tc>
        <w:tc>
          <w:tcPr>
            <w:tcW w:type="pct" w:w="135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Cost</w:t>
            </w:r>
          </w:p>
        </w:tc>
        <w:tc>
          <w:tcPr>
            <w:tcW w:type="pct" w:w="165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Primary purchase</w:t>
            </w:r>
          </w:p>
        </w:tc>
      </w:tr>
      <w:tr>
        <w:trPr>
          <w:cantSplit/>
        </w:trPr>
        <w:tc>
          <w:tcPr>
            <w:tcW w:type="pct" w:w="4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M1</w:t>
            </w:r>
          </w:p>
        </w:tc>
        <w:tc>
          <w:tcPr>
            <w:tcW w:type="pct" w:w="16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Ten contributions reorganized into three flagship claims</w:t>
            </w:r>
          </w:p>
        </w:tc>
        <w:tc>
          <w:tcPr>
            <w:tcW w:type="pct" w:w="13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One rewriting day; updated briefing materials</w:t>
            </w:r>
          </w:p>
        </w:tc>
        <w:tc>
          <w:tcPr>
            <w:tcW w:type="pct" w:w="16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A sharper viva narrative; a defensible one-sentence contribution</w:t>
            </w:r>
          </w:p>
        </w:tc>
      </w:tr>
      <w:tr>
        <w:trPr>
          <w:cantSplit/>
        </w:trPr>
        <w:tc>
          <w:tcPr>
            <w:tcW w:type="pct" w:w="4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M2</w:t>
            </w:r>
          </w:p>
        </w:tc>
        <w:tc>
          <w:tcPr>
            <w:tcW w:type="pct" w:w="16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Reposition as a continuous requirements lifecycle layer</w:t>
            </w:r>
          </w:p>
        </w:tc>
        <w:tc>
          <w:tcPr>
            <w:tcW w:type="pct" w:w="13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I10 plus integration polish; no core rework</w:t>
            </w:r>
          </w:p>
        </w:tc>
        <w:tc>
          <w:tcPr>
            <w:tcW w:type="pct" w:w="16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SDLC-spanning positioning; an answer to what happens after the interview</w:t>
            </w:r>
          </w:p>
        </w:tc>
      </w:tr>
      <w:tr>
        <w:trPr>
          <w:cantSplit/>
        </w:trPr>
        <w:tc>
          <w:tcPr>
            <w:tcW w:type="pct" w:w="4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M3</w:t>
            </w:r>
          </w:p>
        </w:tc>
        <w:tc>
          <w:tcPr>
            <w:tcW w:type="pct" w:w="16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Three-role agent topology with a measured critic</w:t>
            </w:r>
          </w:p>
        </w:tc>
        <w:tc>
          <w:tcPr>
            <w:tcW w:type="pct" w:w="13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One extra model call per extraction; logging</w:t>
            </w:r>
          </w:p>
        </w:tc>
        <w:tc>
          <w:tcPr>
            <w:tcW w:type="pct" w:w="16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Propose-verify made structural; disagreement rate as a new metric</w:t>
            </w:r>
          </w:p>
        </w:tc>
      </w:tr>
      <w:tr>
        <w:trPr>
          <w:cantSplit/>
        </w:trPr>
        <w:tc>
          <w:tcPr>
            <w:tcW w:type="pct" w:w="4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M4</w:t>
            </w:r>
          </w:p>
        </w:tc>
        <w:tc>
          <w:tcPr>
            <w:tcW w:type="pct" w:w="16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Release benchmark, harness, and MCP server as assets</w:t>
            </w:r>
          </w:p>
        </w:tc>
        <w:tc>
          <w:tcPr>
            <w:tcW w:type="pct" w:w="13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Packaging and licensing hygiene (~1 week)</w:t>
            </w:r>
          </w:p>
        </w:tc>
        <w:tc>
          <w:tcPr>
            <w:tcW w:type="pct" w:w="16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Community citation; external validation; platform-level positioning</w:t>
            </w:r>
          </w:p>
        </w:tc>
      </w:tr>
      <w:tr>
        <w:trPr>
          <w:cantSplit/>
        </w:trPr>
        <w:tc>
          <w:tcPr>
            <w:tcW w:type="pct" w:w="4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M5</w:t>
            </w:r>
          </w:p>
        </w:tc>
        <w:tc>
          <w:tcPr>
            <w:tcW w:type="pct" w:w="16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Extended evaluation contract (RQ8, isolation condition, pre-registration, field pilot)</w:t>
            </w:r>
          </w:p>
        </w:tc>
        <w:tc>
          <w:tcPr>
            <w:tcW w:type="pct" w:w="13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Planning discipline; ~2 person-weeks of harness work</w:t>
            </w:r>
          </w:p>
        </w:tc>
        <w:tc>
          <w:tcPr>
            <w:tcW w:type="pct" w:w="16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Coverage of the integration claim; field evidence; pre-registered credibility</w:t>
            </w:r>
          </w:p>
        </w:tc>
      </w:tr>
    </w:tbl>
    <w:p>
      <w:pPr>
        <w:pStyle w:val="Heading1"/>
        <w:keepNext/>
        <w:spacing w:after="180" w:before="400" w:line="312"/>
      </w:pPr>
      <w:bookmarkStart w:id="100011" w:name="_Toc100011"/>
      <w:r>
        <w:rPr>
          <w:rFonts w:ascii="Times New Roman" w:eastAsia="SimHei"/>
          <w:b/>
          <w:bCs/>
          <w:color w:val="0A1628"/>
          <w:sz w:val="32"/>
          <w:szCs w:val="32"/>
        </w:rPr>
        <w:t xml:space="preserve">7. Sequenced Roadmap: What to Adopt, When, and What to Refuse</w:t>
      </w:r>
      <w:bookmarkEnd w:id="100011"/>
    </w:p>
    <w:p>
      <w:pPr>
        <w:spacing w:after="140" w:line="312"/>
        <w:jc w:val="left"/>
      </w:pPr>
      <w:r>
        <w:rPr>
          <w:rFonts w:ascii="Times New Roman" w:eastAsia="SimSun"/>
          <w:color w:val="000000"/>
          <w:sz w:val="24"/>
          <w:szCs w:val="24"/>
        </w:rPr>
        <w:t xml:space="preserve">Ideas without sequencing are liabilities for a project whose schedule already has no buffer. This chapter assigns every portfolio item and every open gap to one of three adoption tiers. Tier V1 (weeks 1-12) contains the seven small, mechanism-level additions that harden the two flagship cores and cost roughly four person-weeks in total; tier V2 (months 4-6) contains the breadth mechanisms that make the repositioned claims demonstrable; tier Future (beyond the thesis) contains the large integrations that would endanger the window if attempted now. Figure 2 shows the three tiers against the existing phase plan, and Table 5 maps every item to its trigger, owner profile, and descope behavior. The rule of the roadmap is that tier transitions are gated by the same M1 milestone the analysis report already defined: nothing in V2 begins until the question planner, the evidence model, and the benchmark cadence are demonstrably on track.</w:t>
      </w:r>
    </w:p>
    <w:p>
      <w:pPr>
        <w:keepNext/>
        <w:spacing w:after="80" w:before="240"/>
        <w:jc w:val="center"/>
      </w:pPr>
      <w:r>
        <w:drawing>
          <wp:inline distT="0" distB="0" distL="0" distR="0">
            <wp:extent cx="5191125" cy="30575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91125" cy="3057525"/>
                    </a:xfrm>
                    <a:prstGeom prst="rect">
                      <a:avLst/>
                    </a:prstGeom>
                  </pic:spPr>
                </pic:pic>
              </a:graphicData>
            </a:graphic>
          </wp:inline>
        </w:drawing>
      </w:r>
    </w:p>
    <w:p>
      <w:pPr>
        <w:spacing w:after="240" w:line="276"/>
        <w:jc w:val="center"/>
      </w:pPr>
      <w:r>
        <w:rPr>
          <w:rFonts w:ascii="Times New Roman" w:eastAsia="SimSun"/>
          <w:i/>
          <w:iCs/>
          <w:color w:val="555555"/>
          <w:sz w:val="20"/>
          <w:szCs w:val="20"/>
        </w:rPr>
        <w:t xml:space="preserve">Figure 2: Tiered adoption roadmap for the expansion portfolio, aligned with the existing 24-week phase plan and the post-thesis horizon</w:t>
      </w:r>
    </w:p>
    <w:p>
      <w:pPr>
        <w:spacing w:after="140" w:line="312"/>
        <w:jc w:val="left"/>
      </w:pPr>
      <w:r>
        <w:rPr>
          <w:rFonts w:ascii="Times New Roman" w:eastAsia="SimSun"/>
          <w:color w:val="000000"/>
          <w:sz w:val="24"/>
          <w:szCs w:val="24"/>
        </w:rPr>
        <w:t xml:space="preserve">Tier V1 items are chosen by a single criterion: maximum hardening per person-week. I1 (the gate) and I7 (the wind tunnel) are scheduled together deliberately, because the wind tunnel supplies the simulated interviews the gate's experiments consume. I2 and I3 attach to existing stages and produce publishable metrics (calibration error, disagreement rate) without new annotation. I12, I13, and the instrumentation half of G6 are pure observability work that every later experiment depends on, which is why they are early rather than late. The remaining V1 slots are inherited from the analysis action plan: the frozen research contract, the search protocol, the statistical plan, and the benchmark production cadence all remain in force and are now complemented rather than replaced.</w:t>
      </w:r>
    </w:p>
    <w:p>
      <w:pPr>
        <w:spacing w:after="140" w:line="312"/>
        <w:jc w:val="left"/>
      </w:pPr>
      <w:r>
        <w:rPr>
          <w:rFonts w:ascii="Times New Roman" w:eastAsia="SimSun"/>
          <w:color w:val="000000"/>
          <w:sz w:val="24"/>
          <w:szCs w:val="24"/>
        </w:rPr>
        <w:t xml:space="preserve">Tier V2 carries the visible breadth. I6 (the Arabic-first layer) is scheduled beside the benchmark production that Action 6 already mandates, so that scenarios are written once for both purposes and the dialect-normalization component is validated by the same data it helps produce. I9 (verifiable artifacts) and I10 (the MCP server) are the two demonstrable-scope items with the best cost-to-demo ratio, and I14 (the health report) is their reporting surface; I5 (multimodal intake) is the first candidate to descope within this tier if the pilot needs the capacity, because it widens convenience rather than claims. Tier Future holds I4, I8, and I11 with clear two-line specifications in the thesis future-work chapter, which converts them from risks into evidence of vision, exactly as the analysis report recommended for N9.</w:t>
      </w:r>
    </w:p>
    <w:p>
      <w:pPr>
        <w:spacing w:after="140" w:line="312"/>
        <w:jc w:val="left"/>
      </w:pPr>
      <w:r>
        <w:rPr>
          <w:rFonts w:ascii="Times New Roman" w:eastAsia="SimSun"/>
          <w:color w:val="000000"/>
          <w:sz w:val="24"/>
          <w:szCs w:val="24"/>
        </w:rPr>
        <w:t xml:space="preserve">The refusal list is as important as the adoption list. Nothing in this roadmap authorizes reopening the what-not-to-build list of the reference document: voice interfaces, autonomous coding, Kubernetes, fine-tuning, and agent swarms stay out for the thesis duration, and the M2 repositioning must not be read as permission to build integrations beyond the single MCP surface and one tracker export. Two further refusals are specific to this expansion. First, no new mechanism enters V1 after week 6, even if it scores well, because late mechanisms are what compressed schedules are made of; late ideas go to the future-work chapter, which is where the thesis keeps them safely. Second, the tier gates are cumulative, not parallel: a V2 item whose V1 dependency slips inherits the slip rather than starting early on optimistic assumptions. Table 5 states the descope behavior for every adopted item so that the ladder the committee approved remains the single instrument of retreat.</w:t>
      </w:r>
    </w:p>
    <w:p>
      <w:pPr>
        <w:keepNext/>
        <w:spacing w:after="100" w:before="220" w:line="312"/>
      </w:pPr>
      <w:r>
        <w:rPr>
          <w:rFonts w:ascii="Times New Roman" w:eastAsia="SimSun"/>
          <w:b/>
          <w:bCs/>
          <w:color w:val="333333"/>
          <w:sz w:val="21"/>
          <w:szCs w:val="21"/>
        </w:rPr>
        <w:t xml:space="preserve">Table 5: Adoption map with triggers, owners, and descope behavior</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1055"/>
        <w:gridCol w:w="879"/>
        <w:gridCol w:w="2461"/>
        <w:gridCol w:w="1933"/>
        <w:gridCol w:w="2461"/>
      </w:tblGrid>
      <w:tr>
        <w:trPr>
          <w:cantSplit/>
          <w:tblHeader/>
        </w:trPr>
        <w:tc>
          <w:tcPr>
            <w:tcW w:type="pct" w:w="60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Item</w:t>
            </w:r>
          </w:p>
        </w:tc>
        <w:tc>
          <w:tcPr>
            <w:tcW w:type="pct" w:w="50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Tier</w:t>
            </w:r>
          </w:p>
        </w:tc>
        <w:tc>
          <w:tcPr>
            <w:tcW w:type="pct" w:w="140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Entry trigger</w:t>
            </w:r>
          </w:p>
        </w:tc>
        <w:tc>
          <w:tcPr>
            <w:tcW w:type="pct" w:w="110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Owner profile</w:t>
            </w:r>
          </w:p>
        </w:tc>
        <w:tc>
          <w:tcPr>
            <w:tcW w:type="pct" w:w="140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Descope behavior</w:t>
            </w:r>
          </w:p>
        </w:tc>
      </w:tr>
      <w:tr>
        <w:trPr>
          <w:cantSplit/>
        </w:trPr>
        <w:tc>
          <w:tcPr>
            <w:tcW w:type="pct" w:w="6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I1 gate</w:t>
            </w:r>
          </w:p>
        </w:tc>
        <w:tc>
          <w:tcPr>
            <w:tcW w:type="pct" w:w="5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V1</w:t>
            </w:r>
          </w:p>
        </w:tc>
        <w:tc>
          <w:tcPr>
            <w:tcW w:type="pct" w:w="14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Planner utility formula frozen (week 3-4)</w:t>
            </w:r>
          </w:p>
        </w:tc>
        <w:tc>
          <w:tcPr>
            <w:tcW w:type="pct" w:w="11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LLM/agent member</w:t>
            </w:r>
          </w:p>
        </w:tc>
        <w:tc>
          <w:tcPr>
            <w:tcW w:type="pct" w:w="14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Reduce to binary high/low gate; keep decision logs</w:t>
            </w:r>
          </w:p>
        </w:tc>
      </w:tr>
      <w:tr>
        <w:trPr>
          <w:cantSplit/>
        </w:trPr>
        <w:tc>
          <w:tcPr>
            <w:tcW w:type="pct" w:w="6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I7 wind tunnel</w:t>
            </w:r>
          </w:p>
        </w:tc>
        <w:tc>
          <w:tcPr>
            <w:tcW w:type="pct" w:w="5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V1</w:t>
            </w:r>
          </w:p>
        </w:tc>
        <w:tc>
          <w:tcPr>
            <w:tcW w:type="pct" w:w="14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First 20 scenarios exist (Action 7 pilot)</w:t>
            </w:r>
          </w:p>
        </w:tc>
        <w:tc>
          <w:tcPr>
            <w:tcW w:type="pct" w:w="11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LLM/agent + dataset member</w:t>
            </w:r>
          </w:p>
        </w:tc>
        <w:tc>
          <w:tcPr>
            <w:tcW w:type="pct" w:w="14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Shrink persona set; keep persona-secret protocol</w:t>
            </w:r>
          </w:p>
        </w:tc>
      </w:tr>
      <w:tr>
        <w:trPr>
          <w:cantSplit/>
        </w:trPr>
        <w:tc>
          <w:tcPr>
            <w:tcW w:type="pct" w:w="6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I2 calibration</w:t>
            </w:r>
          </w:p>
        </w:tc>
        <w:tc>
          <w:tcPr>
            <w:tcW w:type="pct" w:w="5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V1</w:t>
            </w:r>
          </w:p>
        </w:tc>
        <w:tc>
          <w:tcPr>
            <w:tcW w:type="pct" w:w="14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Validation outcomes recorded in harness</w:t>
            </w:r>
          </w:p>
        </w:tc>
        <w:tc>
          <w:tcPr>
            <w:tcW w:type="pct" w:w="11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Evaluation lead (M1+M2)</w:t>
            </w:r>
          </w:p>
        </w:tc>
        <w:tc>
          <w:tcPr>
            <w:tcW w:type="pct" w:w="14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Report descriptive calibration only; drop curve fitting</w:t>
            </w:r>
          </w:p>
        </w:tc>
      </w:tr>
      <w:tr>
        <w:trPr>
          <w:cantSplit/>
        </w:trPr>
        <w:tc>
          <w:tcPr>
            <w:tcW w:type="pct" w:w="6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I3 critic loop</w:t>
            </w:r>
          </w:p>
        </w:tc>
        <w:tc>
          <w:tcPr>
            <w:tcW w:type="pct" w:w="5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V1</w:t>
            </w:r>
          </w:p>
        </w:tc>
        <w:tc>
          <w:tcPr>
            <w:tcW w:type="pct" w:w="14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Extraction stage stable</w:t>
            </w:r>
          </w:p>
        </w:tc>
        <w:tc>
          <w:tcPr>
            <w:tcW w:type="pct" w:w="11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LLM/agent member</w:t>
            </w:r>
          </w:p>
        </w:tc>
        <w:tc>
          <w:tcPr>
            <w:tcW w:type="pct" w:w="14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Critic samples 20% of extractions instead of all</w:t>
            </w:r>
          </w:p>
        </w:tc>
      </w:tr>
      <w:tr>
        <w:trPr>
          <w:cantSplit/>
        </w:trPr>
        <w:tc>
          <w:tcPr>
            <w:tcW w:type="pct" w:w="6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I12 journal</w:t>
            </w:r>
          </w:p>
        </w:tc>
        <w:tc>
          <w:tcPr>
            <w:tcW w:type="pct" w:w="5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V1</w:t>
            </w:r>
          </w:p>
        </w:tc>
        <w:tc>
          <w:tcPr>
            <w:tcW w:type="pct" w:w="14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Artifact snapshots present (already true)</w:t>
            </w:r>
          </w:p>
        </w:tc>
        <w:tc>
          <w:tcPr>
            <w:tcW w:type="pct" w:w="11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Backend member</w:t>
            </w:r>
          </w:p>
        </w:tc>
        <w:tc>
          <w:tcPr>
            <w:tcW w:type="pct" w:w="14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Ship read-only log without UI polish</w:t>
            </w:r>
          </w:p>
        </w:tc>
      </w:tr>
      <w:tr>
        <w:trPr>
          <w:cantSplit/>
        </w:trPr>
        <w:tc>
          <w:tcPr>
            <w:tcW w:type="pct" w:w="6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I13 observatory</w:t>
            </w:r>
          </w:p>
        </w:tc>
        <w:tc>
          <w:tcPr>
            <w:tcW w:type="pct" w:w="5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V1</w:t>
            </w:r>
          </w:p>
        </w:tc>
        <w:tc>
          <w:tcPr>
            <w:tcW w:type="pct" w:w="14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Model gateway centralized</w:t>
            </w:r>
          </w:p>
        </w:tc>
        <w:tc>
          <w:tcPr>
            <w:tcW w:type="pct" w:w="11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Backend member</w:t>
            </w:r>
          </w:p>
        </w:tc>
        <w:tc>
          <w:tcPr>
            <w:tcW w:type="pct" w:w="14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Aggregate weekly totals; drop per-requirement attribution</w:t>
            </w:r>
          </w:p>
        </w:tc>
      </w:tr>
      <w:tr>
        <w:trPr>
          <w:cantSplit/>
        </w:trPr>
        <w:tc>
          <w:tcPr>
            <w:tcW w:type="pct" w:w="6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Stats plan (G7)</w:t>
            </w:r>
          </w:p>
        </w:tc>
        <w:tc>
          <w:tcPr>
            <w:tcW w:type="pct" w:w="5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V1</w:t>
            </w:r>
          </w:p>
        </w:tc>
        <w:tc>
          <w:tcPr>
            <w:tcW w:type="pct" w:w="14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Week 2 (Action 3)</w:t>
            </w:r>
          </w:p>
        </w:tc>
        <w:tc>
          <w:tcPr>
            <w:tcW w:type="pct" w:w="11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Members 1-2</w:t>
            </w:r>
          </w:p>
        </w:tc>
        <w:tc>
          <w:tcPr>
            <w:tcW w:type="pct" w:w="14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Not descopeable; go-condition of the analysis report</w:t>
            </w:r>
          </w:p>
        </w:tc>
      </w:tr>
      <w:tr>
        <w:trPr>
          <w:cantSplit/>
        </w:trPr>
        <w:tc>
          <w:tcPr>
            <w:tcW w:type="pct" w:w="6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I6 Arabic layer</w:t>
            </w:r>
          </w:p>
        </w:tc>
        <w:tc>
          <w:tcPr>
            <w:tcW w:type="pct" w:w="5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V2</w:t>
            </w:r>
          </w:p>
        </w:tc>
        <w:tc>
          <w:tcPr>
            <w:tcW w:type="pct" w:w="14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Benchmark cadence stable (month 2 on)</w:t>
            </w:r>
          </w:p>
        </w:tc>
        <w:tc>
          <w:tcPr>
            <w:tcW w:type="pct" w:w="11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NLP/Arabic member</w:t>
            </w:r>
          </w:p>
        </w:tc>
        <w:tc>
          <w:tcPr>
            <w:tcW w:type="pct" w:w="14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Ship normalization + RTL UI; lexicon to thesis appendix</w:t>
            </w:r>
          </w:p>
        </w:tc>
      </w:tr>
      <w:tr>
        <w:trPr>
          <w:cantSplit/>
        </w:trPr>
        <w:tc>
          <w:tcPr>
            <w:tcW w:type="pct" w:w="6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I9 verifiable artifacts</w:t>
            </w:r>
          </w:p>
        </w:tc>
        <w:tc>
          <w:tcPr>
            <w:tcW w:type="pct" w:w="5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V2</w:t>
            </w:r>
          </w:p>
        </w:tc>
        <w:tc>
          <w:tcPr>
            <w:tcW w:type="pct" w:w="14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Story stage stable; 30+ scenarios</w:t>
            </w:r>
          </w:p>
        </w:tc>
        <w:tc>
          <w:tcPr>
            <w:tcW w:type="pct" w:w="11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LLM/agent + backend</w:t>
            </w:r>
          </w:p>
        </w:tc>
        <w:tc>
          <w:tcPr>
            <w:tcW w:type="pct" w:w="14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Generate Gherkin only; drop executable skeletons</w:t>
            </w:r>
          </w:p>
        </w:tc>
      </w:tr>
      <w:tr>
        <w:trPr>
          <w:cantSplit/>
        </w:trPr>
        <w:tc>
          <w:tcPr>
            <w:tcW w:type="pct" w:w="6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I10 MCP server</w:t>
            </w:r>
          </w:p>
        </w:tc>
        <w:tc>
          <w:tcPr>
            <w:tcW w:type="pct" w:w="5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V2</w:t>
            </w:r>
          </w:p>
        </w:tc>
        <w:tc>
          <w:tcPr>
            <w:tcW w:type="pct" w:w="14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Graph queries pass spike (Action 5)</w:t>
            </w:r>
          </w:p>
        </w:tc>
        <w:tc>
          <w:tcPr>
            <w:tcW w:type="pct" w:w="11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Backend member</w:t>
            </w:r>
          </w:p>
        </w:tc>
        <w:tc>
          <w:tcPr>
            <w:tcW w:type="pct" w:w="14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Read-only tools (get-requirement, get-impact) only</w:t>
            </w:r>
          </w:p>
        </w:tc>
      </w:tr>
      <w:tr>
        <w:trPr>
          <w:cantSplit/>
        </w:trPr>
        <w:tc>
          <w:tcPr>
            <w:tcW w:type="pct" w:w="6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I14 health report</w:t>
            </w:r>
          </w:p>
        </w:tc>
        <w:tc>
          <w:tcPr>
            <w:tcW w:type="pct" w:w="5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V2</w:t>
            </w:r>
          </w:p>
        </w:tc>
        <w:tc>
          <w:tcPr>
            <w:tcW w:type="pct" w:w="14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Ledger + debt surfaces exist</w:t>
            </w:r>
          </w:p>
        </w:tc>
        <w:tc>
          <w:tcPr>
            <w:tcW w:type="pct" w:w="11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Frontend member</w:t>
            </w:r>
          </w:p>
        </w:tc>
        <w:tc>
          <w:tcPr>
            <w:tcW w:type="pct" w:w="14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Weekly digest without PDF styling</w:t>
            </w:r>
          </w:p>
        </w:tc>
      </w:tr>
      <w:tr>
        <w:trPr>
          <w:cantSplit/>
        </w:trPr>
        <w:tc>
          <w:tcPr>
            <w:tcW w:type="pct" w:w="6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I5 multimodal intake</w:t>
            </w:r>
          </w:p>
        </w:tc>
        <w:tc>
          <w:tcPr>
            <w:tcW w:type="pct" w:w="5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V2</w:t>
            </w:r>
          </w:p>
        </w:tc>
        <w:tc>
          <w:tcPr>
            <w:tcW w:type="pct" w:w="14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Spare capacity after pilot</w:t>
            </w:r>
          </w:p>
        </w:tc>
        <w:tc>
          <w:tcPr>
            <w:tcW w:type="pct" w:w="11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Backend + frontend</w:t>
            </w:r>
          </w:p>
        </w:tc>
        <w:tc>
          <w:tcPr>
            <w:tcW w:type="pct" w:w="14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Transcript import only; drop OCR</w:t>
            </w:r>
          </w:p>
        </w:tc>
      </w:tr>
      <w:tr>
        <w:trPr>
          <w:cantSplit/>
        </w:trPr>
        <w:tc>
          <w:tcPr>
            <w:tcW w:type="pct" w:w="6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Field pilot (G9)</w:t>
            </w:r>
          </w:p>
        </w:tc>
        <w:tc>
          <w:tcPr>
            <w:tcW w:type="pct" w:w="5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V2</w:t>
            </w:r>
          </w:p>
        </w:tc>
        <w:tc>
          <w:tcPr>
            <w:tcW w:type="pct" w:w="14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Month 4, teams recruited (Action 9)</w:t>
            </w:r>
          </w:p>
        </w:tc>
        <w:tc>
          <w:tcPr>
            <w:tcW w:type="pct" w:w="11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All members</w:t>
            </w:r>
          </w:p>
        </w:tc>
        <w:tc>
          <w:tcPr>
            <w:tcW w:type="pct" w:w="14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Two teams instead of three; keep think-aloud protocol</w:t>
            </w:r>
          </w:p>
        </w:tc>
      </w:tr>
      <w:tr>
        <w:trPr>
          <w:cantSplit/>
        </w:trPr>
        <w:tc>
          <w:tcPr>
            <w:tcW w:type="pct" w:w="6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I4, I8, I11</w:t>
            </w:r>
          </w:p>
        </w:tc>
        <w:tc>
          <w:tcPr>
            <w:tcW w:type="pct" w:w="5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Future</w:t>
            </w:r>
          </w:p>
        </w:tc>
        <w:tc>
          <w:tcPr>
            <w:tcW w:type="pct" w:w="14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Post-thesis</w:t>
            </w:r>
          </w:p>
        </w:tc>
        <w:tc>
          <w:tcPr>
            <w:tcW w:type="pct" w:w="11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Team</w:t>
            </w:r>
          </w:p>
        </w:tc>
        <w:tc>
          <w:tcPr>
            <w:tcW w:type="pct" w:w="14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Two-line future-work specification each</w:t>
            </w:r>
          </w:p>
        </w:tc>
      </w:tr>
    </w:tbl>
    <w:p>
      <w:pPr>
        <w:spacing w:after="140" w:line="312"/>
        <w:jc w:val="left"/>
      </w:pPr>
      <w:r>
        <w:rPr>
          <w:rFonts w:ascii="Times New Roman" w:eastAsia="SimSun"/>
          <w:color w:val="000000"/>
          <w:sz w:val="24"/>
          <w:szCs w:val="24"/>
        </w:rPr>
        <w:t xml:space="preserve">Five quick wins deserve explicit naming because they can be executed inside a single week each and visibly broaden the project: the decision journal (I12), since the snapshots already exist; the cost observatory skeleton (I13); the critic loop in sampled mode (I3 at twenty percent); the pre-registration document of M5, which costs a day and buys the most credibility per hour of any item in this roadmap; and the flagship reorganization M1, which costs a writing day and makes every subsequent artifact, thesis chapters, slides, and the demo script, easier to produce because there are three things to say instead of ten.</w:t>
      </w:r>
    </w:p>
    <w:p>
      <w:pPr>
        <w:pStyle w:val="Heading1"/>
        <w:keepNext/>
        <w:spacing w:after="180" w:before="400" w:line="312"/>
      </w:pPr>
      <w:bookmarkStart w:id="100012" w:name="_Toc100012"/>
      <w:r>
        <w:rPr>
          <w:rFonts w:ascii="Times New Roman" w:eastAsia="SimHei"/>
          <w:b/>
          <w:bCs/>
          <w:color w:val="0A1628"/>
          <w:sz w:val="32"/>
          <w:szCs w:val="32"/>
        </w:rPr>
        <w:t xml:space="preserve">8. Projected Effect on the Consolidated Assessment</w:t>
      </w:r>
      <w:bookmarkEnd w:id="100012"/>
    </w:p>
    <w:p>
      <w:pPr>
        <w:spacing w:after="140" w:line="312"/>
        <w:jc w:val="left"/>
      </w:pPr>
      <w:r>
        <w:rPr>
          <w:rFonts w:ascii="Times New Roman" w:eastAsia="SimSun"/>
          <w:color w:val="000000"/>
          <w:sz w:val="24"/>
          <w:szCs w:val="24"/>
        </w:rPr>
        <w:t xml:space="preserve">The natural question after any expansion proposal is what it buys on the assessment that governed the analysis report. Table 6 projects the six dimension scores under the assumption that tier V1 is fully executed, tier V2 is executed through the field pilot, and the M1-M5 repositioning is adopted. The projections are analyst judgments, conditional on execution, and are offered as targets rather than promises; they use the same 1-5 rubric and the same scoring method as the original assessment, applied to the hypothetical end-state of the thesis rather than the proposal that was scored in October.</w:t>
      </w:r>
    </w:p>
    <w:p>
      <w:pPr>
        <w:keepNext/>
        <w:spacing w:after="100" w:before="220" w:line="312"/>
      </w:pPr>
      <w:r>
        <w:rPr>
          <w:rFonts w:ascii="Times New Roman" w:eastAsia="SimSun"/>
          <w:b/>
          <w:bCs/>
          <w:color w:val="333333"/>
          <w:sz w:val="21"/>
          <w:szCs w:val="21"/>
        </w:rPr>
        <w:t xml:space="preserve">Table 6: Projected dimension scores if the roadmap is executed (analyst projection, conditional on execution)</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2109"/>
        <w:gridCol w:w="1142"/>
        <w:gridCol w:w="1142"/>
        <w:gridCol w:w="4394"/>
      </w:tblGrid>
      <w:tr>
        <w:trPr>
          <w:cantSplit/>
          <w:tblHeader/>
        </w:trPr>
        <w:tc>
          <w:tcPr>
            <w:tcW w:type="pct" w:w="120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Dimension</w:t>
            </w:r>
          </w:p>
        </w:tc>
        <w:tc>
          <w:tcPr>
            <w:tcW w:type="pct" w:w="65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Scored (Oct)</w:t>
            </w:r>
          </w:p>
        </w:tc>
        <w:tc>
          <w:tcPr>
            <w:tcW w:type="pct" w:w="65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Projected</w:t>
            </w:r>
          </w:p>
        </w:tc>
        <w:tc>
          <w:tcPr>
            <w:tcW w:type="pct" w:w="250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Basis of change</w:t>
            </w:r>
          </w:p>
        </w:tc>
      </w:tr>
      <w:tr>
        <w:trPr>
          <w:cantSplit/>
        </w:trPr>
        <w:tc>
          <w:tcPr>
            <w:tcW w:type="pct" w:w="12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Strategic positioning</w:t>
            </w:r>
          </w:p>
        </w:tc>
        <w:tc>
          <w:tcPr>
            <w:tcW w:type="pct" w:w="6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4.0</w:t>
            </w:r>
          </w:p>
        </w:tc>
        <w:tc>
          <w:tcPr>
            <w:tcW w:type="pct" w:w="6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4.5</w:t>
            </w:r>
          </w:p>
        </w:tc>
        <w:tc>
          <w:tcPr>
            <w:tcW w:type="pct" w:w="25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M2 lifecycle positioning plus M4 platform assets move the claim from tool to layer; the marketing phrase is retired</w:t>
            </w:r>
          </w:p>
        </w:tc>
      </w:tr>
      <w:tr>
        <w:trPr>
          <w:cantSplit/>
        </w:trPr>
        <w:tc>
          <w:tcPr>
            <w:tcW w:type="pct" w:w="12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Novelty and research gap</w:t>
            </w:r>
          </w:p>
        </w:tc>
        <w:tc>
          <w:tcPr>
            <w:tcW w:type="pct" w:w="6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4.0</w:t>
            </w:r>
          </w:p>
        </w:tc>
        <w:tc>
          <w:tcPr>
            <w:tcW w:type="pct" w:w="6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4.5</w:t>
            </w:r>
          </w:p>
        </w:tc>
        <w:tc>
          <w:tcPr>
            <w:tcW w:type="pct" w:w="25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I1 creates a new defensible mechanism adjacent to N2; I2 adds a property (calibration) absent from all eight benchmarked systems; flagship framing sharpens the claim</w:t>
            </w:r>
          </w:p>
        </w:tc>
      </w:tr>
      <w:tr>
        <w:trPr>
          <w:cantSplit/>
        </w:trPr>
        <w:tc>
          <w:tcPr>
            <w:tcW w:type="pct" w:w="12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Technical architecture</w:t>
            </w:r>
          </w:p>
        </w:tc>
        <w:tc>
          <w:tcPr>
            <w:tcW w:type="pct" w:w="6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4.0</w:t>
            </w:r>
          </w:p>
        </w:tc>
        <w:tc>
          <w:tcPr>
            <w:tcW w:type="pct" w:w="6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4.3</w:t>
            </w:r>
          </w:p>
        </w:tc>
        <w:tc>
          <w:tcPr>
            <w:tcW w:type="pct" w:w="25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G4-G6 infrastructure closed in V1; M3 gives the agent design a measurable shape; no exotic technology added</w:t>
            </w:r>
          </w:p>
        </w:tc>
      </w:tr>
      <w:tr>
        <w:trPr>
          <w:cantSplit/>
        </w:trPr>
        <w:tc>
          <w:tcPr>
            <w:tcW w:type="pct" w:w="12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Evaluation methodology</w:t>
            </w:r>
          </w:p>
        </w:tc>
        <w:tc>
          <w:tcPr>
            <w:tcW w:type="pct" w:w="6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4.5</w:t>
            </w:r>
          </w:p>
        </w:tc>
        <w:tc>
          <w:tcPr>
            <w:tcW w:type="pct" w:w="6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4.8</w:t>
            </w:r>
          </w:p>
        </w:tc>
        <w:tc>
          <w:tcPr>
            <w:tcW w:type="pct" w:w="25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G7 statistical plan, RQ8, integration-isolation condition, pre-registration, and the field pilot close every named evaluation gap</w:t>
            </w:r>
          </w:p>
        </w:tc>
      </w:tr>
      <w:tr>
        <w:trPr>
          <w:cantSplit/>
        </w:trPr>
        <w:tc>
          <w:tcPr>
            <w:tcW w:type="pct" w:w="12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Feasibility and schedule</w:t>
            </w:r>
          </w:p>
        </w:tc>
        <w:tc>
          <w:tcPr>
            <w:tcW w:type="pct" w:w="6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3.0</w:t>
            </w:r>
          </w:p>
        </w:tc>
        <w:tc>
          <w:tcPr>
            <w:tcW w:type="pct" w:w="65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3.8</w:t>
            </w:r>
          </w:p>
        </w:tc>
        <w:tc>
          <w:tcPr>
            <w:tcW w:type="pct" w:w="250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Not from adding scope but from the tier gates, the sequencing of the benchmark from month 2, and the explicit refusal list; residual risk remains the single-owner planner</w:t>
            </w:r>
          </w:p>
        </w:tc>
      </w:tr>
      <w:tr>
        <w:trPr>
          <w:cantSplit/>
        </w:trPr>
        <w:tc>
          <w:tcPr>
            <w:tcW w:type="pct" w:w="12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Reference-document quality</w:t>
            </w:r>
          </w:p>
        </w:tc>
        <w:tc>
          <w:tcPr>
            <w:tcW w:type="pct" w:w="6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5.0</w:t>
            </w:r>
          </w:p>
        </w:tc>
        <w:tc>
          <w:tcPr>
            <w:tcW w:type="pct" w:w="65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5.0</w:t>
            </w:r>
          </w:p>
        </w:tc>
        <w:tc>
          <w:tcPr>
            <w:tcW w:type="pct" w:w="250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Maintained by construction; the roadmap itself is written to the same standard of explicit claims and documented trade-offs</w:t>
            </w:r>
          </w:p>
        </w:tc>
      </w:tr>
    </w:tbl>
    <w:p>
      <w:pPr>
        <w:spacing w:after="140" w:line="312"/>
        <w:jc w:val="left"/>
      </w:pPr>
      <w:r>
        <w:rPr>
          <w:rFonts w:ascii="Times New Roman" w:eastAsia="SimSun"/>
          <w:color w:val="000000"/>
          <w:sz w:val="24"/>
          <w:szCs w:val="24"/>
        </w:rPr>
        <w:t xml:space="preserve">Three honest caveats attach to these projections. First, the feasibility uplift is the only dimension improved without building anything; it is bought entirely by sequencing discipline and refusal, which means it evaporates the moment the team treats the roadmap as permission to do everything at once. Second, the novelty uplift depends on I1 and I2 producing positive or at least cleanly characterized negative results; a gate that always asks and a calibration study that shows miscalibration are still publishable findings, but they must be reported, not hidden, to keep the uplift honest. Third, the projected scores describe the thesis end-state, not the interim state: at the month-3 checkpoint the correct expectation is unchanged scores with substantially reduced uncertainty about the final two dimensions, which is precisely what a checkpoint is for.</w:t>
      </w:r>
    </w:p>
    <w:p>
      <w:pPr>
        <w:pStyle w:val="Heading1"/>
        <w:keepNext/>
        <w:spacing w:after="180" w:before="400" w:line="312"/>
      </w:pPr>
      <w:bookmarkStart w:id="100013" w:name="_Toc100013"/>
      <w:r>
        <w:rPr>
          <w:rFonts w:ascii="Times New Roman" w:eastAsia="SimHei"/>
          <w:b/>
          <w:bCs/>
          <w:color w:val="0A1628"/>
          <w:sz w:val="32"/>
          <w:szCs w:val="32"/>
        </w:rPr>
        <w:t xml:space="preserve">9. Concluding Recommendation</w:t>
      </w:r>
      <w:bookmarkEnd w:id="100013"/>
    </w:p>
    <w:p>
      <w:pPr>
        <w:spacing w:after="140" w:line="312"/>
        <w:jc w:val="left"/>
      </w:pPr>
      <w:r>
        <w:rPr>
          <w:rFonts w:ascii="Times New Roman" w:eastAsia="SimSun"/>
          <w:color w:val="000000"/>
          <w:sz w:val="24"/>
          <w:szCs w:val="24"/>
        </w:rPr>
        <w:t xml:space="preserve">The team asked how to make RequirementPilot broader, more comprehensive, and more innovative. The answer assembled in this roadmap is deliberately not a bigger feature list. The idea becomes broader through repositioning (M2) and platform assets (M4), more comprehensive through the connections that bind the requirement graph to the lifecycle before and after the interview (I9, I10, and the pilot evidence of M5), and more innovative through mechanisms that deepen its two defensible cores (I1, I2, I6) while every addition remains subordinate to the schedule discipline that the analysis report identified as the project's weakest dimension. Fourteen developments, five modifications, and fourteen documented gaps are the complete inventory; nothing outside this inventory should enter the project without displacing something inside it.</w:t>
      </w:r>
    </w:p>
    <w:p>
      <w:pPr>
        <w:spacing w:after="140" w:line="312"/>
        <w:jc w:val="left"/>
      </w:pPr>
      <w:r>
        <w:rPr>
          <w:rFonts w:ascii="Times New Roman" w:eastAsia="SimSun"/>
          <w:color w:val="000000"/>
          <w:sz w:val="24"/>
          <w:szCs w:val="24"/>
        </w:rPr>
        <w:t xml:space="preserve">The recommended immediate actions are three. Within the next two weeks: adopt the flagship reorganization (M1) and write the pre-registration document (M5), because both are cheap, both are irreversible in their benefits, and both make every later artifact easier. Within the first month: implement the ask-versus-proceed gate (I1) against the wind tunnel (I7) and the decision journal (I12), so that the new research question is generating data before the benchmark cadence peaks. By the end of month two: start the Arabic-first layer (I6) beside the benchmark production it feeds, and hold the tier gates exactly as Table 5 states them. Everything else in this roadmap is designed to be deferrable, and the thesis will be stronger for the restraint than for the accumulation.</w:t>
      </w:r>
    </w:p>
    <w:p>
      <w:pPr>
        <w:spacing w:after="140" w:line="312"/>
        <w:jc w:val="left"/>
      </w:pPr>
      <w:r>
        <w:rPr>
          <w:rFonts w:ascii="Times New Roman" w:eastAsia="SimSun"/>
          <w:color w:val="000000"/>
          <w:sz w:val="24"/>
          <w:szCs w:val="24"/>
        </w:rPr>
        <w:t xml:space="preserve">The final observation returns to the project's own best sentence. The reference document's rule, never let the LLM silently fill a requirements gap, is what makes this platform worth building and this roadmap worth disciplining. Every development proposed here obeys it: the gate makes the asking decision explicit, the critic makes verification explicit, the journal makes approval explicit, the observatory makes cost explicit, and the calibration study makes confidence explicit. Broadening a system like this one does not mean adding more things it can do; it means making more of what it already does visible, measurable, and connected. That is the version of RequirementPilot this roadmap commits to, and it is a version the committee can both admire and verify.</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88887"/>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88888"/>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eastAsia="SimSun"/>
        <w:color w:val="808080"/>
        <w:sz w:val="18"/>
        <w:szCs w:val="18"/>
      </w:rPr>
      <w:t xml:space="preserve">RequirementPilot Expansion and Innovation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80" w:before="400" w:line="312"/>
      <w:outlineLvl w:val="0"/>
    </w:pPr>
    <w:rPr>
      <w:rFonts w:ascii="Times New Roman" w:eastAsia="SimHei"/>
      <w:b/>
      <w:bCs/>
      <w:color w:val="0A1628"/>
      <w:sz w:val="32"/>
      <w:szCs w:val="32"/>
    </w:rPr>
  </w:style>
  <w:style w:type="paragraph" w:styleId="Heading2">
    <w:name w:val="Heading 2"/>
    <w:basedOn w:val="Normal"/>
    <w:next w:val="Normal"/>
    <w:qFormat/>
    <w:pPr>
      <w:spacing w:after="130" w:before="280" w:line="312"/>
      <w:outlineLvl w:val="1"/>
    </w:pPr>
    <w:rPr>
      <w:rFonts w:ascii="Times New Roman" w:eastAsia="SimHei"/>
      <w:b/>
      <w:bCs/>
      <w:color w:val="14424E"/>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B6B7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19a8bfec3059168f5a8350f85d309238e44d52cf.png"/><Relationship Id="rId11" Type="http://schemas.openxmlformats.org/officeDocument/2006/relationships/image" Target="media/0057fb9ba2188d3ee574a4cc91349c8a0afead5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RequirementPilot Expansion and Innovation Roadmap</dc:title>
  <dc:creator>Independent Analysis</dc:creator>
  <cp:lastModifiedBy>Un-named</cp:lastModifiedBy>
  <cp:revision>1</cp:revision>
  <dcterms:created xsi:type="dcterms:W3CDTF">2026-10-03T00:30:03.459Z</dcterms:created>
  <dcterms:modified xsi:type="dcterms:W3CDTF">2026-10-03T00:30:03.460Z</dcterms:modified>
</cp:coreProperties>
</file>

<file path=docProps/custom.xml><?xml version="1.0" encoding="utf-8"?>
<Properties xmlns="http://schemas.openxmlformats.org/officeDocument/2006/custom-properties" xmlns:vt="http://schemas.openxmlformats.org/officeDocument/2006/docPropsVTypes"/>
</file>