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80"/>
      </w:pPr>
      <w:r>
        <w:rPr>
          <w:b/>
        </w:rPr>
        <w:t>Tarih: 18/06/2026</w:t>
      </w:r>
    </w:p>
    <w:p/>
    <w:p>
      <w:pPr>
        <w:pStyle w:val="Title"/>
      </w:pPr>
      <w:r>
        <w:t>İNSAN ARAŞTIRMALARI ETİK KURULU BAŞVURU FORMU</w:t>
      </w:r>
    </w:p>
    <w:p>
      <w:pPr>
        <w:spacing w:line="240" w:lineRule="auto" w:after="80"/>
      </w:pPr>
      <w:r>
        <w:rPr>
          <w:b/>
        </w:rPr>
        <w:t>PROJENİN ADI:</w:t>
      </w:r>
    </w:p>
    <w:p>
      <w:pPr>
        <w:spacing w:line="240" w:lineRule="auto" w:after="80"/>
      </w:pPr>
      <w:r>
        <w:rPr>
          <w:b w:val="0"/>
        </w:rPr>
        <w:t>İnme Sonrası Tek Seans PETTLEP Temelli Eylem Gözlemi ve Motor İmgeleme (AOMI) Uygulamasının Üst Ekstremite Kinematiği Üzerindeki Anlık Etkileri: Randomize Kontrollü Çalışma</w:t>
      </w:r>
    </w:p>
    <w:p/>
    <w:p>
      <w:pPr>
        <w:pStyle w:val="Heading1"/>
      </w:pPr>
      <w:r>
        <w:t>BAŞVURU BİLGİLERİ</w:t>
      </w:r>
    </w:p>
    <w:p>
      <w:pPr>
        <w:pStyle w:val="ListBullet"/>
      </w:pPr>
      <w:r>
        <w:t>Başvurunun şekli: Düzeltme / Onaylanan Projede Değişiklik Bildirimi</w:t>
      </w:r>
    </w:p>
    <w:p>
      <w:pPr>
        <w:pStyle w:val="ListBullet"/>
      </w:pPr>
      <w:r>
        <w:t>Araştırmanın niteliği: Yüksek Lisans Tez Çalışması</w:t>
      </w:r>
    </w:p>
    <w:p>
      <w:pPr>
        <w:pStyle w:val="ListBullet"/>
      </w:pPr>
      <w:r>
        <w:t>Bu araştırmanın sonuçları bilimsel bir dergide yayınlanacaktır.</w:t>
      </w:r>
    </w:p>
    <w:p>
      <w:pPr>
        <w:pStyle w:val="Heading1"/>
      </w:pPr>
      <w:r>
        <w:t>PROJE DANIŞMANI ÖĞRETİM ÜYESİ</w:t>
      </w:r>
    </w:p>
    <w:p>
      <w:pPr>
        <w:spacing w:line="240" w:lineRule="auto" w:after="80"/>
      </w:pPr>
      <w:r>
        <w:rPr>
          <w:b w:val="0"/>
        </w:rPr>
        <w:t>Dr. Öğr. Üyesi Begüm Kara Kaya | Biruni Üniversitesi, Fizyoterapi ve Rehabilitasyon</w:t>
      </w:r>
    </w:p>
    <w:p>
      <w:pPr>
        <w:spacing w:line="240" w:lineRule="auto" w:after="80"/>
      </w:pPr>
      <w:r>
        <w:rPr>
          <w:b w:val="0"/>
        </w:rPr>
        <w:t>begum.kara@biruni.edu.tr</w:t>
      </w:r>
    </w:p>
    <w:p>
      <w:pPr>
        <w:pStyle w:val="Heading1"/>
      </w:pPr>
      <w:r>
        <w:t>SORUMLU ARAŞTIRMACI</w:t>
      </w:r>
    </w:p>
    <w:p>
      <w:pPr>
        <w:spacing w:line="240" w:lineRule="auto" w:after="80"/>
      </w:pPr>
      <w:r>
        <w:rPr>
          <w:b w:val="0"/>
        </w:rPr>
        <w:t>Yüksek Lisans Öğrencisi / Fizyoterapist Abdelrahman Walid Hamza Mohamed Elsayed Sabee</w:t>
      </w:r>
    </w:p>
    <w:p>
      <w:pPr>
        <w:spacing w:line="240" w:lineRule="auto" w:after="80"/>
      </w:pPr>
      <w:r>
        <w:rPr>
          <w:b w:val="0"/>
        </w:rPr>
        <w:t>İstinye Üniversitesi, Lisansüstü Eğitim Enstitüsü, Fizyoterapi ve Rehabilitasyon</w:t>
      </w:r>
    </w:p>
    <w:p>
      <w:pPr>
        <w:spacing w:line="240" w:lineRule="auto" w:after="80"/>
      </w:pPr>
      <w:r>
        <w:rPr>
          <w:b w:val="0"/>
        </w:rPr>
        <w:t>abdelrahman.sabee@stu.istinye.edu.tr</w:t>
      </w:r>
    </w:p>
    <w:p>
      <w:pPr>
        <w:pStyle w:val="Heading1"/>
      </w:pPr>
      <w:r>
        <w:t>YARDIMCI ARAŞTIRMACILAR</w:t>
      </w:r>
    </w:p>
    <w:p>
      <w:pPr>
        <w:spacing w:line="240" w:lineRule="auto" w:after="80"/>
      </w:pPr>
      <w:r>
        <w:rPr>
          <w:b w:val="0"/>
        </w:rPr>
        <w:t>Doç. Dr. Çiğdem Çınar | Biruni Üniversitesi Hastanesi, FTR</w:t>
      </w:r>
    </w:p>
    <w:p>
      <w:pPr>
        <w:spacing w:line="240" w:lineRule="auto" w:after="80"/>
      </w:pPr>
      <w:r>
        <w:rPr>
          <w:b w:val="0"/>
        </w:rPr>
        <w:t>0507 783464 | ccinar@biruni.edu.tr</w:t>
      </w:r>
    </w:p>
    <w:p>
      <w:pPr>
        <w:pStyle w:val="Heading1"/>
      </w:pPr>
      <w:r>
        <w:t>ARAŞTIRMANIN GEREKÇESİ, AMACI VE KAYNAKLARI</w:t>
      </w:r>
    </w:p>
    <w:p>
      <w:pPr>
        <w:spacing w:line="240" w:lineRule="auto" w:after="80"/>
      </w:pPr>
      <w:r>
        <w:rPr>
          <w:b w:val="0"/>
        </w:rPr>
        <w:t>Stroke sonrası üst ekstremite motor bozukluğu yetişkinlerde önemli bir fonksiyonel kısıtlılık nedenidir. Hareket pürüzsüzlüğündeki bozulma (duraklama yüzdesi), gövde kompensasyonu ve omuz yükselmesi, merkezi motor planlama ve yürütme bozukluklarını yansıtır. PETTLEP çerçevesinde yapılandırılmış Eylem Gözlemi ve Motor İmgeleme (AOMI), fiziksel efor gerektirmeden motor yolları hedefleyebilir; ancak tek seanslı AOMI'nin anlık kinematik etkileri objektif markerless analizle yeterince araştırılmamıştır.</w:t>
      </w:r>
    </w:p>
    <w:p>
      <w:pPr>
        <w:spacing w:line="240" w:lineRule="auto" w:after="80"/>
      </w:pPr>
      <w:r>
        <w:rPr>
          <w:b w:val="0"/>
        </w:rPr>
        <w:t>Bu randomize kontrollü çalışma, inme sonrası bireylerde tek seans PETTLEP temelli AOMI'nin çapraz vücut ulaşma–dönüş (Reach &amp; Return) görevinde hareket pürüzsüzlüğü (smoothness_pause_pct; birincil sonuç), toplam hareket süresi, gövde-kompanzasyon oranı, omuz dikey yer değiştirmesi, tepe el hızı ve üst ekstremite fonksiyonu (WMFT-4) üzerindeki anlık etkilerini, zaman eşleştirilmiş imgeleme ve zihinsel arınma kontrol koşulu ile karşılaştırmayı amaçlamaktadır.</w:t>
      </w:r>
    </w:p>
    <w:p>
      <w:pPr>
        <w:spacing w:line="240" w:lineRule="auto" w:after="80"/>
      </w:pPr>
      <w:r>
        <w:rPr>
          <w:b/>
        </w:rPr>
        <w:t>Literatür ve kaynaklar:</w:t>
      </w:r>
    </w:p>
    <w:p>
      <w:pPr>
        <w:pStyle w:val="ListBullet"/>
      </w:pPr>
      <w:r>
        <w:t>Holmes &amp; Collins (2001) — PETTLEP motor imgeleme çerçevesi</w:t>
      </w:r>
    </w:p>
    <w:p>
      <w:pPr>
        <w:pStyle w:val="ListBullet"/>
      </w:pPr>
      <w:r>
        <w:t>Guerra et al. (2017); Kim &amp; Lee (2022) — AOMI ve inme rehabilitasyonu</w:t>
      </w:r>
    </w:p>
    <w:p>
      <w:pPr>
        <w:pStyle w:val="ListBullet"/>
      </w:pPr>
      <w:r>
        <w:t>Schwarz et al. (2022); Lakshminarayanan et al. (2023) — motor imgeleme etkinliği</w:t>
      </w:r>
    </w:p>
    <w:p>
      <w:pPr>
        <w:pStyle w:val="ListBullet"/>
      </w:pPr>
      <w:r>
        <w:t>Schuster et al. (2011); Di Rienzo et al. (2016) — motor olmayan kontrol koşulları</w:t>
      </w:r>
    </w:p>
    <w:p>
      <w:pPr>
        <w:pStyle w:val="ListBullet"/>
      </w:pPr>
      <w:r>
        <w:t>Uğur et al. (2021) — KVIQ-10 Türkçe geçerlilik</w:t>
      </w:r>
    </w:p>
    <w:p>
      <w:pPr>
        <w:pStyle w:val="ListBullet"/>
      </w:pPr>
      <w:r>
        <w:t>MediaPipe markerless kinematik analiz (Lugaresi et al., 2019)</w:t>
      </w:r>
    </w:p>
    <w:p>
      <w:pPr>
        <w:spacing w:line="240" w:lineRule="auto" w:after="80"/>
      </w:pPr>
      <w:r>
        <w:rPr>
          <w:b/>
        </w:rPr>
        <w:t>REVİZYON (onaylanmış protokolde değişiklik):</w:t>
      </w:r>
    </w:p>
    <w:p>
      <w:pPr>
        <w:pStyle w:val="ListBullet"/>
      </w:pPr>
      <w:r>
        <w:t>Çalışma çok merkezli hale getirilmiş; Biruni Üniversitesi Hastanesi ikinci veri toplam merkezi olarak eklenmiş ve Doç. Dr. Çiğdem Çınar yardımcı araştırmacı olarak ekibe dahil edilmiştir.</w:t>
      </w:r>
    </w:p>
    <w:p>
      <w:pPr>
        <w:pStyle w:val="ListBullet"/>
      </w:pPr>
      <w:r>
        <w:t>Motor görev Reach &amp; Wipe yerine Reach &amp; Return (ulaşma–dönüş) olarak güncellenmiştir.</w:t>
      </w:r>
    </w:p>
    <w:p>
      <w:pPr>
        <w:pStyle w:val="ListBullet"/>
      </w:pPr>
      <w:r>
        <w:t>Deneysel müdahale: 4 blok × 3 dk (Watch 45 sn + Imagine 90 sn + Rest 45 sn); kalibrasyon 60 sn; toplam ~13 dk.</w:t>
      </w:r>
    </w:p>
    <w:p>
      <w:pPr>
        <w:pStyle w:val="ListBullet"/>
      </w:pPr>
      <w:r>
        <w:t>Kontrol koşulu: motor olmayan imgeleme + zihinsel arınma (video ve frekans tonu yok); toplam ~13 dk.</w:t>
      </w:r>
    </w:p>
    <w:p>
      <w:pPr>
        <w:pStyle w:val="Heading1"/>
      </w:pPr>
      <w:r>
        <w:t>GÖNÜLLÜLERİN NİTELİĞİ</w:t>
      </w:r>
    </w:p>
    <w:p>
      <w:pPr>
        <w:spacing w:line="240" w:lineRule="auto" w:after="80"/>
      </w:pPr>
      <w:r>
        <w:rPr>
          <w:b w:val="0"/>
        </w:rPr>
        <w:t>Hasta (İnme / Stroke): n=28, yaş 40–80, toplam 28</w:t>
      </w:r>
    </w:p>
    <w:p>
      <w:pPr>
        <w:spacing w:line="240" w:lineRule="auto" w:after="80"/>
      </w:pPr>
      <w:r>
        <w:rPr>
          <w:b w:val="0"/>
        </w:rPr>
        <w:t>Etik Kurul onayı sonrası veri toplama süresi: 12 ay (Şubat 2026 – Şubat 2027)</w:t>
      </w:r>
    </w:p>
    <w:p>
      <w:pPr>
        <w:pStyle w:val="Heading1"/>
      </w:pPr>
      <w:r>
        <w:t>ARAŞTIRMANIN YAPILACAĞI YER</w:t>
      </w:r>
    </w:p>
    <w:p>
      <w:pPr>
        <w:pStyle w:val="ListBullet"/>
      </w:pPr>
      <w:r>
        <w:t>İstinye Üniversitesi Liv Bahçeşehir Hastanesi, Nörorehabilitasyon Kliniği, İstanbul</w:t>
      </w:r>
    </w:p>
    <w:p>
      <w:pPr>
        <w:pStyle w:val="ListBullet"/>
      </w:pPr>
      <w:r>
        <w:t>Biruni Üniversitesi Hastanesi, Fiziksel Tıp ve Rehabilitasyon Polikliniği, İstanbul</w:t>
      </w:r>
    </w:p>
    <w:p>
      <w:pPr>
        <w:spacing w:line="240" w:lineRule="auto" w:after="80"/>
      </w:pPr>
      <w:r>
        <w:rPr>
          <w:b w:val="0"/>
        </w:rPr>
        <w:t>Hastane / Poliklinik (izin yazısı alınacaktır)</w:t>
      </w:r>
    </w:p>
    <w:p>
      <w:pPr>
        <w:pStyle w:val="Heading1"/>
      </w:pPr>
      <w:r>
        <w:t>VERİ TOPLAMA YÖNTEMİ</w:t>
      </w:r>
    </w:p>
    <w:p>
      <w:pPr>
        <w:pStyle w:val="ListBullet"/>
      </w:pPr>
      <w:r>
        <w:t>Ölçek</w:t>
      </w:r>
    </w:p>
    <w:p>
      <w:pPr>
        <w:pStyle w:val="ListBullet"/>
      </w:pPr>
      <w:r>
        <w:t>Test</w:t>
      </w:r>
    </w:p>
    <w:p>
      <w:pPr>
        <w:pStyle w:val="ListBullet"/>
      </w:pPr>
      <w:r>
        <w:t>Gözlem</w:t>
      </w:r>
    </w:p>
    <w:p>
      <w:pPr>
        <w:pStyle w:val="ListBullet"/>
      </w:pPr>
      <w:r>
        <w:t>Bilgisayar ortamında uygulama</w:t>
      </w:r>
    </w:p>
    <w:p>
      <w:pPr>
        <w:pStyle w:val="ListBullet"/>
      </w:pPr>
      <w:r>
        <w:t>Görüntü kaydı</w:t>
      </w:r>
    </w:p>
    <w:p>
      <w:pPr>
        <w:pStyle w:val="ListBullet"/>
      </w:pPr>
      <w:r>
        <w:t>Ses kaydı</w:t>
      </w:r>
    </w:p>
    <w:p>
      <w:pPr>
        <w:pStyle w:val="Heading1"/>
      </w:pPr>
      <w:r>
        <w:t>ARAŞTIRMAYA DAHİL / HARİÇ TUTULMA KRİTERLERİ</w:t>
      </w:r>
    </w:p>
    <w:p>
      <w:pPr>
        <w:spacing w:line="240" w:lineRule="auto" w:after="80"/>
      </w:pPr>
      <w:r>
        <w:rPr>
          <w:b/>
        </w:rPr>
        <w:t>Dahil olma kriterleri:</w:t>
      </w:r>
    </w:p>
    <w:p>
      <w:pPr>
        <w:pStyle w:val="ListBullet"/>
      </w:pPr>
      <w:r>
        <w:t>40–80 yaş arası yetişkinler</w:t>
      </w:r>
    </w:p>
    <w:p>
      <w:pPr>
        <w:pStyle w:val="ListBullet"/>
      </w:pPr>
      <w:r>
        <w:t>Tek taraflı iskemik veya hemorajik inme</w:t>
      </w:r>
    </w:p>
    <w:p>
      <w:pPr>
        <w:pStyle w:val="ListBullet"/>
      </w:pPr>
      <w:r>
        <w:t>Etkilenen üst ekstremitede artık gönüllü hareket</w:t>
      </w:r>
    </w:p>
    <w:p>
      <w:pPr>
        <w:pStyle w:val="ListBullet"/>
      </w:pPr>
      <w:r>
        <w:t>Modified Ashworth Skalası ≤ 2</w:t>
      </w:r>
    </w:p>
    <w:p>
      <w:pPr>
        <w:pStyle w:val="ListBullet"/>
      </w:pPr>
      <w:r>
        <w:t>MMSE ≥ 21</w:t>
      </w:r>
    </w:p>
    <w:p>
      <w:pPr>
        <w:pStyle w:val="ListBullet"/>
      </w:pPr>
      <w:r>
        <w:t>Tıbbi olarak stabil; en az 30 dk desteksiz oturabilme</w:t>
      </w:r>
    </w:p>
    <w:p>
      <w:pPr>
        <w:pStyle w:val="ListBullet"/>
      </w:pPr>
      <w:r>
        <w:t>Reach &amp; Return görevini ve seans protokolüne uyum</w:t>
      </w:r>
    </w:p>
    <w:p>
      <w:pPr>
        <w:spacing w:line="240" w:lineRule="auto" w:after="80"/>
      </w:pPr>
      <w:r>
        <w:rPr>
          <w:b/>
        </w:rPr>
        <w:t>Hariç tutulma kriterleri:</w:t>
      </w:r>
    </w:p>
    <w:p>
      <w:pPr>
        <w:pStyle w:val="ListBullet"/>
      </w:pPr>
      <w:r>
        <w:t>İnme dışı santral sinir sistemi hastalıkları</w:t>
      </w:r>
    </w:p>
    <w:p>
      <w:pPr>
        <w:pStyle w:val="ListBullet"/>
      </w:pPr>
      <w:r>
        <w:t>Üst ekstremite hareketini kısıtlayan ortopedik durumlar</w:t>
      </w:r>
    </w:p>
    <w:p>
      <w:pPr>
        <w:pStyle w:val="ListBullet"/>
      </w:pPr>
      <w:r>
        <w:t>Görevi veya motor imgelemeyi engelleyen ciddi duyu kaybı / ihmal</w:t>
      </w:r>
    </w:p>
    <w:p>
      <w:pPr>
        <w:pStyle w:val="ListBullet"/>
      </w:pPr>
      <w:r>
        <w:t>Kontrolsüz nöbet, kardiyovasküler instabilite</w:t>
      </w:r>
    </w:p>
    <w:p>
      <w:pPr>
        <w:pStyle w:val="ListBullet"/>
      </w:pPr>
      <w:r>
        <w:t>Protokole uyum sağlayamama veya gönüllü geri çekilme</w:t>
      </w:r>
    </w:p>
    <w:p>
      <w:pPr>
        <w:pStyle w:val="Heading1"/>
      </w:pPr>
      <w:r>
        <w:t>UYGULANACAK YAKLAŞIM VE İSTATİSTİKSEL YÖNTEM</w:t>
      </w:r>
    </w:p>
    <w:p>
      <w:pPr>
        <w:spacing w:line="240" w:lineRule="auto" w:after="80"/>
      </w:pPr>
      <w:r>
        <w:rPr>
          <w:b w:val="0"/>
        </w:rPr>
        <w:t>Tasarım: Tek kör, ön test–son test, prospektif paralel grup randomize kontrollü çalışma (RCT); çok merkezli.</w:t>
      </w:r>
    </w:p>
    <w:p>
      <w:pPr>
        <w:spacing w:line="240" w:lineRule="auto" w:after="80"/>
      </w:pPr>
      <w:r>
        <w:rPr>
          <w:b w:val="0"/>
        </w:rPr>
        <w:t>Örneklem: n=28 (grup başına 14); G*Power; permütasyon blok randomizasyon (1:1); cinsiyet ve MAS stratifikasyonu; kinematik çıkarımı otomatik/kör.</w:t>
      </w:r>
    </w:p>
    <w:p>
      <w:pPr>
        <w:spacing w:line="240" w:lineRule="auto" w:after="80"/>
      </w:pPr>
      <w:r>
        <w:rPr>
          <w:b w:val="0"/>
        </w:rPr>
        <w:t>Değerlendirme görevi (pre/post): Çapraz vücut Reach &amp; Return — etkilenen kol ile uyluktan öne ulaşma, kısa duraklama, uyluğa dönüş; üç deneme, ortalama analiz.</w:t>
      </w:r>
    </w:p>
    <w:p>
      <w:pPr>
        <w:pStyle w:val="Heading2"/>
      </w:pPr>
      <w:r>
        <w:t>PETTLEP Çerçevesi (Holmes &amp; Collins, 2001)</w:t>
      </w:r>
    </w:p>
    <w:p>
      <w:pPr>
        <w:pStyle w:val="ListBullet"/>
      </w:pPr>
      <w:r>
        <w:t>P (Physical): Gerçek oturma düzeni, normal kıyafet, aynı sandalye</w:t>
      </w:r>
    </w:p>
    <w:p>
      <w:pPr>
        <w:pStyle w:val="ListBullet"/>
      </w:pPr>
      <w:r>
        <w:t>E (Environment): Değerlendirme odası; tablet ekranında ayna video</w:t>
      </w:r>
    </w:p>
    <w:p>
      <w:pPr>
        <w:pStyle w:val="ListBullet"/>
      </w:pPr>
      <w:r>
        <w:t>T (Task): Reach &amp; Return; tek akıcı hareket dizisi</w:t>
      </w:r>
    </w:p>
    <w:p>
      <w:pPr>
        <w:pStyle w:val="ListBullet"/>
      </w:pPr>
      <w:r>
        <w:t>T (Timing): Gerçek zamanlı kinestetik MI; Blok 3–4 frekans tonları</w:t>
      </w:r>
    </w:p>
    <w:p>
      <w:pPr>
        <w:pStyle w:val="ListBullet"/>
      </w:pPr>
      <w:r>
        <w:t>L (Learning): Bloklar arası düzeltici rehberlik</w:t>
      </w:r>
    </w:p>
    <w:p>
      <w:pPr>
        <w:pStyle w:val="ListBullet"/>
      </w:pPr>
      <w:r>
        <w:t>E (Emotion): Rahatlık, güven, hazır anından sonra ulaşma</w:t>
      </w:r>
    </w:p>
    <w:p>
      <w:pPr>
        <w:pStyle w:val="ListBullet"/>
      </w:pPr>
      <w:r>
        <w:t>P (Perspective): Watch = 3. kişi; Imagine = 1. kişi kinestetik</w:t>
      </w:r>
    </w:p>
    <w:p>
      <w:pPr>
        <w:pStyle w:val="Heading2"/>
      </w:pPr>
      <w:r>
        <w:t>DENEYSEL GRUP — PETTLEP-AOMI Protokolü (~13 dk)</w:t>
      </w:r>
    </w:p>
    <w:p>
      <w:pPr>
        <w:pStyle w:val="ListBullet"/>
      </w:pPr>
      <w:r>
        <w:t>Kalibrasyon: 60 sn</w:t>
      </w:r>
    </w:p>
    <w:p>
      <w:pPr>
        <w:pStyle w:val="ListBullet"/>
      </w:pPr>
      <w:r>
        <w:t>4 blok × 3 dk: Watch 45 sn + Imagine 90 sn + Rest 45 sn</w:t>
      </w:r>
    </w:p>
    <w:p>
      <w:pPr>
        <w:pStyle w:val="ListBullet"/>
      </w:pPr>
      <w:r>
        <w:t>Fiziksel hareket yalnızca pre/post değerlendirmede</w:t>
      </w:r>
    </w:p>
    <w:p>
      <w:pPr>
        <w:spacing w:line="240" w:lineRule="auto" w:after="80"/>
      </w:pPr>
      <w:r>
        <w:rPr>
          <w:b/>
        </w:rPr>
        <w:t>Kalibrasyon (60 sn):</w:t>
      </w:r>
    </w:p>
    <w:p>
      <w:pPr>
        <w:spacing w:line="240" w:lineRule="auto" w:after="80"/>
      </w:pPr>
      <w:r>
        <w:rPr>
          <w:b w:val="0"/>
        </w:rPr>
        <w:t>Rahat oturun, sırtınızı sandalyeye yaslayın. İki ayağınız yere bassın. Etkilenen elinizi avucunuz açık şekilde uyluğunuzda dinlendirin. Etkilenmemiş kolunuzla bir kez yavaşça öne uzanın — bir bardağa uzanır gibi. Bu his için tek bir kelime seçin (sabit, kolay veya yumuşak) ve sessizce söyleyin. Gözlerinizi kapatın. Aynı kelimeyi ve hissi etkilenen kolunuza gönderin.</w:t>
      </w:r>
    </w:p>
    <w:p>
      <w:pPr>
        <w:spacing w:line="240" w:lineRule="auto" w:after="80"/>
      </w:pPr>
      <w:r>
        <w:rPr>
          <w:b/>
        </w:rPr>
        <w:t>Blok 1 — Başlatma ve Gövde</w:t>
      </w:r>
    </w:p>
    <w:p>
      <w:pPr>
        <w:spacing w:line="240" w:lineRule="auto" w:after="80"/>
      </w:pPr>
      <w:r>
        <w:rPr>
          <w:b w:val="0"/>
        </w:rPr>
        <w:t>Watch (45 sn): Elinizi uyluğunuzda bırakın ve ekrana bakın. Etkilenen kolunuzu izleyin. Gövde öne eğilmez; kol kendi başına uzanır.</w:t>
      </w:r>
    </w:p>
    <w:p>
      <w:pPr>
        <w:spacing w:line="240" w:lineRule="auto" w:after="80"/>
      </w:pPr>
      <w:r>
        <w:rPr>
          <w:b w:val="0"/>
        </w:rPr>
        <w:t>Imagine (90 sn): Gözlerinizi kapatın. Gövde sabit; zihninizde hazır deyin. Sonra el yumuşakça ileri başlar; gövde sandalyede kalır.</w:t>
      </w:r>
    </w:p>
    <w:p>
      <w:pPr>
        <w:spacing w:line="240" w:lineRule="auto" w:after="80"/>
      </w:pPr>
      <w:r>
        <w:rPr>
          <w:b w:val="0"/>
        </w:rPr>
        <w:t>Rest (45 sn): Gözlerinizi açın. Kolunuzu uyluğunuzda bırakın. Sadece dinlenin.</w:t>
      </w:r>
    </w:p>
    <w:p>
      <w:pPr>
        <w:spacing w:line="240" w:lineRule="auto" w:after="80"/>
      </w:pPr>
      <w:r>
        <w:rPr>
          <w:b/>
        </w:rPr>
        <w:t>Blok 2 — Omuz Kontrolü</w:t>
      </w:r>
    </w:p>
    <w:p>
      <w:pPr>
        <w:spacing w:line="240" w:lineRule="auto" w:after="80"/>
      </w:pPr>
      <w:r>
        <w:rPr>
          <w:b w:val="0"/>
        </w:rPr>
        <w:t>Watch (45 sn): Omuz alçak ve gevşek kalır, kulaktan uzak.</w:t>
      </w:r>
    </w:p>
    <w:p>
      <w:pPr>
        <w:spacing w:line="240" w:lineRule="auto" w:after="80"/>
      </w:pPr>
      <w:r>
        <w:rPr>
          <w:b w:val="0"/>
        </w:rPr>
        <w:t>Imagine (90 sn): Omuz ağır ve aşağıda; dirsek açılır, el öne uzanır; omuz kalkmaz.</w:t>
      </w:r>
    </w:p>
    <w:p>
      <w:pPr>
        <w:spacing w:line="240" w:lineRule="auto" w:after="80"/>
      </w:pPr>
      <w:r>
        <w:rPr>
          <w:b w:val="0"/>
        </w:rPr>
        <w:t>Rest (45 sn): Gözlerinizi açın ve dinlenin.</w:t>
      </w:r>
    </w:p>
    <w:p>
      <w:pPr>
        <w:spacing w:line="240" w:lineRule="auto" w:after="80"/>
      </w:pPr>
      <w:r>
        <w:rPr>
          <w:b/>
        </w:rPr>
        <w:t>Blok 3 — Dirsek + Kronometri</w:t>
      </w:r>
    </w:p>
    <w:p>
      <w:pPr>
        <w:spacing w:line="240" w:lineRule="auto" w:after="80"/>
      </w:pPr>
      <w:r>
        <w:rPr>
          <w:b w:val="0"/>
        </w:rPr>
        <w:t>Watch (45 sn): Dirsek yumuşakça açılır; kaslar sakin.</w:t>
      </w:r>
    </w:p>
    <w:p>
      <w:pPr>
        <w:spacing w:line="240" w:lineRule="auto" w:after="80"/>
      </w:pPr>
      <w:r>
        <w:rPr>
          <w:b w:val="0"/>
        </w:rPr>
        <w:t>Imagine (90 sn): Dirsek açılır, el ulaşır, kısa durur, uyluğa döner. Frekans seslerini takip edin.</w:t>
      </w:r>
    </w:p>
    <w:p>
      <w:pPr>
        <w:spacing w:line="240" w:lineRule="auto" w:after="80"/>
      </w:pPr>
      <w:r>
        <w:rPr>
          <w:b w:val="0"/>
        </w:rPr>
        <w:t>Rest (45 sn): Gözlerinizi açın ve dinlenin. Uzanma hızı rahat mıydı? Evet/hayır.</w:t>
      </w:r>
    </w:p>
    <w:p>
      <w:pPr>
        <w:spacing w:line="240" w:lineRule="auto" w:after="80"/>
      </w:pPr>
      <w:r>
        <w:rPr>
          <w:b/>
        </w:rPr>
        <w:t>Blok 4 — Tam Ulaşma–Dönüş + Kronometri</w:t>
      </w:r>
    </w:p>
    <w:p>
      <w:pPr>
        <w:spacing w:line="240" w:lineRule="auto" w:after="80"/>
      </w:pPr>
      <w:r>
        <w:rPr>
          <w:b w:val="0"/>
        </w:rPr>
        <w:t>Watch (45 sn): El uylukta → ulaşma → duraklama → dönüş; önce vücut hazır, sonra kol.</w:t>
      </w:r>
    </w:p>
    <w:p>
      <w:pPr>
        <w:spacing w:line="240" w:lineRule="auto" w:after="80"/>
      </w:pPr>
      <w:r>
        <w:rPr>
          <w:b w:val="0"/>
        </w:rPr>
        <w:t>Imagine (90 sn): Tam uzanma hayal edin; frekans seslerini takip edin; zihinde bir kez daha tekrarlayın.</w:t>
      </w:r>
    </w:p>
    <w:p>
      <w:pPr>
        <w:spacing w:line="240" w:lineRule="auto" w:after="80"/>
      </w:pPr>
      <w:r>
        <w:rPr>
          <w:b w:val="0"/>
        </w:rPr>
        <w:t>Rest (45 sn): Gözlerinizi açın. Vücut hazır mıydı? Hız doğal mıydı? Evet/hayır. Seans bitti.</w:t>
      </w:r>
    </w:p>
    <w:p>
      <w:pPr>
        <w:spacing w:line="240" w:lineRule="auto" w:after="80"/>
      </w:pPr>
      <w:r>
        <w:rPr>
          <w:b/>
        </w:rPr>
        <w:t>Frekans tonları (Blok 3–4): ulaşma (düşük) | duraklama (orta) | dönüş (farklı) | 4 sn sessizlik</w:t>
      </w:r>
    </w:p>
    <w:p>
      <w:pPr>
        <w:pStyle w:val="Heading2"/>
      </w:pPr>
      <w:r>
        <w:t>KONTROL GRUBU — İmgeleme ve Zihinsel Arınma (~13 dk)</w:t>
      </w:r>
    </w:p>
    <w:p>
      <w:pPr>
        <w:pStyle w:val="ListBullet"/>
      </w:pPr>
      <w:r>
        <w:t>Motor imgeleme YOK; video YOK; frekans tonu YOK</w:t>
      </w:r>
    </w:p>
    <w:p>
      <w:pPr>
        <w:pStyle w:val="ListBullet"/>
      </w:pPr>
      <w:r>
        <w:t>60 sn giriş + 4 blok × 3 dk (Zihinsel Arınma 45 sn + İmgeleme 90 sn + Dinlenme 45 sn)</w:t>
      </w:r>
    </w:p>
    <w:p>
      <w:pPr>
        <w:pStyle w:val="ListBullet"/>
      </w:pPr>
      <w:r>
        <w:t>Dinlenme dönemlerinde soru sorulmaz</w:t>
      </w:r>
    </w:p>
    <w:p>
      <w:pPr>
        <w:spacing w:line="240" w:lineRule="auto" w:after="80"/>
      </w:pPr>
      <w:r>
        <w:rPr>
          <w:b/>
        </w:rPr>
        <w:t>Giriş — Zihin Hazırlığı (60 sn):</w:t>
      </w:r>
    </w:p>
    <w:p>
      <w:pPr>
        <w:spacing w:line="240" w:lineRule="auto" w:after="80"/>
      </w:pPr>
      <w:r>
        <w:rPr>
          <w:b w:val="0"/>
        </w:rPr>
        <w:t>Rahat oturun. Gözlerinizi kapatın. Derin nefes alın ve verin. Düşünceleri bulut gibi bırakın. Hareket, kol veya uzanma hayal etmeyin.</w:t>
      </w:r>
    </w:p>
    <w:p>
      <w:pPr>
        <w:spacing w:line="240" w:lineRule="auto" w:after="80"/>
      </w:pPr>
      <w:r>
        <w:rPr>
          <w:b/>
        </w:rPr>
        <w:t>Blok 1 — Nefes ve Zihinsel Arınma</w:t>
      </w:r>
    </w:p>
    <w:p>
      <w:pPr>
        <w:spacing w:line="240" w:lineRule="auto" w:after="80"/>
      </w:pPr>
      <w:r>
        <w:rPr>
          <w:b w:val="0"/>
        </w:rPr>
        <w:t>Zihinsel Arınma (45 sn): Nefes al… ver… Düşünceleri bırakın; hareket imgeleri gelirse nefese dönün.</w:t>
      </w:r>
    </w:p>
    <w:p>
      <w:pPr>
        <w:spacing w:line="240" w:lineRule="auto" w:after="80"/>
      </w:pPr>
      <w:r>
        <w:rPr>
          <w:b w:val="0"/>
        </w:rPr>
        <w:t>İmgeleme (90 sn): Sakin açık alan — gökyüzü veya yumuşak ışık; sahne hareketsiz.</w:t>
      </w:r>
    </w:p>
    <w:p>
      <w:pPr>
        <w:spacing w:line="240" w:lineRule="auto" w:after="80"/>
      </w:pPr>
      <w:r>
        <w:rPr>
          <w:b w:val="0"/>
        </w:rPr>
        <w:t>Dinlenme (45 sn): Gözlerinizi açın. Sadece dinlenin.</w:t>
      </w:r>
    </w:p>
    <w:p>
      <w:pPr>
        <w:spacing w:line="240" w:lineRule="auto" w:after="80"/>
      </w:pPr>
      <w:r>
        <w:rPr>
          <w:b/>
        </w:rPr>
        <w:t>Blok 2 — Renk ve Işık</w:t>
      </w:r>
    </w:p>
    <w:p>
      <w:pPr>
        <w:spacing w:line="240" w:lineRule="auto" w:after="80"/>
      </w:pPr>
      <w:r>
        <w:rPr>
          <w:b w:val="0"/>
        </w:rPr>
        <w:t>Zihinsel Arınma (45 sn): Endişe ve planları bırakın; sadeleşin.</w:t>
      </w:r>
    </w:p>
    <w:p>
      <w:pPr>
        <w:spacing w:line="240" w:lineRule="auto" w:after="80"/>
      </w:pPr>
      <w:r>
        <w:rPr>
          <w:b w:val="0"/>
        </w:rPr>
        <w:t>İmgeleme (90 sn): Sakin bir renk ve yumuşak ışık; vücut imgeleri yok.</w:t>
      </w:r>
    </w:p>
    <w:p>
      <w:pPr>
        <w:spacing w:line="240" w:lineRule="auto" w:after="80"/>
      </w:pPr>
      <w:r>
        <w:rPr>
          <w:b w:val="0"/>
        </w:rPr>
        <w:t>Dinlenme (45 sn): Gözlerinizi açın ve dinlenin.</w:t>
      </w:r>
    </w:p>
    <w:p>
      <w:pPr>
        <w:spacing w:line="240" w:lineRule="auto" w:after="80"/>
      </w:pPr>
      <w:r>
        <w:rPr>
          <w:b/>
        </w:rPr>
        <w:t>Blok 3 — Sakin Doğa</w:t>
      </w:r>
    </w:p>
    <w:p>
      <w:pPr>
        <w:spacing w:line="240" w:lineRule="auto" w:after="80"/>
      </w:pPr>
      <w:r>
        <w:rPr>
          <w:b w:val="0"/>
        </w:rPr>
        <w:t>Zihinsel Arınma (45 sn): Gerginliği fark edin ve bırakın.</w:t>
      </w:r>
    </w:p>
    <w:p>
      <w:pPr>
        <w:spacing w:line="240" w:lineRule="auto" w:after="80"/>
      </w:pPr>
      <w:r>
        <w:rPr>
          <w:b w:val="0"/>
        </w:rPr>
        <w:t>İmgeleme (90 sn): Durgun göl, ağaçlar, bulutlar — donmuş sahne.</w:t>
      </w:r>
    </w:p>
    <w:p>
      <w:pPr>
        <w:spacing w:line="240" w:lineRule="auto" w:after="80"/>
      </w:pPr>
      <w:r>
        <w:rPr>
          <w:b w:val="0"/>
        </w:rPr>
        <w:t>Dinlenme (45 sn): Gözlerinizi açın. Sadece dinlenin.</w:t>
      </w:r>
    </w:p>
    <w:p>
      <w:pPr>
        <w:spacing w:line="240" w:lineRule="auto" w:after="80"/>
      </w:pPr>
      <w:r>
        <w:rPr>
          <w:b/>
        </w:rPr>
        <w:t>Blok 4 — Kapanış</w:t>
      </w:r>
    </w:p>
    <w:p>
      <w:pPr>
        <w:spacing w:line="240" w:lineRule="auto" w:after="80"/>
      </w:pPr>
      <w:r>
        <w:rPr>
          <w:b w:val="0"/>
        </w:rPr>
        <w:t>Zihinsel Arınma (45 sn): Motor düşünceleri bırakın; sakin nefes.</w:t>
      </w:r>
    </w:p>
    <w:p>
      <w:pPr>
        <w:spacing w:line="240" w:lineRule="auto" w:after="80"/>
      </w:pPr>
      <w:r>
        <w:rPr>
          <w:b w:val="0"/>
        </w:rPr>
        <w:t>İmgeleme (90 sn): Blok 1 veya 3 sahnesini tekrarlayın; hareketsiz.</w:t>
      </w:r>
    </w:p>
    <w:p>
      <w:pPr>
        <w:spacing w:line="240" w:lineRule="auto" w:after="80"/>
      </w:pPr>
      <w:r>
        <w:rPr>
          <w:b w:val="0"/>
        </w:rPr>
        <w:t>Dinlenme (45 sn): Gözlerinizi açın. Sadece dinlenin. Teşekkürler. Seans bitti.</w:t>
      </w:r>
    </w:p>
    <w:p>
      <w:pPr>
        <w:pStyle w:val="Heading2"/>
      </w:pPr>
      <w:r>
        <w:t>ÖLÇÜMLER VE İSTATİSTİK</w:t>
      </w:r>
    </w:p>
    <w:p>
      <w:pPr>
        <w:spacing w:line="240" w:lineRule="auto" w:after="80"/>
      </w:pPr>
      <w:r>
        <w:rPr>
          <w:b w:val="0"/>
        </w:rPr>
        <w:t>Ölçümler: MediaPipe + NeuroLab markerless kinematik; birincil sonuç smoothness_pause_pct; ikincil: total_duration_s, total_trunk_palm_ratio, shoulder_vert_norm, total_peak_velocity; WMFT-4, KVIQ-10, VAMS-4, IPAQ, MDRS, VAS.</w:t>
      </w:r>
    </w:p>
    <w:p>
      <w:pPr>
        <w:spacing w:line="240" w:lineRule="auto" w:after="80"/>
      </w:pPr>
      <w:r>
        <w:rPr>
          <w:b w:val="0"/>
        </w:rPr>
        <w:t>İstatistik: 2 (Grup) × 2 (Zaman) karma ANOVA; ITT; LOCF; Holm–Bonferroni.</w:t>
      </w:r>
    </w:p>
    <w:p>
      <w:pPr>
        <w:pStyle w:val="Heading1"/>
      </w:pPr>
      <w:r>
        <w:t>DESTEK VE BÜTÇE BİLGİSİ</w:t>
      </w:r>
    </w:p>
    <w:p>
      <w:pPr>
        <w:spacing w:line="240" w:lineRule="auto" w:after="80"/>
      </w:pPr>
      <w:r>
        <w:rPr>
          <w:b w:val="0"/>
        </w:rPr>
        <w:t>Hayır — harici kurum desteği yok.</w:t>
      </w:r>
    </w:p>
    <w:p/>
    <w:p>
      <w:pPr>
        <w:spacing w:line="240" w:lineRule="auto" w:after="80"/>
      </w:pPr>
      <w:r>
        <w:rPr>
          <w:b w:val="0"/>
        </w:rPr>
        <w:t>*** Bu formda yer alan araştırma projesine ait veri toplama yöntemi ve çalışma dizaynına sadık kalınacağını taahhüt ederim.</w:t>
      </w:r>
    </w:p>
    <w:p/>
    <w:p>
      <w:pPr>
        <w:spacing w:line="240" w:lineRule="auto" w:after="80"/>
      </w:pPr>
      <w:r>
        <w:rPr>
          <w:b w:val="0"/>
        </w:rPr>
        <w:t>Sorumlu Araştırmacı: Abdelrahman Walid Hamza Mohamed Elsayed Sabee</w:t>
      </w:r>
    </w:p>
    <w:p>
      <w:pPr>
        <w:spacing w:line="240" w:lineRule="auto" w:after="80"/>
      </w:pPr>
      <w:r>
        <w:rPr>
          <w:b w:val="0"/>
        </w:rPr>
        <w:t>Tarih: …/…/2026</w:t>
      </w:r>
    </w:p>
    <w:p>
      <w:pPr>
        <w:spacing w:line="240" w:lineRule="auto" w:after="80"/>
      </w:pPr>
      <w:r>
        <w:rPr>
          <w:b w:val="0"/>
        </w:rPr>
        <w:t>İmza: 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