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114.png" ContentType="image/png"/>
  <Override PartName="/word/media/rId108.png" ContentType="image/png"/>
  <Override PartName="/word/media/rId178.png" ContentType="image/png"/>
  <Override PartName="/word/media/rId119.png" ContentType="image/png"/>
  <Override PartName="/word/media/rId124.png" ContentType="image/png"/>
  <Override PartName="/word/media/rId171.png" ContentType="image/png"/>
  <Override PartName="/word/media/rId166.png" ContentType="image/png"/>
  <Override PartName="/word/media/rId161.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hap:contexte"/>
    <w:p>
      <w:pPr>
        <w:pStyle w:val="Heading1"/>
      </w:pPr>
      <w:r>
        <w:t xml:space="preserve">Chapitre 1 : Contexte General</w:t>
      </w:r>
    </w:p>
    <w:bookmarkStart w:id="20" w:name="introduction"/>
    <w:p>
      <w:pPr>
        <w:pStyle w:val="Heading2"/>
      </w:pPr>
      <w:r>
        <w:t xml:space="preserve">Introduction</w:t>
      </w:r>
    </w:p>
    <w:p>
      <w:pPr>
        <w:pStyle w:val="FirstParagraph"/>
      </w:pPr>
      <w:r>
        <w:t xml:space="preserve">La transition vers un modèle publicitaire entièrement algorithmique représente l’une des mutations les plus profondes de l’économie numérique contemporaine. Les décisions qui, il y a encore vingt ans, relevaient d’une négociation humaine entre annonceurs et éditeurs, s’exécutent aujourd’hui en quelques millisecondes, à l’échelle de milliards d’impressions quotidiennes. C’est dans ce contexte de haute intensité informationnelle que s’inscrit le présent projet de fin d’études.</w:t>
      </w:r>
    </w:p>
    <w:p>
      <w:pPr>
        <w:pStyle w:val="BodyText"/>
      </w:pPr>
      <w:r>
        <w:t xml:space="preserve">Ce premier chapitre pose les fondements nécessaires à la compréhension du problème traité. Il s’organise autour de trois axes complémentaires. Nous présentons d’abord le cadre institutionnel du projet à travers la description de l’organisme d’accueil, Devoteam Maroc, et son positionnement dans l’écosystème technologique marocain. Nous exposons ensuite les mécanismes fondamentaux de la publicité digitale — de l’évolution du marché à l’architecture du</w:t>
      </w:r>
      <w:r>
        <w:t xml:space="preserve"> </w:t>
      </w:r>
      <w:r>
        <w:rPr>
          <w:i/>
          <w:iCs/>
        </w:rPr>
        <w:t xml:space="preserve">Real-Time Bidding</w:t>
      </w:r>
      <w:r>
        <w:t xml:space="preserve"> </w:t>
      </w:r>
      <w:r>
        <w:t xml:space="preserve">(RTB) en passant par les systèmes de recommandation — afin de situer précisément l’apport technologique visé. Enfin, nous articulons la</w:t>
      </w:r>
      <w:r>
        <w:t xml:space="preserve"> </w:t>
      </w:r>
      <w:r>
        <w:rPr>
          <w:b/>
          <w:bCs/>
        </w:rPr>
        <w:t xml:space="preserve">problématique centrale</w:t>
      </w:r>
      <w:r>
        <w:t xml:space="preserve"> </w:t>
      </w:r>
      <w:r>
        <w:t xml:space="preserve">de ce travail : la conception d’un système adaptatif capable d’optimiser dynamiquement les performances publicitaires en temps réel, en réponse aux limitations identifiées dans les approches industrielles actuelles.</w:t>
      </w:r>
    </w:p>
    <w:bookmarkEnd w:id="20"/>
    <w:bookmarkStart w:id="22" w:name="sec:organisme"/>
    <w:p>
      <w:pPr>
        <w:pStyle w:val="Heading2"/>
      </w:pPr>
      <w:r>
        <w:t xml:space="preserve">1.1 Organisme d’Accueil</w:t>
      </w:r>
    </w:p>
    <w:bookmarkStart w:id="21" w:name="note"/>
    <w:p>
      <w:pPr>
        <w:pStyle w:val="Heading5"/>
      </w:pPr>
      <w:r>
        <w:t xml:space="preserve">Note</w:t>
      </w:r>
    </w:p>
    <w:p>
      <w:pPr>
        <w:pStyle w:val="FirstParagraph"/>
      </w:pPr>
      <w:r>
        <w:t xml:space="preserve">Je n’ai pas encore rédigé ce paragraphe, vu que je n’ai pas encore le contexte et l’hiérarchie dans lesquels ce projet s’inscrit. Elle doit présenter l’entreprise d’accueil, sa mission, ses activités principales et le contexte dans lequel s’inscrit le stage.</w:t>
      </w:r>
    </w:p>
    <w:bookmarkEnd w:id="21"/>
    <w:bookmarkEnd w:id="22"/>
    <w:bookmarkStart w:id="29" w:name="sec:pub_digitale"/>
    <w:p>
      <w:pPr>
        <w:pStyle w:val="Heading2"/>
      </w:pPr>
      <w:r>
        <w:t xml:space="preserve">1.2 Publicité Digitale et Google Ads</w:t>
      </w:r>
    </w:p>
    <w:bookmarkStart w:id="23" w:name="évolution-du-marché-publicitaire"/>
    <w:p>
      <w:pPr>
        <w:pStyle w:val="Heading3"/>
      </w:pPr>
      <w:r>
        <w:t xml:space="preserve">1.2.1 Évolution du Marché Publicitaire</w:t>
      </w:r>
    </w:p>
    <w:p>
      <w:pPr>
        <w:pStyle w:val="FirstParagraph"/>
      </w:pPr>
      <w:r>
        <w:t xml:space="preserve">La publicité digitale a connu une transformation radicale au cours des deux dernières décennies. Le passage des médias traditionnels — presse, télévision, affichage — vers les canaux numériques a engendré un écosystème publicitaire d’une complexité sans précédent. En 2024, les dépenses mondiales en publicité digitale ont dépassé les</w:t>
      </w:r>
      <w:r>
        <w:t xml:space="preserve"> </w:t>
      </w:r>
      <w:r>
        <w:rPr>
          <w:b/>
          <w:bCs/>
        </w:rPr>
        <w:t xml:space="preserve">600 milliards de dollars</w:t>
      </w:r>
      <w:r>
        <w:t xml:space="preserve"> </w:t>
      </w:r>
      <w:r>
        <w:t xml:space="preserve">[</w:t>
      </w:r>
      <w:hyperlink w:anchor="ref-iab2024adspend">
        <w:r>
          <w:rPr>
            <w:rStyle w:val="Hyperlink"/>
          </w:rPr>
          <w:t xml:space="preserve">Interactive Advertising Bureau (IAB) 2024</w:t>
        </w:r>
      </w:hyperlink>
      <w:r>
        <w:t xml:space="preserve">]</w:t>
      </w:r>
      <w:r>
        <w:t xml:space="preserve">, confirmant la position dominante du numérique dans le paysage médiatique mondial.</w:t>
      </w:r>
    </w:p>
    <w:p>
      <w:pPr>
        <w:pStyle w:val="BodyText"/>
      </w:pPr>
      <w:r>
        <w:t xml:space="preserve">Cette évolution s’est structurée en trois phases majeures :</w:t>
      </w:r>
    </w:p>
    <w:p>
      <w:pPr>
        <w:numPr>
          <w:ilvl w:val="0"/>
          <w:numId w:val="1001"/>
        </w:numPr>
      </w:pPr>
      <w:r>
        <w:rPr>
          <w:b/>
          <w:bCs/>
        </w:rPr>
        <w:t xml:space="preserve">L’ère des bannières statiques (1994–2005)</w:t>
      </w:r>
      <w:r>
        <w:t xml:space="preserve"> </w:t>
      </w:r>
      <w:r>
        <w:t xml:space="preserve">: les premières publicités en ligne étaient de simples images cliquables, vendues au CPM (</w:t>
      </w:r>
      <w:r>
        <w:rPr>
          <w:i/>
          <w:iCs/>
        </w:rPr>
        <w:t xml:space="preserve">Cost-Per-Mille</w:t>
      </w:r>
      <w:r>
        <w:t xml:space="preserve">) selon un modèle d’achat direct entre annonceurs et éditeurs.</w:t>
      </w:r>
    </w:p>
    <w:p>
      <w:pPr>
        <w:numPr>
          <w:ilvl w:val="0"/>
          <w:numId w:val="1001"/>
        </w:numPr>
      </w:pPr>
      <w:r>
        <w:rPr>
          <w:b/>
          <w:bCs/>
        </w:rPr>
        <w:t xml:space="preserve">L’ère du Search Marketing (2000–2010)</w:t>
      </w:r>
      <w:r>
        <w:t xml:space="preserve"> </w:t>
      </w:r>
      <w:r>
        <w:t xml:space="preserve">: avec l’émergence de Google AdWords (devenu Google Ads), le modèle CPC (</w:t>
      </w:r>
      <w:r>
        <w:rPr>
          <w:i/>
          <w:iCs/>
        </w:rPr>
        <w:t xml:space="preserve">Cost-Per-Click</w:t>
      </w:r>
      <w:r>
        <w:t xml:space="preserve">) s’est imposé, alignant le coût publicitaire sur l’engagement réel de l’utilisateur</w:t>
      </w:r>
      <w:r>
        <w:t xml:space="preserve"> </w:t>
      </w:r>
      <w:r>
        <w:t xml:space="preserve">[</w:t>
      </w:r>
      <w:hyperlink w:anchor="ref-goldfarb2011online">
        <w:r>
          <w:rPr>
            <w:rStyle w:val="Hyperlink"/>
          </w:rPr>
          <w:t xml:space="preserve">Goldfarb and Tucker 2011</w:t>
        </w:r>
      </w:hyperlink>
      <w:r>
        <w:t xml:space="preserve">]</w:t>
      </w:r>
      <w:r>
        <w:t xml:space="preserve">.</w:t>
      </w:r>
    </w:p>
    <w:p>
      <w:pPr>
        <w:numPr>
          <w:ilvl w:val="0"/>
          <w:numId w:val="1001"/>
        </w:numPr>
      </w:pPr>
      <w:r>
        <w:rPr>
          <w:b/>
          <w:bCs/>
        </w:rPr>
        <w:t xml:space="preserve">L’ère du Programmatic Advertising (2010–présent)</w:t>
      </w:r>
      <w:r>
        <w:t xml:space="preserve"> </w:t>
      </w:r>
      <w:r>
        <w:t xml:space="preserve">: l’automatisation complète du processus d’achat/vente d’espaces publicitaires via des enchères en temps réel (</w:t>
      </w:r>
      <w:r>
        <w:rPr>
          <w:i/>
          <w:iCs/>
        </w:rPr>
        <w:t xml:space="preserve">Real-Time Bidding</w:t>
      </w:r>
      <w:r>
        <w:t xml:space="preserve">, RTB) a transformé l’industrie en un marché algorithmique</w:t>
      </w:r>
      <w:r>
        <w:t xml:space="preserve"> </w:t>
      </w:r>
      <w:r>
        <w:t xml:space="preserve">[</w:t>
      </w:r>
      <w:hyperlink w:anchor="ref-yuan2013real">
        <w:r>
          <w:rPr>
            <w:rStyle w:val="Hyperlink"/>
          </w:rPr>
          <w:t xml:space="preserve">Yuan et al. 2013</w:t>
        </w:r>
      </w:hyperlink>
      <w:r>
        <w:t xml:space="preserve">]</w:t>
      </w:r>
      <w:r>
        <w:t xml:space="preserve">.</w:t>
      </w:r>
    </w:p>
    <w:bookmarkEnd w:id="23"/>
    <w:bookmarkStart w:id="24" w:name="lécosystème-google-ads"/>
    <w:p>
      <w:pPr>
        <w:pStyle w:val="Heading3"/>
      </w:pPr>
      <w:r>
        <w:t xml:space="preserve">1.2.2 L’Écosystème Google Ads</w:t>
      </w:r>
    </w:p>
    <w:p>
      <w:pPr>
        <w:pStyle w:val="FirstParagraph"/>
      </w:pPr>
      <w:r>
        <w:t xml:space="preserve">Google Ads constitue la plateforme publicitaire la plus utilisée au monde, offrant trois canaux principaux :</w:t>
      </w:r>
    </w:p>
    <w:p>
      <w:pPr>
        <w:numPr>
          <w:ilvl w:val="0"/>
          <w:numId w:val="1002"/>
        </w:numPr>
      </w:pPr>
      <w:r>
        <w:rPr>
          <w:b/>
          <w:bCs/>
        </w:rPr>
        <w:t xml:space="preserve">Search Network</w:t>
      </w:r>
      <w:r>
        <w:t xml:space="preserve"> </w:t>
      </w:r>
      <w:r>
        <w:t xml:space="preserve">: annonces textuelles affichées dans les résultats de recherche Google, ciblées par mots-clés.</w:t>
      </w:r>
    </w:p>
    <w:p>
      <w:pPr>
        <w:numPr>
          <w:ilvl w:val="0"/>
          <w:numId w:val="1002"/>
        </w:numPr>
      </w:pPr>
      <w:r>
        <w:rPr>
          <w:b/>
          <w:bCs/>
        </w:rPr>
        <w:t xml:space="preserve">Display Network</w:t>
      </w:r>
      <w:r>
        <w:t xml:space="preserve"> </w:t>
      </w:r>
      <w:r>
        <w:t xml:space="preserve">: bannières visuelles diffusées sur un réseau de plus de 2 millions de sites partenaires.</w:t>
      </w:r>
    </w:p>
    <w:p>
      <w:pPr>
        <w:numPr>
          <w:ilvl w:val="0"/>
          <w:numId w:val="1002"/>
        </w:numPr>
      </w:pPr>
      <w:r>
        <w:rPr>
          <w:b/>
          <w:bCs/>
        </w:rPr>
        <w:t xml:space="preserve">YouTube Ads</w:t>
      </w:r>
      <w:r>
        <w:t xml:space="preserve"> </w:t>
      </w:r>
      <w:r>
        <w:t xml:space="preserve">: publicités vidéo pré-roll, mid-roll et overlay sur la première plateforme vidéo mondiale.</w:t>
      </w:r>
    </w:p>
    <w:bookmarkEnd w:id="24"/>
    <w:bookmarkStart w:id="26" w:name="modèles-économiques"/>
    <w:p>
      <w:pPr>
        <w:pStyle w:val="Heading3"/>
      </w:pPr>
      <w:r>
        <w:t xml:space="preserve">1.2.3 Modèles Économiques</w:t>
      </w:r>
    </w:p>
    <w:p>
      <w:pPr>
        <w:pStyle w:val="FirstParagraph"/>
      </w:pPr>
      <w:r>
        <w:t xml:space="preserve">Trois modèles de tarification coexistent dans cet écosystème :</w:t>
      </w:r>
    </w:p>
    <w:bookmarkStart w:id="25" w:name="tab:modeles_tarification"/>
    <w:p>
      <w:pPr>
        <w:pStyle w:val="TableCaption"/>
      </w:pPr>
      <w:r>
        <w:t xml:space="preserve">TABLEAU 1.1  MODèLES DE TARIFICATION EN PUBLICITé DIGITALE</w:t>
      </w:r>
    </w:p>
    <w:tbl>
      <w:tblPr>
        <w:tblStyle w:val="Table"/>
        <w:tblW w:type="auto" w:w="0"/>
        <w:tblLook w:firstRow="1" w:lastRow="0" w:firstColumn="0" w:lastColumn="0" w:noHBand="0" w:noVBand="0" w:val="0020"/>
        <w:tblCaption w:val="TABLEAU 1.1  MODèLES DE TARIFICATION EN PUBLICITé DIGITALE"/>
      </w:tblPr>
      <w:tblGrid>
        <w:gridCol w:w="2640"/>
        <w:gridCol w:w="2640"/>
        <w:gridCol w:w="2640"/>
      </w:tblGrid>
      <w:tr>
        <w:trPr>
          <w:tblHeader w:val="on"/>
        </w:trPr>
        <w:tc>
          <w:tcPr/>
          <w:p>
            <w:pPr>
              <w:pStyle w:val="Compact"/>
              <w:jc w:val="left"/>
            </w:pPr>
            <w:r>
              <w:rPr>
                <w:b/>
                <w:bCs/>
              </w:rPr>
              <w:t xml:space="preserve">Modèle</w:t>
            </w:r>
          </w:p>
        </w:tc>
        <w:tc>
          <w:tcPr/>
          <w:p>
            <w:pPr>
              <w:pStyle w:val="Compact"/>
              <w:jc w:val="left"/>
            </w:pPr>
            <w:r>
              <w:rPr>
                <w:b/>
                <w:bCs/>
              </w:rPr>
              <w:t xml:space="preserve">Signification</w:t>
            </w:r>
          </w:p>
        </w:tc>
        <w:tc>
          <w:tcPr/>
          <w:p>
            <w:pPr>
              <w:pStyle w:val="Compact"/>
              <w:jc w:val="left"/>
            </w:pPr>
            <w:r>
              <w:rPr>
                <w:b/>
                <w:bCs/>
              </w:rPr>
              <w:t xml:space="preserve">Description</w:t>
            </w:r>
          </w:p>
        </w:tc>
      </w:tr>
      <w:tr>
        <w:tc>
          <w:tcPr/>
          <w:p>
            <w:pPr>
              <w:pStyle w:val="Compact"/>
              <w:jc w:val="left"/>
            </w:pPr>
            <w:r>
              <w:t xml:space="preserve">CPC</w:t>
            </w:r>
          </w:p>
        </w:tc>
        <w:tc>
          <w:tcPr/>
          <w:p>
            <w:pPr>
              <w:pStyle w:val="Compact"/>
              <w:jc w:val="left"/>
            </w:pPr>
            <w:r>
              <w:t xml:space="preserve">Cost-Per-Click</w:t>
            </w:r>
          </w:p>
        </w:tc>
        <w:tc>
          <w:tcPr/>
          <w:p>
            <w:pPr>
              <w:pStyle w:val="Compact"/>
              <w:jc w:val="left"/>
            </w:pPr>
            <w:r>
              <w:t xml:space="preserve">L’annonceur paie uniquement lorsqu’un utilisateur clique sur l’annonce.</w:t>
            </w:r>
          </w:p>
        </w:tc>
      </w:tr>
      <w:tr>
        <w:tc>
          <w:tcPr/>
          <w:p>
            <w:pPr>
              <w:pStyle w:val="Compact"/>
              <w:jc w:val="left"/>
            </w:pPr>
            <w:r>
              <w:t xml:space="preserve">CPM</w:t>
            </w:r>
          </w:p>
        </w:tc>
        <w:tc>
          <w:tcPr/>
          <w:p>
            <w:pPr>
              <w:pStyle w:val="Compact"/>
              <w:jc w:val="left"/>
            </w:pPr>
            <w:r>
              <w:t xml:space="preserve">Cost-Per-Mille</w:t>
            </w:r>
          </w:p>
        </w:tc>
        <w:tc>
          <w:tcPr/>
          <w:p>
            <w:pPr>
              <w:pStyle w:val="Compact"/>
              <w:jc w:val="left"/>
            </w:pPr>
            <w:r>
              <w:t xml:space="preserve">L’annonceur paie pour chaque 1 000 impressions (affichages).</w:t>
            </w:r>
          </w:p>
        </w:tc>
      </w:tr>
      <w:tr>
        <w:tc>
          <w:tcPr/>
          <w:p>
            <w:pPr>
              <w:pStyle w:val="Compact"/>
              <w:jc w:val="left"/>
            </w:pPr>
            <w:r>
              <w:t xml:space="preserve">CPA</w:t>
            </w:r>
          </w:p>
        </w:tc>
        <w:tc>
          <w:tcPr/>
          <w:p>
            <w:pPr>
              <w:pStyle w:val="Compact"/>
              <w:jc w:val="left"/>
            </w:pPr>
            <w:r>
              <w:t xml:space="preserve">Cost-Per-Action</w:t>
            </w:r>
          </w:p>
        </w:tc>
        <w:tc>
          <w:tcPr/>
          <w:p>
            <w:pPr>
              <w:pStyle w:val="Compact"/>
              <w:jc w:val="left"/>
            </w:pPr>
            <w:r>
              <w:t xml:space="preserve">L’annonceur paie uniquement lorsqu’une action définie est réalisée (achat, inscription).</w:t>
            </w:r>
          </w:p>
        </w:tc>
      </w:tr>
    </w:tbl>
    <w:bookmarkEnd w:id="25"/>
    <w:bookmarkEnd w:id="26"/>
    <w:bookmarkStart w:id="28" w:name="le-real-time-bidding-rtb"/>
    <w:p>
      <w:pPr>
        <w:pStyle w:val="Heading3"/>
      </w:pPr>
      <w:r>
        <w:t xml:space="preserve">1.2.4 Le Real-Time Bidding (RTB)</w:t>
      </w:r>
    </w:p>
    <w:p>
      <w:pPr>
        <w:pStyle w:val="FirstParagraph"/>
      </w:pPr>
      <w:r>
        <w:t xml:space="preserve">Le</w:t>
      </w:r>
      <w:r>
        <w:t xml:space="preserve"> </w:t>
      </w:r>
      <w:r>
        <w:rPr>
          <w:i/>
          <w:iCs/>
        </w:rPr>
        <w:t xml:space="preserve">Real-Time Bidding</w:t>
      </w:r>
      <w:r>
        <w:t xml:space="preserve"> </w:t>
      </w:r>
      <w:r>
        <w:t xml:space="preserve">(RTB) est le mécanisme central de la publicité programmatique moderne. Son fonctionnement repose sur un processus d’enchères instantanées, illustré ci-dessous :</w:t>
      </w:r>
    </w:p>
    <w:bookmarkStart w:id="27" w:name="fig:rtb_pipeline"/>
    <w:tbl>
      <w:tblPr>
        <w:tblStyle w:val="FigureTable"/>
        <w:tblW w:type="auto" w:w="0"/>
        <w:jc w:val="center"/>
        <w:tblLook w:firstRow="0" w:lastRow="0" w:firstColumn="0" w:lastColumn="0"/>
      </w:tblPr>
      <w:tblGrid>
        <w:gridCol w:w="7920"/>
      </w:tblGrid>
      <w:tr>
        <w:tc>
          <w:tcPr/>
          <w:p/>
        </w:tc>
      </w:tr>
    </w:tbl>
    <w:p>
      <w:pPr>
        <w:pStyle w:val="ImageCaption"/>
      </w:pPr>
      <w:r>
        <w:t xml:space="preserve">Figure 1.1  Pipeline simplifié du Real-Time Bidding (RTB)</w:t>
      </w:r>
    </w:p>
    <w:bookmarkEnd w:id="27"/>
    <w:p>
      <w:pPr>
        <w:pStyle w:val="BodyText"/>
      </w:pPr>
      <w:r>
        <w:t xml:space="preserve">À chaque visite d’un utilisateur sur une page web, une enchère est lancée en temps réel. Les</w:t>
      </w:r>
      <w:r>
        <w:t xml:space="preserve"> </w:t>
      </w:r>
      <w:r>
        <w:rPr>
          <w:i/>
          <w:iCs/>
        </w:rPr>
        <w:t xml:space="preserve">Demand-Side Platforms</w:t>
      </w:r>
      <w:r>
        <w:t xml:space="preserve"> </w:t>
      </w:r>
      <w:r>
        <w:t xml:space="preserve">(DSP) des annonceurs soumettent leurs offres, et la meilleure enchère remporte le droit d’afficher sa publicité. Ce processus complet se déroule en moins de</w:t>
      </w:r>
      <w:r>
        <w:t xml:space="preserve"> </w:t>
      </w:r>
      <w:r>
        <w:rPr>
          <w:b/>
          <w:bCs/>
        </w:rPr>
        <w:t xml:space="preserve">100 millisecondes</w:t>
      </w:r>
      <w:r>
        <w:t xml:space="preserve"> </w:t>
      </w:r>
      <w:r>
        <w:t xml:space="preserve">[</w:t>
      </w:r>
      <w:hyperlink w:anchor="ref-yuan2013real">
        <w:r>
          <w:rPr>
            <w:rStyle w:val="Hyperlink"/>
          </w:rPr>
          <w:t xml:space="preserve">Yuan et al. 2013</w:t>
        </w:r>
      </w:hyperlink>
      <w:r>
        <w:t xml:space="preserve">]</w:t>
      </w:r>
      <w:r>
        <w:t xml:space="preserve">.</w:t>
      </w:r>
    </w:p>
    <w:bookmarkEnd w:id="28"/>
    <w:bookmarkEnd w:id="29"/>
    <w:bookmarkStart w:id="36" w:name="sec:systemes_reco"/>
    <w:p>
      <w:pPr>
        <w:pStyle w:val="Heading2"/>
      </w:pPr>
      <w:r>
        <w:t xml:space="preserve">1.3 Systèmes de Recommandation</w:t>
      </w:r>
    </w:p>
    <w:p>
      <w:pPr>
        <w:pStyle w:val="FirstParagraph"/>
      </w:pPr>
      <w:r>
        <w:t xml:space="preserve">Un</w:t>
      </w:r>
      <w:r>
        <w:t xml:space="preserve"> </w:t>
      </w:r>
      <w:r>
        <w:rPr>
          <w:b/>
          <w:bCs/>
        </w:rPr>
        <w:t xml:space="preserve">système de recommandation</w:t>
      </w:r>
      <w:r>
        <w:t xml:space="preserve"> </w:t>
      </w:r>
      <w:r>
        <w:t xml:space="preserve">est un mécanisme de filtrage d’information qui cherche à prédire la préférence ou la note qu’un utilisateur donnerait à un item</w:t>
      </w:r>
      <w:r>
        <w:t xml:space="preserve"> </w:t>
      </w:r>
      <w:r>
        <w:t xml:space="preserve">[</w:t>
      </w:r>
      <w:hyperlink w:anchor="ref-ricci2015recommender">
        <w:r>
          <w:rPr>
            <w:rStyle w:val="Hyperlink"/>
          </w:rPr>
          <w:t xml:space="preserve">Ricci et al. 2015</w:t>
        </w:r>
      </w:hyperlink>
      <w:r>
        <w:t xml:space="preserve">]</w:t>
      </w:r>
      <w:r>
        <w:t xml:space="preserve">. Formellement, il s’agit de construire une fonction d’utilité :</w:t>
      </w:r>
    </w:p>
    <w:p>
      <w:pPr>
        <w:pStyle w:val="BodyText"/>
      </w:pPr>
      <m:oMathPara>
        <m:oMathParaPr>
          <m:jc m:val="center"/>
        </m:oMathParaPr>
        <m:oMath>
          <m:r>
            <m:t>f</m:t>
          </m:r>
          <m:r>
            <m:rPr>
              <m:sty m:val="p"/>
            </m:rPr>
            <m:t>:</m:t>
          </m:r>
          <m:r>
            <m:rPr>
              <m:scr m:val="script"/>
              <m:sty m:val="p"/>
            </m:rPr>
            <m:t>U</m:t>
          </m:r>
          <m:r>
            <m:rPr>
              <m:sty m:val="p"/>
            </m:rPr>
            <m:t>×</m:t>
          </m:r>
          <m:r>
            <m:rPr>
              <m:scr m:val="script"/>
              <m:sty m:val="p"/>
            </m:rPr>
            <m:t>I</m:t>
          </m:r>
          <m:r>
            <m:rPr>
              <m:sty m:val="p"/>
            </m:rPr>
            <m:t>→</m:t>
          </m:r>
          <m:r>
            <m:rPr>
              <m:scr m:val="double-struck"/>
              <m:sty m:val="p"/>
            </m:rPr>
            <m:t>R</m:t>
          </m:r>
          <m:r>
            <m:t>  </m:t>
          </m:r>
          <m:r>
            <m:t>  </m:t>
          </m:r>
          <m:r>
            <m:t>  </m:t>
          </m:r>
          <m:r>
            <m:rPr>
              <m:nor/>
              <m:sty m:val="p"/>
            </m:rPr>
            <m:t>(1.1)</m:t>
          </m:r>
        </m:oMath>
      </m:oMathPara>
    </w:p>
    <w:p>
      <w:pPr>
        <w:pStyle w:val="FirstParagraph"/>
      </w:pPr>
      <w:r>
        <w:t xml:space="preserve"> </w:t>
      </w:r>
      <w:r>
        <w:t xml:space="preserve">où</w:t>
      </w:r>
      <w:r>
        <w:t xml:space="preserve"> </w:t>
      </w:r>
      <m:oMath>
        <m:r>
          <m:rPr>
            <m:scr m:val="script"/>
            <m:sty m:val="p"/>
          </m:rPr>
          <m:t>U</m:t>
        </m:r>
      </m:oMath>
      <w:r>
        <w:t xml:space="preserve"> </w:t>
      </w:r>
      <w:r>
        <w:t xml:space="preserve">est l’ensemble des utilisateurs et</w:t>
      </w:r>
      <w:r>
        <w:t xml:space="preserve"> </w:t>
      </w:r>
      <m:oMath>
        <m:r>
          <m:rPr>
            <m:scr m:val="script"/>
            <m:sty m:val="p"/>
          </m:rPr>
          <m:t>I</m:t>
        </m:r>
      </m:oMath>
      <w:r>
        <w:t xml:space="preserve"> </w:t>
      </w:r>
      <w:r>
        <w:t xml:space="preserve">l’ensemble des items (dans notre cas, les annonces publicitaires).</w:t>
      </w:r>
    </w:p>
    <w:bookmarkStart w:id="30" w:name="les-trois-familles-classiques"/>
    <w:p>
      <w:pPr>
        <w:pStyle w:val="Heading3"/>
      </w:pPr>
      <w:r>
        <w:t xml:space="preserve">1.3.1 Les Trois Familles Classiques</w:t>
      </w:r>
    </w:p>
    <w:p>
      <w:pPr>
        <w:pStyle w:val="FirstParagraph"/>
      </w:pPr>
      <w:r>
        <w:t xml:space="preserve">Trois paradigmes fondamentaux structurent le domaine des systèmes de recommandation :</w:t>
      </w:r>
    </w:p>
    <w:p>
      <w:pPr>
        <w:numPr>
          <w:ilvl w:val="0"/>
          <w:numId w:val="1003"/>
        </w:numPr>
      </w:pPr>
      <w:r>
        <w:rPr>
          <w:b/>
          <w:bCs/>
        </w:rPr>
        <w:t xml:space="preserve">Filtrage collaboratif</w:t>
      </w:r>
      <w:r>
        <w:t xml:space="preserve"> </w:t>
      </w:r>
      <w:r>
        <w:t xml:space="preserve">(</w:t>
      </w:r>
      <w:r>
        <w:rPr>
          <w:i/>
          <w:iCs/>
        </w:rPr>
        <w:t xml:space="preserve">Collaborative Filtering</w:t>
      </w:r>
      <w:r>
        <w:t xml:space="preserve">) : cette approche se fonde sur l’hypothèse que des utilisateurs ayant manifesté des préférences similaires dans le passé continueront à partager des goûts similaires. La technique phare, la</w:t>
      </w:r>
      <w:r>
        <w:t xml:space="preserve"> </w:t>
      </w:r>
      <w:r>
        <w:rPr>
          <w:i/>
          <w:iCs/>
        </w:rPr>
        <w:t xml:space="preserve">factorisation de matrice</w:t>
      </w:r>
      <w:r>
        <w:t xml:space="preserve">, projette les utilisateurs et les items dans un espace latent commun de dimension</w:t>
      </w:r>
      <w:r>
        <w:t xml:space="preserve"> </w:t>
      </w:r>
      <m:oMath>
        <m:r>
          <m:t>k</m:t>
        </m:r>
      </m:oMath>
      <w:r>
        <w:t xml:space="preserve"> </w:t>
      </w:r>
      <w:r>
        <w:t xml:space="preserve">[</w:t>
      </w:r>
      <w:hyperlink w:anchor="ref-koren2009matrix">
        <w:r>
          <w:rPr>
            <w:rStyle w:val="Hyperlink"/>
          </w:rPr>
          <w:t xml:space="preserve">Koren et al. 2009</w:t>
        </w:r>
      </w:hyperlink>
      <w:r>
        <w:t xml:space="preserve">]</w:t>
      </w:r>
      <w:r>
        <w:t xml:space="preserve"> </w:t>
      </w:r>
      <w:r>
        <w:t xml:space="preserve">:</w:t>
      </w:r>
    </w:p>
    <w:p>
      <w:pPr>
        <w:pStyle w:val="BodyText"/>
      </w:pPr>
      <m:oMathPara>
        <m:oMathParaPr>
          <m:jc m:val="center"/>
        </m:oMathParaPr>
        <m:oMath>
          <m:sSub>
            <m:e>
              <m:acc>
                <m:accPr>
                  <m:chr m:val="̂"/>
                </m:accPr>
                <m:e>
                  <m:r>
                    <m:t>r</m:t>
                  </m:r>
                </m:e>
              </m:acc>
            </m:e>
            <m:sub>
              <m:r>
                <m:t>u</m:t>
              </m:r>
              <m:r>
                <m:t>i</m:t>
              </m:r>
            </m:sub>
          </m:sSub>
          <m:r>
            <m:rPr>
              <m:sty m:val="p"/>
            </m:rPr>
            <m:t>=</m:t>
          </m:r>
          <m:sSubSup>
            <m:e>
              <m:r>
                <m:rPr>
                  <m:sty m:val="b"/>
                </m:rPr>
                <m:t>p</m:t>
              </m:r>
            </m:e>
            <m:sub>
              <m:r>
                <m:t>u</m:t>
              </m:r>
            </m:sub>
            <m:sup>
              <m:r>
                <m:t>T</m:t>
              </m:r>
            </m:sup>
          </m:sSubSup>
          <m:sSub>
            <m:e>
              <m:r>
                <m:rPr>
                  <m:sty m:val="b"/>
                </m:rPr>
                <m:t>q</m:t>
              </m:r>
            </m:e>
            <m:sub>
              <m:r>
                <m:t>i</m:t>
              </m:r>
            </m:sub>
          </m:sSub>
          <m:r>
            <m:t>  </m:t>
          </m:r>
          <m:r>
            <m:t>  </m:t>
          </m:r>
          <m:r>
            <m:t>  </m:t>
          </m:r>
          <m:r>
            <m:rPr>
              <m:nor/>
              <m:sty m:val="p"/>
            </m:rPr>
            <m:t>(1.2)</m:t>
          </m:r>
        </m:oMath>
      </m:oMathPara>
    </w:p>
    <w:p>
      <w:pPr>
        <w:numPr>
          <w:ilvl w:val="0"/>
          <w:numId w:val="1000"/>
        </w:numPr>
      </w:pPr>
      <w:r>
        <w:t xml:space="preserve"> </w:t>
      </w:r>
      <w:r>
        <w:t xml:space="preserve">où</w:t>
      </w:r>
      <w:r>
        <w:t xml:space="preserve"> </w:t>
      </w:r>
      <m:oMath>
        <m:sSub>
          <m:e>
            <m:r>
              <m:rPr>
                <m:sty m:val="b"/>
              </m:rPr>
              <m:t>p</m:t>
            </m:r>
          </m:e>
          <m:sub>
            <m:r>
              <m:t>u</m:t>
            </m:r>
          </m:sub>
        </m:sSub>
        <m:r>
          <m:rPr>
            <m:sty m:val="p"/>
          </m:rPr>
          <m:t>∈</m:t>
        </m:r>
        <m:sSup>
          <m:e>
            <m:r>
              <m:rPr>
                <m:scr m:val="double-struck"/>
                <m:sty m:val="p"/>
              </m:rPr>
              <m:t>R</m:t>
            </m:r>
          </m:e>
          <m:sup>
            <m:r>
              <m:t>k</m:t>
            </m:r>
          </m:sup>
        </m:sSup>
      </m:oMath>
      <w:r>
        <w:t xml:space="preserve"> </w:t>
      </w:r>
      <w:r>
        <w:t xml:space="preserve">est le vecteur latent de l’utilisateur</w:t>
      </w:r>
      <w:r>
        <w:t xml:space="preserve"> </w:t>
      </w:r>
      <m:oMath>
        <m:r>
          <m:t>u</m:t>
        </m:r>
      </m:oMath>
      <w:r>
        <w:t xml:space="preserve"> </w:t>
      </w:r>
      <w:r>
        <w:t xml:space="preserve">et</w:t>
      </w:r>
      <w:r>
        <w:t xml:space="preserve"> </w:t>
      </w:r>
      <m:oMath>
        <m:sSub>
          <m:e>
            <m:r>
              <m:rPr>
                <m:sty m:val="b"/>
              </m:rPr>
              <m:t>q</m:t>
            </m:r>
          </m:e>
          <m:sub>
            <m:r>
              <m:t>i</m:t>
            </m:r>
          </m:sub>
        </m:sSub>
        <m:r>
          <m:rPr>
            <m:sty m:val="p"/>
          </m:rPr>
          <m:t>∈</m:t>
        </m:r>
        <m:sSup>
          <m:e>
            <m:r>
              <m:rPr>
                <m:scr m:val="double-struck"/>
                <m:sty m:val="p"/>
              </m:rPr>
              <m:t>R</m:t>
            </m:r>
          </m:e>
          <m:sup>
            <m:r>
              <m:t>k</m:t>
            </m:r>
          </m:sup>
        </m:sSup>
      </m:oMath>
      <w:r>
        <w:t xml:space="preserve"> </w:t>
      </w:r>
      <w:r>
        <w:t xml:space="preserve">celui de l’item</w:t>
      </w:r>
      <w:r>
        <w:t xml:space="preserve"> </w:t>
      </w:r>
      <m:oMath>
        <m:r>
          <m:t>i</m:t>
        </m:r>
      </m:oMath>
      <w:r>
        <w:t xml:space="preserve">.</w:t>
      </w:r>
    </w:p>
    <w:p>
      <w:pPr>
        <w:numPr>
          <w:ilvl w:val="0"/>
          <w:numId w:val="1003"/>
        </w:numPr>
      </w:pPr>
      <w:r>
        <w:rPr>
          <w:b/>
          <w:bCs/>
        </w:rPr>
        <w:t xml:space="preserve">Filtrage par contenu</w:t>
      </w:r>
      <w:r>
        <w:t xml:space="preserve"> </w:t>
      </w:r>
      <w:r>
        <w:t xml:space="preserve">(</w:t>
      </w:r>
      <w:r>
        <w:rPr>
          <w:i/>
          <w:iCs/>
        </w:rPr>
        <w:t xml:space="preserve">Content-Based Filtering</w:t>
      </w:r>
      <w:r>
        <w:t xml:space="preserve">) : cette approche recommande des items similaires à ceux que l’utilisateur a appréciés par le passé, en se fondant sur les attributs intrinsèques des items (catégorie, description textuelle, métadonnées). Elle est robuste au cold-start pour les nouveaux utilisateurs, mais manque souvent de</w:t>
      </w:r>
      <w:r>
        <w:t xml:space="preserve"> </w:t>
      </w:r>
      <w:r>
        <w:rPr>
          <w:i/>
          <w:iCs/>
        </w:rPr>
        <w:t xml:space="preserve">sérendipité</w:t>
      </w:r>
      <w:r>
        <w:t xml:space="preserve"> </w:t>
      </w:r>
      <w:r>
        <w:t xml:space="preserve">(capacité à surprendre positivement l’utilisateur).</w:t>
      </w:r>
    </w:p>
    <w:p>
      <w:pPr>
        <w:numPr>
          <w:ilvl w:val="0"/>
          <w:numId w:val="1003"/>
        </w:numPr>
      </w:pPr>
      <w:r>
        <w:rPr>
          <w:b/>
          <w:bCs/>
        </w:rPr>
        <w:t xml:space="preserve">Approches hybrides</w:t>
      </w:r>
      <w:r>
        <w:t xml:space="preserve"> </w:t>
      </w:r>
      <w:r>
        <w:t xml:space="preserve">: elles combinent les deux paradigmes précédents pour compenser leurs faiblesses respectives. Par exemple, les systèmes de Netflix exploitent à la fois le filtrage collaboratif (historique de visionnage des utilisateurs similaires) et le filtrage par contenu (genre, réalisateur, acteurs)</w:t>
      </w:r>
      <w:r>
        <w:t xml:space="preserve"> </w:t>
      </w:r>
      <w:r>
        <w:t xml:space="preserve">[</w:t>
      </w:r>
      <w:hyperlink w:anchor="ref-bobadilla2013recommender">
        <w:r>
          <w:rPr>
            <w:rStyle w:val="Hyperlink"/>
          </w:rPr>
          <w:t xml:space="preserve">Bobadilla et al. 2013</w:t>
        </w:r>
      </w:hyperlink>
      <w:r>
        <w:t xml:space="preserve">]</w:t>
      </w:r>
      <w:r>
        <w:t xml:space="preserve">.</w:t>
      </w:r>
    </w:p>
    <w:bookmarkEnd w:id="30"/>
    <w:bookmarkStart w:id="31" w:name="X9822c96903cadc2c38540db3c1f32a8e42976d1"/>
    <w:p>
      <w:pPr>
        <w:pStyle w:val="Heading3"/>
      </w:pPr>
      <w:r>
        <w:t xml:space="preserve">1.3.2 Transition vers la Recommandation Publicitaire</w:t>
      </w:r>
    </w:p>
    <w:p>
      <w:pPr>
        <w:pStyle w:val="FirstParagraph"/>
      </w:pPr>
      <w:r>
        <w:t xml:space="preserve">Dans le contexte publicitaire, les annonces constituent les</w:t>
      </w:r>
      <w:r>
        <w:t xml:space="preserve"> </w:t>
      </w:r>
      <w:r>
        <w:rPr>
          <w:i/>
          <w:iCs/>
        </w:rPr>
        <w:t xml:space="preserve">items</w:t>
      </w:r>
      <w:r>
        <w:t xml:space="preserve"> </w:t>
      </w:r>
      <w:r>
        <w:t xml:space="preserve">à recommander. Cependant, deux particularités distinguent la recommandation publicitaire de la recommandation classique :</w:t>
      </w:r>
    </w:p>
    <w:p>
      <w:pPr>
        <w:numPr>
          <w:ilvl w:val="0"/>
          <w:numId w:val="1004"/>
        </w:numPr>
      </w:pPr>
      <w:r>
        <w:rPr>
          <w:b/>
          <w:bCs/>
        </w:rPr>
        <w:t xml:space="preserve">Rotation rapide du catalogue</w:t>
      </w:r>
      <w:r>
        <w:t xml:space="preserve"> </w:t>
      </w:r>
      <w:r>
        <w:t xml:space="preserve">: contrairement aux films ou aux produits e-commerce, les annonces publicitaires changent fréquemment (création de nouvelles campagnes, expiration d’annonces, etc.).</w:t>
      </w:r>
    </w:p>
    <w:p>
      <w:pPr>
        <w:numPr>
          <w:ilvl w:val="0"/>
          <w:numId w:val="1004"/>
        </w:numPr>
      </w:pPr>
      <w:r>
        <w:rPr>
          <w:b/>
          <w:bCs/>
        </w:rPr>
        <w:t xml:space="preserve">Problème du Cold-Start</w:t>
      </w:r>
      <w:r>
        <w:t xml:space="preserve"> </w:t>
      </w:r>
      <w:r>
        <w:t xml:space="preserve">: chaque nouvelle annonce entre dans le système sans aucune donnée d’interaction. Le filtrage collaboratif, qui repose sur l’historique des préférences, est structurellement incapable de recommander un item sans historique.</w:t>
      </w:r>
    </w:p>
    <w:p>
      <w:pPr>
        <w:pStyle w:val="FirstParagraph"/>
      </w:pPr>
      <w:r>
        <w:t xml:space="preserve">Le</w:t>
      </w:r>
      <w:r>
        <w:t xml:space="preserve"> </w:t>
      </w:r>
      <w:r>
        <w:rPr>
          <w:i/>
          <w:iCs/>
        </w:rPr>
        <w:t xml:space="preserve">cold-start</w:t>
      </w:r>
      <w:r>
        <w:t xml:space="preserve"> </w:t>
      </w:r>
      <w:r>
        <w:t xml:space="preserve">désigne l’incapacité d’un système de recommandation à prédire la performance d’un item sans données historiques. En publicité digitale, où les créatifs changent quotidiennement, ce problème est</w:t>
      </w:r>
      <w:r>
        <w:t xml:space="preserve"> </w:t>
      </w:r>
      <w:r>
        <w:rPr>
          <w:b/>
          <w:bCs/>
        </w:rPr>
        <w:t xml:space="preserve">structurel</w:t>
      </w:r>
      <w:r>
        <w:t xml:space="preserve"> </w:t>
      </w:r>
      <w:r>
        <w:t xml:space="preserve">et non pas occasionnel.</w:t>
      </w:r>
    </w:p>
    <w:bookmarkEnd w:id="31"/>
    <w:bookmarkStart w:id="35" w:name="sec:reco_temps_reel"/>
    <w:p>
      <w:pPr>
        <w:pStyle w:val="Heading3"/>
      </w:pPr>
      <w:r>
        <w:t xml:space="preserve">1.3.3 Recommandation Temps Réel</w:t>
      </w:r>
    </w:p>
    <w:p>
      <w:pPr>
        <w:pStyle w:val="FirstParagraph"/>
      </w:pPr>
      <w:r>
        <w:t xml:space="preserve">Dans un système publicitaire en temps réel, le moteur de recommandation doit sélectionner la meilleure annonce pour chaque impression en un temps strictement inférieur à</w:t>
      </w:r>
      <w:r>
        <w:t xml:space="preserve"> </w:t>
      </w:r>
      <w:r>
        <w:rPr>
          <w:b/>
          <w:bCs/>
        </w:rPr>
        <w:t xml:space="preserve">50 millisecondes</w:t>
      </w:r>
      <w:r>
        <w:t xml:space="preserve"> </w:t>
      </w:r>
      <w:r>
        <w:t xml:space="preserve">[</w:t>
      </w:r>
      <w:hyperlink w:anchor="ref-mcmahan2013ad">
        <w:r>
          <w:rPr>
            <w:rStyle w:val="Hyperlink"/>
          </w:rPr>
          <w:t xml:space="preserve">McMahan et al. 2013</w:t>
        </w:r>
      </w:hyperlink>
      <w:r>
        <w:t xml:space="preserve">]</w:t>
      </w:r>
      <w:r>
        <w:t xml:space="preserve">. Au-delà de ce seuil, l’opportunité d’enchère est perdue (</w:t>
      </w:r>
      <w:r>
        <w:rPr>
          <w:i/>
          <w:iCs/>
        </w:rPr>
        <w:t xml:space="preserve">timeout</w:t>
      </w:r>
      <w:r>
        <w:t xml:space="preserve">).</w:t>
      </w:r>
    </w:p>
    <w:bookmarkStart w:id="32" w:name="objectifs-multiples."/>
    <w:p>
      <w:pPr>
        <w:pStyle w:val="Heading5"/>
      </w:pPr>
      <w:r>
        <w:t xml:space="preserve">Objectifs Multiples.</w:t>
      </w:r>
    </w:p>
    <w:p>
      <w:pPr>
        <w:pStyle w:val="FirstParagraph"/>
      </w:pPr>
      <w:r>
        <w:t xml:space="preserve">Le système poursuit simultanément deux objectifs potentiellement contradictoires :</w:t>
      </w:r>
    </w:p>
    <w:p>
      <w:pPr>
        <w:numPr>
          <w:ilvl w:val="0"/>
          <w:numId w:val="1005"/>
        </w:numPr>
      </w:pPr>
      <w:r>
        <w:rPr>
          <w:b/>
          <w:bCs/>
        </w:rPr>
        <w:t xml:space="preserve">Maximiser l’engagement</w:t>
      </w:r>
      <w:r>
        <w:t xml:space="preserve"> </w:t>
      </w:r>
      <w:r>
        <w:t xml:space="preserve">(CTR —</w:t>
      </w:r>
      <w:r>
        <w:t xml:space="preserve"> </w:t>
      </w:r>
      <w:r>
        <w:rPr>
          <w:i/>
          <w:iCs/>
        </w:rPr>
        <w:t xml:space="preserve">Click-Through Rate</w:t>
      </w:r>
      <w:r>
        <w:t xml:space="preserve">) : la probabilité qu’un utilisateur clique sur l’annonce affichée.</w:t>
      </w:r>
    </w:p>
    <w:p>
      <w:pPr>
        <w:numPr>
          <w:ilvl w:val="0"/>
          <w:numId w:val="1005"/>
        </w:numPr>
      </w:pPr>
      <w:r>
        <w:rPr>
          <w:b/>
          <w:bCs/>
        </w:rPr>
        <w:t xml:space="preserve">Maximiser le revenu</w:t>
      </w:r>
      <w:r>
        <w:t xml:space="preserve"> </w:t>
      </w:r>
      <w:r>
        <w:t xml:space="preserve">(</w:t>
      </w:r>
      <w:r>
        <w:rPr>
          <w:i/>
          <w:iCs/>
        </w:rPr>
        <w:t xml:space="preserve">Revenue</w:t>
      </w:r>
      <w:r>
        <w:t xml:space="preserve">) : la valeur économique générée, calculée comme le produit du CTR, du taux de conversion (CVR) et du prix par clic (CPC).</w:t>
      </w:r>
    </w:p>
    <w:p>
      <w:pPr>
        <w:pStyle w:val="FirstParagraph"/>
      </w:pPr>
      <w:r>
        <w:t xml:space="preserve">Ces deux objectifs sont souvent en conflit : les annonces populaires (fort CTR) tendent à avoir un CPC faible (forte concurrence), tandis que les annonces de niche (faible CTR) offrent un CPC plus élevé</w:t>
      </w:r>
      <w:r>
        <w:t xml:space="preserve"> </w:t>
      </w:r>
      <w:r>
        <w:t xml:space="preserve">[</w:t>
      </w:r>
      <w:hyperlink w:anchor="ref-he2014practical">
        <w:r>
          <w:rPr>
            <w:rStyle w:val="Hyperlink"/>
          </w:rPr>
          <w:t xml:space="preserve">He et al. 2014</w:t>
        </w:r>
      </w:hyperlink>
      <w:r>
        <w:t xml:space="preserve">]</w:t>
      </w:r>
      <w:r>
        <w:t xml:space="preserve">.</w:t>
      </w:r>
    </w:p>
    <w:bookmarkEnd w:id="32"/>
    <w:bookmarkStart w:id="34" w:name="défis-techniques."/>
    <w:p>
      <w:pPr>
        <w:pStyle w:val="Heading5"/>
      </w:pPr>
      <w:r>
        <w:t xml:space="preserve">Défis Techniques.</w:t>
      </w:r>
    </w:p>
    <w:p>
      <w:pPr>
        <w:pStyle w:val="FirstParagraph"/>
      </w:pPr>
      <w:r>
        <w:t xml:space="preserve">La recommandation publicitaire en temps réel soulève au moins cinq défis majeurs :</w:t>
      </w:r>
    </w:p>
    <w:bookmarkStart w:id="33" w:name="tab:defis_reco"/>
    <w:p>
      <w:pPr>
        <w:pStyle w:val="TableCaption"/>
      </w:pPr>
      <w:r>
        <w:t xml:space="preserve">TABLEAU 1.2  DéFIS DE LA RECOMMANDATION PUBLICITAIRE EN TEMPS RéEL</w:t>
      </w:r>
    </w:p>
    <w:tbl>
      <w:tblPr>
        <w:tblStyle w:val="Table"/>
        <w:tblW w:type="auto" w:w="0"/>
        <w:tblLook w:firstRow="1" w:lastRow="0" w:firstColumn="0" w:lastColumn="0" w:noHBand="0" w:noVBand="0" w:val="0020"/>
        <w:tblCaption w:val="TABLEAU 1.2  DéFIS DE LA RECOMMANDATION PUBLICITAIRE EN TEMPS RéEL"/>
      </w:tblPr>
      <w:tblGrid>
        <w:gridCol w:w="3960"/>
        <w:gridCol w:w="3960"/>
      </w:tblGrid>
      <w:tr>
        <w:trPr>
          <w:tblHeader w:val="on"/>
        </w:trPr>
        <w:tc>
          <w:tcPr/>
          <w:p>
            <w:pPr>
              <w:pStyle w:val="Compact"/>
              <w:jc w:val="left"/>
            </w:pPr>
            <w:r>
              <w:rPr>
                <w:b/>
                <w:bCs/>
              </w:rPr>
              <w:t xml:space="preserve">Défi</w:t>
            </w:r>
          </w:p>
        </w:tc>
        <w:tc>
          <w:tcPr/>
          <w:p>
            <w:pPr>
              <w:pStyle w:val="Compact"/>
              <w:jc w:val="left"/>
            </w:pPr>
            <w:r>
              <w:rPr>
                <w:b/>
                <w:bCs/>
              </w:rPr>
              <w:t xml:space="preserve">Description</w:t>
            </w:r>
          </w:p>
        </w:tc>
      </w:tr>
      <w:tr>
        <w:tc>
          <w:tcPr/>
          <w:p>
            <w:pPr>
              <w:pStyle w:val="Compact"/>
              <w:jc w:val="left"/>
            </w:pPr>
            <w:r>
              <w:t xml:space="preserve">Latence</w:t>
            </w:r>
          </w:p>
        </w:tc>
        <w:tc>
          <w:tcPr/>
          <w:p>
            <w:pPr>
              <w:pStyle w:val="Compact"/>
              <w:jc w:val="left"/>
            </w:pPr>
            <w:r>
              <w:t xml:space="preserve">Décision en</w:t>
            </w:r>
            <w:r>
              <w:t xml:space="preserve"> </w:t>
            </w:r>
            <m:oMath>
              <m:r>
                <m:rPr>
                  <m:sty m:val="p"/>
                </m:rPr>
                <m:t>&lt;</m:t>
              </m:r>
              <m:r>
                <m:t>​</m:t>
              </m:r>
              <m:r>
                <m:t>50</m:t>
              </m:r>
            </m:oMath>
            <w:r>
              <w:t xml:space="preserve"> ms, excluant les modèles à inférence lente.</w:t>
            </w:r>
          </w:p>
        </w:tc>
      </w:tr>
      <w:tr>
        <w:tc>
          <w:tcPr/>
          <w:p>
            <w:pPr>
              <w:pStyle w:val="Compact"/>
              <w:jc w:val="left"/>
            </w:pPr>
            <w:r>
              <w:t xml:space="preserve">Volume</w:t>
            </w:r>
          </w:p>
        </w:tc>
        <w:tc>
          <w:tcPr/>
          <w:p>
            <w:pPr>
              <w:pStyle w:val="Compact"/>
              <w:jc w:val="left"/>
            </w:pPr>
            <w:r>
              <w:t xml:space="preserve">Millions d’impressions par jour nécessitant une scalabilité horizontale.</w:t>
            </w:r>
          </w:p>
        </w:tc>
      </w:tr>
      <w:tr>
        <w:tc>
          <w:tcPr/>
          <w:p>
            <w:pPr>
              <w:pStyle w:val="Compact"/>
              <w:jc w:val="left"/>
            </w:pPr>
            <w:r>
              <w:t xml:space="preserve">Exploration-Exploitation</w:t>
            </w:r>
          </w:p>
        </w:tc>
        <w:tc>
          <w:tcPr/>
          <w:p>
            <w:pPr>
              <w:pStyle w:val="Compact"/>
              <w:jc w:val="left"/>
            </w:pPr>
            <w:r>
              <w:t xml:space="preserve">Explorer de nouvelles annonces vs exploiter les meilleures connues.</w:t>
            </w:r>
          </w:p>
        </w:tc>
      </w:tr>
      <w:tr>
        <w:tc>
          <w:tcPr/>
          <w:p>
            <w:pPr>
              <w:pStyle w:val="Compact"/>
              <w:jc w:val="left"/>
            </w:pPr>
            <w:r>
              <w:t xml:space="preserve">Non-stationnarité</w:t>
            </w:r>
          </w:p>
        </w:tc>
        <w:tc>
          <w:tcPr/>
          <w:p>
            <w:pPr>
              <w:pStyle w:val="Compact"/>
              <w:jc w:val="left"/>
            </w:pPr>
            <w:r>
              <w:t xml:space="preserve">Le comportement des utilisateurs évolue au cours du temps.</w:t>
            </w:r>
          </w:p>
        </w:tc>
      </w:tr>
      <w:tr>
        <w:tc>
          <w:tcPr/>
          <w:p>
            <w:pPr>
              <w:pStyle w:val="Compact"/>
              <w:jc w:val="left"/>
            </w:pPr>
            <w:r>
              <w:t xml:space="preserve">Cold-Start</w:t>
            </w:r>
          </w:p>
        </w:tc>
        <w:tc>
          <w:tcPr/>
          <w:p>
            <w:pPr>
              <w:pStyle w:val="Compact"/>
              <w:jc w:val="left"/>
            </w:pPr>
            <w:r>
              <w:t xml:space="preserve">Nouvelles annonces sans historique de clics.</w:t>
            </w:r>
          </w:p>
        </w:tc>
      </w:tr>
      <w:tr>
        <w:tc>
          <w:tcPr/>
          <w:p>
            <w:pPr>
              <w:pStyle w:val="Compact"/>
              <w:jc w:val="left"/>
            </w:pPr>
            <w:r>
              <w:t xml:space="preserve">Multi-objectif</w:t>
            </w:r>
          </w:p>
        </w:tc>
        <w:tc>
          <w:tcPr/>
          <w:p>
            <w:pPr>
              <w:pStyle w:val="Compact"/>
              <w:jc w:val="left"/>
            </w:pPr>
            <w:r>
              <w:t xml:space="preserve">CTR et Revenue sont souvent contradictoires.</w:t>
            </w:r>
          </w:p>
        </w:tc>
      </w:tr>
    </w:tbl>
    <w:bookmarkEnd w:id="33"/>
    <w:p>
      <w:pPr>
        <w:pStyle w:val="BodyText"/>
      </w:pPr>
      <w:r>
        <w:t xml:space="preserve">[</w:t>
      </w:r>
      <w:hyperlink w:anchor="ref-chapelle2014simple">
        <w:r>
          <w:rPr>
            <w:rStyle w:val="Hyperlink"/>
          </w:rPr>
          <w:t xml:space="preserve">Chapelle et al. 2014</w:t>
        </w:r>
      </w:hyperlink>
      <w:r>
        <w:t xml:space="preserve">]</w:t>
      </w:r>
      <w:r>
        <w:t xml:space="preserve"> </w:t>
      </w:r>
      <w:r>
        <w:t xml:space="preserve">soulignent que la combinaison de ces contraintes disqualifie la majorité des architectures de recommandation académiques, qui opèrent généralement en mode batch (entraînement hors-ligne).</w:t>
      </w:r>
    </w:p>
    <w:bookmarkEnd w:id="34"/>
    <w:bookmarkEnd w:id="35"/>
    <w:bookmarkEnd w:id="36"/>
    <w:bookmarkStart w:id="42" w:name="sec:problematique"/>
    <w:p>
      <w:pPr>
        <w:pStyle w:val="Heading2"/>
      </w:pPr>
      <w:r>
        <w:t xml:space="preserve">1.4 Problématique</w:t>
      </w:r>
    </w:p>
    <w:bookmarkStart w:id="37" w:name="sec:defi_pub"/>
    <w:p>
      <w:pPr>
        <w:pStyle w:val="Heading3"/>
      </w:pPr>
      <w:r>
        <w:t xml:space="preserve">1.4.1 Le Défi de la Publicité en Temps Réel</w:t>
      </w:r>
    </w:p>
    <w:p>
      <w:pPr>
        <w:pStyle w:val="FirstParagraph"/>
      </w:pPr>
      <w:r>
        <w:t xml:space="preserve">Le problème de la recommandation publicitaire en temps réel peut être formalisé comme un</w:t>
      </w:r>
      <w:r>
        <w:t xml:space="preserve"> </w:t>
      </w:r>
      <w:r>
        <w:rPr>
          <w:b/>
          <w:bCs/>
        </w:rPr>
        <w:t xml:space="preserve">problème de décision séquentielle sous incertitude</w:t>
      </w:r>
      <w:r>
        <w:t xml:space="preserve">. À chaque impression</w:t>
      </w:r>
      <w:r>
        <w:t xml:space="preserve"> </w:t>
      </w:r>
      <m:oMath>
        <m:r>
          <m:t>t</m:t>
        </m:r>
      </m:oMath>
      <w:r>
        <w:t xml:space="preserve">, le système observe un contexte utilisateur</w:t>
      </w:r>
      <w:r>
        <w:t xml:space="preserve"> </w:t>
      </w:r>
      <m:oMath>
        <m:sSub>
          <m:e>
            <m:r>
              <m:rPr>
                <m:sty m:val="b"/>
              </m:rPr>
              <m:t>x</m:t>
            </m:r>
          </m:e>
          <m:sub>
            <m:r>
              <m:t>t</m:t>
            </m:r>
          </m:sub>
        </m:sSub>
      </m:oMath>
      <w:r>
        <w:t xml:space="preserve"> </w:t>
      </w:r>
      <w:r>
        <w:t xml:space="preserve">et doit choisir une annonce</w:t>
      </w:r>
      <w:r>
        <w:t xml:space="preserve"> </w:t>
      </w:r>
      <m:oMath>
        <m:sSub>
          <m:e>
            <m:r>
              <m:t>a</m:t>
            </m:r>
          </m:e>
          <m:sub>
            <m:r>
              <m:t>t</m:t>
            </m:r>
          </m:sub>
        </m:sSub>
      </m:oMath>
      <w:r>
        <w:t xml:space="preserve"> </w:t>
      </w:r>
      <w:r>
        <w:t xml:space="preserve">parmi un ensemble de</w:t>
      </w:r>
      <w:r>
        <w:t xml:space="preserve"> </w:t>
      </w:r>
      <m:oMath>
        <m:r>
          <m:t>K</m:t>
        </m:r>
      </m:oMath>
      <w:r>
        <w:t xml:space="preserve"> </w:t>
      </w:r>
      <w:r>
        <w:t xml:space="preserve">candidats. Après avoir affiché l’annonce, le système reçoit un</w:t>
      </w:r>
      <w:r>
        <w:t xml:space="preserve"> </w:t>
      </w:r>
      <w:r>
        <w:rPr>
          <w:i/>
          <w:iCs/>
        </w:rPr>
        <w:t xml:space="preserve">feedback partiel</w:t>
      </w:r>
      <w:r>
        <w:t xml:space="preserve"> </w:t>
      </w:r>
      <w:r>
        <w:t xml:space="preserve">: il observe uniquement la récompense de l’annonce choisie, jamais celles des alternatives.</w:t>
      </w:r>
    </w:p>
    <w:p>
      <w:pPr>
        <w:pStyle w:val="BodyText"/>
      </w:pPr>
      <w:r>
        <w:t xml:space="preserve">Cette structure correspond exactement au problème de</w:t>
      </w:r>
      <w:r>
        <w:t xml:space="preserve"> </w:t>
      </w:r>
      <w:r>
        <w:rPr>
          <w:b/>
          <w:bCs/>
        </w:rPr>
        <w:t xml:space="preserve">bandit contextuel</w:t>
      </w:r>
      <w:r>
        <w:t xml:space="preserve"> </w:t>
      </w:r>
      <w:r>
        <w:t xml:space="preserve">(</w:t>
      </w:r>
      <w:r>
        <w:rPr>
          <w:i/>
          <w:iCs/>
        </w:rPr>
        <w:t xml:space="preserve">contextual bandit problem</w:t>
      </w:r>
      <w:r>
        <w:t xml:space="preserve">), où :</w:t>
      </w:r>
    </w:p>
    <w:p>
      <w:pPr>
        <w:numPr>
          <w:ilvl w:val="0"/>
          <w:numId w:val="1006"/>
        </w:numPr>
      </w:pPr>
      <w:r>
        <w:t xml:space="preserve">Le</w:t>
      </w:r>
      <w:r>
        <w:t xml:space="preserve"> </w:t>
      </w:r>
      <w:r>
        <w:rPr>
          <w:i/>
          <w:iCs/>
        </w:rPr>
        <w:t xml:space="preserve">contexte</w:t>
      </w:r>
      <w:r>
        <w:t xml:space="preserve"> </w:t>
      </w:r>
      <m:oMath>
        <m:sSub>
          <m:e>
            <m:r>
              <m:rPr>
                <m:sty m:val="b"/>
              </m:rPr>
              <m:t>x</m:t>
            </m:r>
          </m:e>
          <m:sub>
            <m:r>
              <m:t>t</m:t>
            </m:r>
          </m:sub>
        </m:sSub>
      </m:oMath>
      <w:r>
        <w:t xml:space="preserve"> </w:t>
      </w:r>
      <w:r>
        <w:t xml:space="preserve">encode le profil de l’utilisateur et le contexte de la page.</w:t>
      </w:r>
    </w:p>
    <w:p>
      <w:pPr>
        <w:numPr>
          <w:ilvl w:val="0"/>
          <w:numId w:val="1006"/>
        </w:numPr>
      </w:pPr>
      <w:r>
        <w:t xml:space="preserve">Les</w:t>
      </w:r>
      <w:r>
        <w:t xml:space="preserve"> </w:t>
      </w:r>
      <w:r>
        <w:rPr>
          <w:i/>
          <w:iCs/>
        </w:rPr>
        <w:t xml:space="preserve">bras</w:t>
      </w:r>
      <w:r>
        <w:t xml:space="preserve"> </w:t>
      </w:r>
      <w:r>
        <w:t xml:space="preserve">correspondent aux</w:t>
      </w:r>
      <w:r>
        <w:t xml:space="preserve"> </w:t>
      </w:r>
      <m:oMath>
        <m:r>
          <m:t>K</m:t>
        </m:r>
      </m:oMath>
      <w:r>
        <w:t xml:space="preserve"> </w:t>
      </w:r>
      <w:r>
        <w:t xml:space="preserve">annonces candidates.</w:t>
      </w:r>
    </w:p>
    <w:p>
      <w:pPr>
        <w:numPr>
          <w:ilvl w:val="0"/>
          <w:numId w:val="1006"/>
        </w:numPr>
      </w:pPr>
      <w:r>
        <w:t xml:space="preserve">La</w:t>
      </w:r>
      <w:r>
        <w:t xml:space="preserve"> </w:t>
      </w:r>
      <w:r>
        <w:rPr>
          <w:i/>
          <w:iCs/>
        </w:rPr>
        <w:t xml:space="preserve">récompense</w:t>
      </w:r>
      <w:r>
        <w:t xml:space="preserve"> </w:t>
      </w:r>
      <w:r>
        <w:t xml:space="preserve">est multidimensionnelle :</w:t>
      </w:r>
      <w:r>
        <w:t xml:space="preserve"> </w:t>
      </w:r>
      <m:oMath>
        <m:sSub>
          <m:e>
            <m:r>
              <m:rPr>
                <m:sty m:val="b"/>
              </m:rPr>
              <m:t>r</m:t>
            </m:r>
          </m:e>
          <m:sub>
            <m:r>
              <m:t>t</m:t>
            </m:r>
          </m:sub>
        </m:sSub>
        <m:r>
          <m:rPr>
            <m:sty m:val="p"/>
          </m:rPr>
          <m:t>=</m:t>
        </m:r>
        <m:r>
          <m:rPr>
            <m:sty m:val="p"/>
          </m:rPr>
          <m:t>(</m:t>
        </m:r>
        <m:sSubSup>
          <m:e>
            <m:r>
              <m:t>r</m:t>
            </m:r>
          </m:e>
          <m:sub>
            <m:r>
              <m:t>t</m:t>
            </m:r>
          </m:sub>
          <m:sup>
            <m:r>
              <m:rPr>
                <m:nor/>
                <m:sty m:val="p"/>
              </m:rPr>
              <m:t>click</m:t>
            </m:r>
          </m:sup>
        </m:sSubSup>
        <m:r>
          <m:rPr>
            <m:sty m:val="p"/>
          </m:rPr>
          <m:t>,</m:t>
        </m:r>
        <m:sSubSup>
          <m:e>
            <m:r>
              <m:t>r</m:t>
            </m:r>
          </m:e>
          <m:sub>
            <m:r>
              <m:t>t</m:t>
            </m:r>
          </m:sub>
          <m:sup>
            <m:r>
              <m:rPr>
                <m:nor/>
                <m:sty m:val="p"/>
              </m:rPr>
              <m:t>rev</m:t>
            </m:r>
          </m:sup>
        </m:sSubSup>
        <m:r>
          <m:rPr>
            <m:sty m:val="p"/>
          </m:rPr>
          <m:t>)</m:t>
        </m:r>
        <m:r>
          <m:rPr>
            <m:sty m:val="p"/>
          </m:rPr>
          <m:t>∈</m:t>
        </m:r>
        <m:r>
          <m:rPr>
            <m:sty m:val="p"/>
          </m:rPr>
          <m:t>[</m:t>
        </m:r>
        <m:r>
          <m:t>0</m:t>
        </m:r>
        <m:r>
          <m:rPr>
            <m:sty m:val="p"/>
          </m:rPr>
          <m:t>,</m:t>
        </m:r>
        <m:r>
          <m:t>1</m:t>
        </m:r>
        <m:r>
          <m:rPr>
            <m:sty m:val="p"/>
          </m:rPr>
          <m:t>]</m:t>
        </m:r>
        <m:r>
          <m:rPr>
            <m:sty m:val="p"/>
          </m:rPr>
          <m:t>×</m:t>
        </m:r>
        <m:sSub>
          <m:e>
            <m:r>
              <m:rPr>
                <m:scr m:val="double-struck"/>
                <m:sty m:val="p"/>
              </m:rPr>
              <m:t>R</m:t>
            </m:r>
          </m:e>
          <m:sub>
            <m:r>
              <m:rPr>
                <m:sty m:val="p"/>
              </m:rPr>
              <m:t>+</m:t>
            </m:r>
          </m:sub>
        </m:sSub>
      </m:oMath>
      <w:r>
        <w:t xml:space="preserve">.</w:t>
      </w:r>
    </w:p>
    <w:p>
      <w:pPr>
        <w:pStyle w:val="FirstParagraph"/>
      </w:pPr>
      <w:r>
        <w:t xml:space="preserve">Contrairement aux approches supervisées classiques, le système doit</w:t>
      </w:r>
      <w:r>
        <w:t xml:space="preserve"> </w:t>
      </w:r>
      <w:r>
        <w:rPr>
          <w:b/>
          <w:bCs/>
        </w:rPr>
        <w:t xml:space="preserve">apprendre et s’adapter en continu</w:t>
      </w:r>
      <w:r>
        <w:t xml:space="preserve">, sans phase d’entraînement séparée. Chaque décision est à la fois une exploitation des connaissances acquises et une opportunité d’exploration pour affiner les estimations futures.</w:t>
      </w:r>
    </w:p>
    <w:bookmarkEnd w:id="37"/>
    <w:bookmarkStart w:id="39" w:name="sec:gap_techno"/>
    <w:p>
      <w:pPr>
        <w:pStyle w:val="Heading3"/>
      </w:pPr>
      <w:r>
        <w:t xml:space="preserve">1.4.2 Gap Technologique</w:t>
      </w:r>
    </w:p>
    <w:p>
      <w:pPr>
        <w:pStyle w:val="FirstParagraph"/>
      </w:pPr>
      <w:r>
        <w:t xml:space="preserve">Les systèmes publicitaires industriels actuels — notamment ceux de Google et Meta — s’appuient sur des modèles de prédiction de CTR massifs basés sur le Deep Learning</w:t>
      </w:r>
      <w:r>
        <w:t xml:space="preserve"> </w:t>
      </w:r>
      <w:r>
        <w:t xml:space="preserve">[</w:t>
      </w:r>
      <w:hyperlink w:anchor="ref-mcmahan2013ad">
        <w:r>
          <w:rPr>
            <w:rStyle w:val="Hyperlink"/>
          </w:rPr>
          <w:t xml:space="preserve">McMahan et al. 2013</w:t>
        </w:r>
      </w:hyperlink>
      <w:r>
        <w:t xml:space="preserve">;</w:t>
      </w:r>
      <w:r>
        <w:t xml:space="preserve"> </w:t>
      </w:r>
      <w:hyperlink w:anchor="ref-he2014practical">
        <w:r>
          <w:rPr>
            <w:rStyle w:val="Hyperlink"/>
          </w:rPr>
          <w:t xml:space="preserve">He et al. 2014</w:t>
        </w:r>
      </w:hyperlink>
      <w:r>
        <w:t xml:space="preserve">]</w:t>
      </w:r>
      <w:r>
        <w:t xml:space="preserve">. Cependant, ces systèmes présentent des limitations structurelles :</w:t>
      </w:r>
    </w:p>
    <w:p>
      <w:pPr>
        <w:numPr>
          <w:ilvl w:val="0"/>
          <w:numId w:val="1007"/>
        </w:numPr>
      </w:pPr>
      <w:r>
        <w:rPr>
          <w:b/>
          <w:bCs/>
        </w:rPr>
        <w:t xml:space="preserve">Dépendance aux données massives</w:t>
      </w:r>
      <w:r>
        <w:t xml:space="preserve"> </w:t>
      </w:r>
      <w:r>
        <w:t xml:space="preserve">: chaque nouvelle annonce nécessite des milliers d’impressions avant que le modèle ne puisse prédire sa performance de façon fiable.</w:t>
      </w:r>
    </w:p>
    <w:p>
      <w:pPr>
        <w:numPr>
          <w:ilvl w:val="0"/>
          <w:numId w:val="1007"/>
        </w:numPr>
      </w:pPr>
      <w:r>
        <w:rPr>
          <w:b/>
          <w:bCs/>
        </w:rPr>
        <w:t xml:space="preserve">Cold-start persistant</w:t>
      </w:r>
      <w:r>
        <w:t xml:space="preserve"> </w:t>
      </w:r>
      <w:r>
        <w:t xml:space="preserve">: l’absence de données historiques pour les nouvelles annonces conduit à des performances dégradées durant la phase d’apprentissage.</w:t>
      </w:r>
    </w:p>
    <w:p>
      <w:pPr>
        <w:numPr>
          <w:ilvl w:val="0"/>
          <w:numId w:val="1007"/>
        </w:numPr>
      </w:pPr>
      <w:r>
        <w:rPr>
          <w:b/>
          <w:bCs/>
        </w:rPr>
        <w:t xml:space="preserve">Optimisation multi-objectif simpliste</w:t>
      </w:r>
      <w:r>
        <w:t xml:space="preserve"> </w:t>
      </w:r>
      <w:r>
        <w:t xml:space="preserve">: le compromis CTR/Revenue est généralement traité par une scalarisation fixe (pondération linéaire</w:t>
      </w:r>
      <w:r>
        <w:t xml:space="preserve"> </w:t>
      </w:r>
      <m:oMath>
        <m:sSub>
          <m:e>
            <m:r>
              <m:t>w</m:t>
            </m:r>
          </m:e>
          <m:sub>
            <m:r>
              <m:t>1</m:t>
            </m:r>
          </m:sub>
        </m:sSub>
        <m:r>
          <m:rPr>
            <m:sty m:val="p"/>
          </m:rPr>
          <m:t>⋅</m:t>
        </m:r>
        <m:r>
          <m:rPr>
            <m:nor/>
            <m:sty m:val="p"/>
          </m:rPr>
          <m:t>CTR</m:t>
        </m:r>
        <m:r>
          <m:rPr>
            <m:sty m:val="p"/>
          </m:rPr>
          <m:t>+</m:t>
        </m:r>
        <m:sSub>
          <m:e>
            <m:r>
              <m:t>w</m:t>
            </m:r>
          </m:e>
          <m:sub>
            <m:r>
              <m:t>2</m:t>
            </m:r>
          </m:sub>
        </m:sSub>
        <m:r>
          <m:rPr>
            <m:sty m:val="p"/>
          </m:rPr>
          <m:t>⋅</m:t>
        </m:r>
        <m:r>
          <m:rPr>
            <m:nor/>
            <m:sty m:val="p"/>
          </m:rPr>
          <m:t>Revenue</m:t>
        </m:r>
      </m:oMath>
      <w:r>
        <w:t xml:space="preserve">), incapable d’explorer les régions non-convexes du front de Pareto.</w:t>
      </w:r>
    </w:p>
    <w:bookmarkStart w:id="38" w:name="gap-identifié"/>
    <w:p>
      <w:pPr>
        <w:pStyle w:val="Heading5"/>
      </w:pPr>
      <w:r>
        <w:t xml:space="preserve">Gap Identifié</w:t>
      </w:r>
    </w:p>
    <w:p>
      <w:pPr>
        <w:pStyle w:val="FirstParagraph"/>
      </w:pPr>
      <w:r>
        <w:t xml:space="preserve">Il n’existe pas, dans la littérature, de cadre unifié intégrant simultanément :</w:t>
      </w:r>
    </w:p>
    <w:p>
      <w:pPr>
        <w:numPr>
          <w:ilvl w:val="0"/>
          <w:numId w:val="1008"/>
        </w:numPr>
      </w:pPr>
      <w:r>
        <w:t xml:space="preserve">Des</w:t>
      </w:r>
      <w:r>
        <w:t xml:space="preserve"> </w:t>
      </w:r>
      <w:r>
        <w:rPr>
          <w:b/>
          <w:bCs/>
        </w:rPr>
        <w:t xml:space="preserve">bandits contextuels</w:t>
      </w:r>
      <w:r>
        <w:t xml:space="preserve"> </w:t>
      </w:r>
      <w:r>
        <w:t xml:space="preserve">pour la décision temps réel,</w:t>
      </w:r>
    </w:p>
    <w:p>
      <w:pPr>
        <w:numPr>
          <w:ilvl w:val="0"/>
          <w:numId w:val="1008"/>
        </w:numPr>
      </w:pPr>
      <w:r>
        <w:t xml:space="preserve">Une</w:t>
      </w:r>
      <w:r>
        <w:t xml:space="preserve"> </w:t>
      </w:r>
      <w:r>
        <w:rPr>
          <w:b/>
          <w:bCs/>
        </w:rPr>
        <w:t xml:space="preserve">optimisation multi-objectif</w:t>
      </w:r>
      <w:r>
        <w:t xml:space="preserve"> </w:t>
      </w:r>
      <w:r>
        <w:t xml:space="preserve">rigoureuse (au-delà de la scalarisation simple),</w:t>
      </w:r>
    </w:p>
    <w:p>
      <w:pPr>
        <w:numPr>
          <w:ilvl w:val="0"/>
          <w:numId w:val="1008"/>
        </w:numPr>
      </w:pPr>
      <w:r>
        <w:t xml:space="preserve">Un mécanisme de</w:t>
      </w:r>
      <w:r>
        <w:t xml:space="preserve"> </w:t>
      </w:r>
      <w:r>
        <w:rPr>
          <w:b/>
          <w:bCs/>
        </w:rPr>
        <w:t xml:space="preserve">cold-start sémantique</w:t>
      </w:r>
      <w:r>
        <w:t xml:space="preserve"> </w:t>
      </w:r>
      <w:r>
        <w:t xml:space="preserve">pour le transfert zéro-shot.</w:t>
      </w:r>
    </w:p>
    <w:bookmarkEnd w:id="38"/>
    <w:bookmarkEnd w:id="39"/>
    <w:bookmarkStart w:id="41" w:name="sec:formulation_problematique"/>
    <w:p>
      <w:pPr>
        <w:pStyle w:val="Heading3"/>
      </w:pPr>
      <w:r>
        <w:t xml:space="preserve">1.4.3 Formulation de la Problématique</w:t>
      </w:r>
    </w:p>
    <w:p>
      <w:pPr>
        <w:pStyle w:val="FirstParagraph"/>
      </w:pPr>
      <w:r>
        <w:t xml:space="preserve">Face à ce constat, la problématique centrale de ce projet de fin d’études se décline en trois sous-questions de recherche :</w:t>
      </w:r>
    </w:p>
    <w:bookmarkStart w:id="40" w:name="problématique-centrale"/>
    <w:p>
      <w:pPr>
        <w:pStyle w:val="Heading5"/>
      </w:pPr>
      <w:r>
        <w:t xml:space="preserve">Problématique Centrale</w:t>
      </w:r>
    </w:p>
    <w:p>
      <w:pPr>
        <w:pStyle w:val="FirstParagraph"/>
      </w:pPr>
      <w:r>
        <w:rPr>
          <w:i/>
          <w:iCs/>
        </w:rPr>
        <w:t xml:space="preserve">« Comment concevoir un système adaptatif capable d’optimiser dynamiquement les performances publicitaires en temps réel ?  »</w:t>
      </w:r>
    </w:p>
    <w:p>
      <w:pPr>
        <w:pStyle w:val="BodyText"/>
      </w:pPr>
      <w:r>
        <w:t xml:space="preserve">Cette question se décompose en trois axes :</w:t>
      </w:r>
    </w:p>
    <w:p>
      <w:pPr>
        <w:numPr>
          <w:ilvl w:val="0"/>
          <w:numId w:val="1009"/>
        </w:numPr>
      </w:pPr>
      <w:r>
        <w:rPr>
          <w:b/>
          <w:bCs/>
        </w:rPr>
        <w:t xml:space="preserve">Modélisation mathématique</w:t>
      </w:r>
      <w:r>
        <w:t xml:space="preserve"> </w:t>
      </w:r>
      <w:r>
        <w:t xml:space="preserve">: Comment formuler le problème de recommandation publicitaire comme un problème de bandit contextuel multi-objectif ?</w:t>
      </w:r>
    </w:p>
    <w:p>
      <w:pPr>
        <w:numPr>
          <w:ilvl w:val="0"/>
          <w:numId w:val="1009"/>
        </w:numPr>
      </w:pPr>
      <w:r>
        <w:rPr>
          <w:b/>
          <w:bCs/>
        </w:rPr>
        <w:t xml:space="preserve">Stratégies d’estimation et d’optimisation</w:t>
      </w:r>
      <w:r>
        <w:t xml:space="preserve"> </w:t>
      </w:r>
      <w:r>
        <w:t xml:space="preserve">: Quels agents d’estimation et quelles politiques d’optimisation multi-objectif (MOO) offrent le meilleur compromis engagement/revenue ?</w:t>
      </w:r>
    </w:p>
    <w:p>
      <w:pPr>
        <w:numPr>
          <w:ilvl w:val="0"/>
          <w:numId w:val="1009"/>
        </w:numPr>
      </w:pPr>
      <w:r>
        <w:rPr>
          <w:b/>
          <w:bCs/>
        </w:rPr>
        <w:t xml:space="preserve">Approche hybride sémantique</w:t>
      </w:r>
      <w:r>
        <w:t xml:space="preserve"> </w:t>
      </w:r>
      <w:r>
        <w:t xml:space="preserve">: Comment les approches hybrides intégrant des embeddings sémantiques peuvent-elles résoudre le problème du cold-start par transfert zéro-shot ?</w:t>
      </w:r>
    </w:p>
    <w:p>
      <w:pPr>
        <w:pStyle w:val="FirstParagraph"/>
      </w:pPr>
      <w:r>
        <w:t xml:space="preserve">Le chapitre suivant formalisera mathématiquement ce problème et présentera l’état de l’art des méthodes d’estimation et d’optimisation avant d’introduire l’approche hybride proposée.</w:t>
      </w:r>
    </w:p>
    <w:bookmarkEnd w:id="40"/>
    <w:bookmarkEnd w:id="41"/>
    <w:bookmarkEnd w:id="42"/>
    <w:bookmarkStart w:id="43" w:name="conclusion"/>
    <w:p>
      <w:pPr>
        <w:pStyle w:val="Heading2"/>
      </w:pPr>
      <w:r>
        <w:t xml:space="preserve">Conclusion</w:t>
      </w:r>
    </w:p>
    <w:p>
      <w:pPr>
        <w:pStyle w:val="FirstParagraph"/>
      </w:pPr>
      <w:r>
        <w:t xml:space="preserve">Ce chapitre a permis de délimiter avec précision le cadre général dans lequel s’inscrit ce projet. Partant de l’analyse de l’organisme d’accueil et de l’écosystème publicitaire digital, nous avons progressivement construit la chaîne de raisonnement menant à la formulation de la problématique centrale.</w:t>
      </w:r>
    </w:p>
    <w:p>
      <w:pPr>
        <w:pStyle w:val="BodyText"/>
      </w:pPr>
      <w:r>
        <w:t xml:space="preserve">Trois constats majeurs ressortent de cette analyse :</w:t>
      </w:r>
    </w:p>
    <w:p>
      <w:pPr>
        <w:numPr>
          <w:ilvl w:val="0"/>
          <w:numId w:val="1010"/>
        </w:numPr>
      </w:pPr>
      <w:r>
        <w:rPr>
          <w:b/>
          <w:bCs/>
        </w:rPr>
        <w:t xml:space="preserve">La complexité croissante du marché publicitaire</w:t>
      </w:r>
      <w:r>
        <w:t xml:space="preserve"> </w:t>
      </w:r>
      <w:r>
        <w:t xml:space="preserve">impose des systèmes de décision capables d’agir en temps réel, avec une latence inférieure à 100 ms, tout en garantissant la pertinence des annonces pour chaque utilisateur.</w:t>
      </w:r>
    </w:p>
    <w:p>
      <w:pPr>
        <w:numPr>
          <w:ilvl w:val="0"/>
          <w:numId w:val="1010"/>
        </w:numPr>
      </w:pPr>
      <w:r>
        <w:rPr>
          <w:b/>
          <w:bCs/>
        </w:rPr>
        <w:t xml:space="preserve">Les limites structurelles des approches actuelles</w:t>
      </w:r>
      <w:r>
        <w:t xml:space="preserve"> </w:t>
      </w:r>
      <w:r>
        <w:t xml:space="preserve">— dépendance aux données massives, cold-start persistant, optimisation multi-objectif par scalarisation fixe — créent un écart technologique (</w:t>
      </w:r>
      <w:r>
        <w:rPr>
          <w:i/>
          <w:iCs/>
        </w:rPr>
        <w:t xml:space="preserve">gap</w:t>
      </w:r>
      <w:r>
        <w:t xml:space="preserve">) qu’aucune solution existante ne comble de manière unifiée.</w:t>
      </w:r>
    </w:p>
    <w:p>
      <w:pPr>
        <w:numPr>
          <w:ilvl w:val="0"/>
          <w:numId w:val="1010"/>
        </w:numPr>
      </w:pPr>
      <w:r>
        <w:rPr>
          <w:b/>
          <w:bCs/>
        </w:rPr>
        <w:t xml:space="preserve">La problématique formulée</w:t>
      </w:r>
      <w:r>
        <w:t xml:space="preserve"> </w:t>
      </w:r>
      <w:r>
        <w:t xml:space="preserve">ouvre trois axes de recherche complémentaires : la modélisation mathématique rigoureuse du problème, le benchmark des agents d’estimation et des politiques d’optimisation multi-objectif, et la conception d’une approche hybride sémantique pour le transfert zéro-shot.</w:t>
      </w:r>
    </w:p>
    <w:p>
      <w:pPr>
        <w:pStyle w:val="FirstParagraph"/>
      </w:pPr>
      <w:r>
        <w:t xml:space="preserve">Fort de ce diagnostic, le</w:t>
      </w:r>
      <w:r>
        <w:t xml:space="preserve"> </w:t>
      </w:r>
      <w:r>
        <w:rPr>
          <w:b/>
          <w:bCs/>
        </w:rPr>
        <w:t xml:space="preserve">Chapitre 2</w:t>
      </w:r>
      <w:r>
        <w:t xml:space="preserve"> </w:t>
      </w:r>
      <w:r>
        <w:t xml:space="preserve">s’attachera à formaliser le problème sous la forme d’un programme d’optimisation multi-objectif à variables entières (MOIP), à dresser un état de l’art exhaustif des méthodes candidates, et à présenter l’approche hybride retenue ainsi que sa validation expérimentale.</w:t>
      </w:r>
    </w:p>
    <w:bookmarkEnd w:id="43"/>
    <w:bookmarkEnd w:id="44"/>
    <w:bookmarkStart w:id="97" w:name="chap:cadre_theorique"/>
    <w:p>
      <w:pPr>
        <w:pStyle w:val="Heading1"/>
      </w:pPr>
      <w:r>
        <w:t xml:space="preserve">Chapitre 2 : Cadre Théorique et Modélisation du Système</w:t>
      </w:r>
    </w:p>
    <w:bookmarkStart w:id="45" w:name="introduction-1"/>
    <w:p>
      <w:pPr>
        <w:pStyle w:val="Heading2"/>
      </w:pPr>
      <w:r>
        <w:t xml:space="preserve">Introduction</w:t>
      </w:r>
    </w:p>
    <w:p>
      <w:pPr>
        <w:pStyle w:val="FirstParagraph"/>
      </w:pPr>
      <w:r>
        <w:t xml:space="preserve">Le chapitre précédent a mis en évidence les défis de la recommandation publicitaire en temps réel et l’absence d’un cadre unifié intégrant bandits contextuels, optimisation multi-objectif et cold-start sémantique. Ce chapitre a pour objectif de formaliser mathématiquement ce problème, de présenter l’état de l’art des stratégies d’estimation et d’optimisation, puis d’introduire l’approche hybride sémantique proposée.</w:t>
      </w:r>
    </w:p>
    <w:bookmarkEnd w:id="45"/>
    <w:bookmarkStart w:id="53" w:name="sec:modelisation_math"/>
    <w:p>
      <w:pPr>
        <w:pStyle w:val="Heading2"/>
      </w:pPr>
      <w:r>
        <w:t xml:space="preserve">2.1 Cadre Théorique et Mathématique</w:t>
      </w:r>
    </w:p>
    <w:bookmarkStart w:id="49" w:name="sec:variables"/>
    <w:p>
      <w:pPr>
        <w:pStyle w:val="Heading3"/>
      </w:pPr>
      <w:r>
        <w:t xml:space="preserve">2.1.1 Variables du Modèle</w:t>
      </w:r>
    </w:p>
    <w:p>
      <w:pPr>
        <w:pStyle w:val="FirstParagraph"/>
      </w:pPr>
      <w:r>
        <w:t xml:space="preserve">La modélisation du système repose sur deux catégories de variables : les</w:t>
      </w:r>
      <w:r>
        <w:t xml:space="preserve"> </w:t>
      </w:r>
      <w:r>
        <w:rPr>
          <w:i/>
          <w:iCs/>
        </w:rPr>
        <w:t xml:space="preserve">variables explicatives</w:t>
      </w:r>
      <w:r>
        <w:t xml:space="preserve"> </w:t>
      </w:r>
      <w:r>
        <w:t xml:space="preserve">(features) qui décrivent le contexte, et les</w:t>
      </w:r>
      <w:r>
        <w:t xml:space="preserve"> </w:t>
      </w:r>
      <w:r>
        <w:rPr>
          <w:i/>
          <w:iCs/>
        </w:rPr>
        <w:t xml:space="preserve">variables à expliquer</w:t>
      </w:r>
      <w:r>
        <w:t xml:space="preserve"> </w:t>
      </w:r>
      <w:r>
        <w:t xml:space="preserve">(réponses) que le système cherche à prédire.</w:t>
      </w:r>
    </w:p>
    <w:bookmarkStart w:id="46" w:name="variables-explicatives-features"/>
    <w:p>
      <w:pPr>
        <w:pStyle w:val="Heading4"/>
      </w:pPr>
      <w:r>
        <w:t xml:space="preserve">Variables Explicatives (Features)</w:t>
      </w:r>
    </w:p>
    <w:p>
      <w:pPr>
        <w:numPr>
          <w:ilvl w:val="0"/>
          <w:numId w:val="1011"/>
        </w:numPr>
      </w:pPr>
      <w:r>
        <w:rPr>
          <w:b/>
          <w:bCs/>
        </w:rPr>
        <w:t xml:space="preserve">Contexte utilisateur</w:t>
      </w:r>
      <w:r>
        <w:t xml:space="preserve"> </w:t>
      </w:r>
      <w:r>
        <w:t xml:space="preserve">:</w:t>
      </w:r>
      <w:r>
        <w:t xml:space="preserve"> </w:t>
      </w:r>
      <m:oMath>
        <m:sSub>
          <m:e>
            <m:r>
              <m:rPr>
                <m:sty m:val="b"/>
              </m:rPr>
              <m:t>x</m:t>
            </m:r>
          </m:e>
          <m:sub>
            <m:r>
              <m:t>u</m:t>
            </m:r>
          </m:sub>
        </m:sSub>
        <m:r>
          <m:rPr>
            <m:sty m:val="p"/>
          </m:rPr>
          <m:t>∈</m:t>
        </m:r>
        <m:sSup>
          <m:e>
            <m:r>
              <m:rPr>
                <m:scr m:val="double-struck"/>
                <m:sty m:val="p"/>
              </m:rPr>
              <m:t>R</m:t>
            </m:r>
          </m:e>
          <m:sup>
            <m:r>
              <m:t>d</m:t>
            </m:r>
          </m:sup>
        </m:sSup>
      </m:oMath>
      <w:r>
        <w:t xml:space="preserve"> </w:t>
      </w:r>
      <w:r>
        <w:t xml:space="preserve">— vecteur d’embedding du profil utilisateur (</w:t>
      </w:r>
      <m:oMath>
        <m:r>
          <m:t>d</m:t>
        </m:r>
        <m:r>
          <m:rPr>
            <m:sty m:val="p"/>
          </m:rPr>
          <m:t>=</m:t>
        </m:r>
        <m:r>
          <m:t>384</m:t>
        </m:r>
      </m:oMath>
      <w:r>
        <w:t xml:space="preserve"> </w:t>
      </w:r>
      <w:r>
        <w:t xml:space="preserve">pour</w:t>
      </w:r>
      <w:r>
        <w:t xml:space="preserve"> </w:t>
      </w:r>
      <w:r>
        <w:rPr>
          <w:rStyle w:val="VerbatimChar"/>
        </w:rPr>
        <w:t xml:space="preserve">all-MiniLM-L6-v2</w:t>
      </w:r>
      <w:r>
        <w:t xml:space="preserve">).</w:t>
      </w:r>
    </w:p>
    <w:p>
      <w:pPr>
        <w:numPr>
          <w:ilvl w:val="1"/>
          <w:numId w:val="1012"/>
        </w:numPr>
      </w:pPr>
      <w:r>
        <w:t xml:space="preserve">Encodé à partir de métadonnées textuelles : {âge, sexe, intérêts, historique de navigation}.</w:t>
      </w:r>
    </w:p>
    <w:p>
      <w:pPr>
        <w:numPr>
          <w:ilvl w:val="1"/>
          <w:numId w:val="1012"/>
        </w:numPr>
      </w:pPr>
      <w:r>
        <w:rPr>
          <w:i/>
          <w:iCs/>
        </w:rPr>
        <w:t xml:space="preserve">Exemples de structures industrielles</w:t>
      </w:r>
      <w:r>
        <w:t xml:space="preserve"> </w:t>
      </w:r>
      <w:r>
        <w:t xml:space="preserve">:</w:t>
      </w:r>
    </w:p>
    <w:p>
      <w:pPr>
        <w:numPr>
          <w:ilvl w:val="2"/>
          <w:numId w:val="1013"/>
        </w:numPr>
      </w:pPr>
      <w:r>
        <w:rPr>
          <w:b/>
          <w:bCs/>
        </w:rPr>
        <w:t xml:space="preserve">Criteo</w:t>
      </w:r>
      <w:r>
        <w:t xml:space="preserve"> </w:t>
      </w:r>
      <w:r>
        <w:t xml:space="preserve">: 13 features numériques (ex:</w:t>
      </w:r>
      <w:r>
        <w:t xml:space="preserve"> </w:t>
      </w:r>
      <w:r>
        <w:rPr>
          <w:rStyle w:val="VerbatimChar"/>
        </w:rPr>
        <w:t xml:space="preserve">count_of_views</w:t>
      </w:r>
      <w:r>
        <w:t xml:space="preserve">) + 26 features catégorielles hashées.</w:t>
      </w:r>
    </w:p>
    <w:p>
      <w:pPr>
        <w:numPr>
          <w:ilvl w:val="2"/>
          <w:numId w:val="1013"/>
        </w:numPr>
      </w:pPr>
      <w:r>
        <w:rPr>
          <w:b/>
          <w:bCs/>
        </w:rPr>
        <w:t xml:space="preserve">Outbrain (OBD)</w:t>
      </w:r>
      <w:r>
        <w:t xml:space="preserve"> </w:t>
      </w:r>
      <w:r>
        <w:t xml:space="preserve">:</w:t>
      </w:r>
      <w:r>
        <w:t xml:space="preserve"> </w:t>
      </w:r>
      <w:r>
        <w:rPr>
          <w:rStyle w:val="VerbatimChar"/>
        </w:rPr>
        <w:t xml:space="preserve">device_type</w:t>
      </w:r>
      <w:r>
        <w:t xml:space="preserve">,</w:t>
      </w:r>
      <w:r>
        <w:t xml:space="preserve"> </w:t>
      </w:r>
      <w:r>
        <w:rPr>
          <w:rStyle w:val="VerbatimChar"/>
        </w:rPr>
        <w:t xml:space="preserve">geo_location</w:t>
      </w:r>
      <w:r>
        <w:t xml:space="preserve">,</w:t>
      </w:r>
      <w:r>
        <w:t xml:space="preserve"> </w:t>
      </w:r>
      <w:r>
        <w:rPr>
          <w:rStyle w:val="VerbatimChar"/>
        </w:rPr>
        <w:t xml:space="preserve">platform</w:t>
      </w:r>
      <w:r>
        <w:t xml:space="preserve">,</w:t>
      </w:r>
      <w:r>
        <w:t xml:space="preserve"> </w:t>
      </w:r>
      <w:r>
        <w:rPr>
          <w:rStyle w:val="VerbatimChar"/>
        </w:rPr>
        <w:t xml:space="preserve">document_id</w:t>
      </w:r>
      <w:r>
        <w:t xml:space="preserve">.</w:t>
      </w:r>
    </w:p>
    <w:p>
      <w:pPr>
        <w:numPr>
          <w:ilvl w:val="2"/>
          <w:numId w:val="1013"/>
        </w:numPr>
      </w:pPr>
      <w:r>
        <w:rPr>
          <w:b/>
          <w:bCs/>
        </w:rPr>
        <w:t xml:space="preserve">Zozotown (Open Bandit Dataset)</w:t>
      </w:r>
      <w:r>
        <w:t xml:space="preserve"> </w:t>
      </w:r>
      <w:r>
        <w:t xml:space="preserve">:</w:t>
      </w:r>
      <w:r>
        <w:t xml:space="preserve"> </w:t>
      </w:r>
      <w:r>
        <w:rPr>
          <w:rStyle w:val="VerbatimChar"/>
        </w:rPr>
        <w:t xml:space="preserve">age_group</w:t>
      </w:r>
      <w:r>
        <w:t xml:space="preserve">,</w:t>
      </w:r>
      <w:r>
        <w:t xml:space="preserve"> </w:t>
      </w:r>
      <w:r>
        <w:rPr>
          <w:rStyle w:val="VerbatimChar"/>
        </w:rPr>
        <w:t xml:space="preserve">gender</w:t>
      </w:r>
      <w:r>
        <w:t xml:space="preserve">,</w:t>
      </w:r>
      <w:r>
        <w:t xml:space="preserve"> </w:t>
      </w:r>
      <w:r>
        <w:rPr>
          <w:rStyle w:val="VerbatimChar"/>
        </w:rPr>
        <w:t xml:space="preserve">item_id</w:t>
      </w:r>
      <w:r>
        <w:t xml:space="preserve">.</w:t>
      </w:r>
    </w:p>
    <w:p>
      <w:pPr>
        <w:numPr>
          <w:ilvl w:val="0"/>
          <w:numId w:val="1011"/>
        </w:numPr>
      </w:pPr>
      <w:r>
        <w:rPr>
          <w:b/>
          <w:bCs/>
        </w:rPr>
        <w:t xml:space="preserve">Contexte annonce</w:t>
      </w:r>
      <w:r>
        <w:t xml:space="preserve"> </w:t>
      </w:r>
      <w:r>
        <w:t xml:space="preserve">:</w:t>
      </w:r>
      <w:r>
        <w:t xml:space="preserve"> </w:t>
      </w:r>
      <m:oMath>
        <m:sSub>
          <m:e>
            <m:r>
              <m:rPr>
                <m:sty m:val="b"/>
              </m:rPr>
              <m:t>x</m:t>
            </m:r>
          </m:e>
          <m:sub>
            <m:r>
              <m:t>a</m:t>
            </m:r>
          </m:sub>
        </m:sSub>
        <m:r>
          <m:rPr>
            <m:sty m:val="p"/>
          </m:rPr>
          <m:t>∈</m:t>
        </m:r>
        <m:sSup>
          <m:e>
            <m:r>
              <m:rPr>
                <m:scr m:val="double-struck"/>
                <m:sty m:val="p"/>
              </m:rPr>
              <m:t>R</m:t>
            </m:r>
          </m:e>
          <m:sup>
            <m:r>
              <m:t>d</m:t>
            </m:r>
          </m:sup>
        </m:sSup>
      </m:oMath>
      <w:r>
        <w:t xml:space="preserve"> </w:t>
      </w:r>
      <w:r>
        <w:t xml:space="preserve">— vecteur d’embedding de la description de l’annonce.</w:t>
      </w:r>
    </w:p>
    <w:p>
      <w:pPr>
        <w:numPr>
          <w:ilvl w:val="1"/>
          <w:numId w:val="1014"/>
        </w:numPr>
      </w:pPr>
      <w:r>
        <w:t xml:space="preserve">Encodé via SentenceTransformer</w:t>
      </w:r>
      <w:r>
        <w:t xml:space="preserve"> </w:t>
      </w:r>
      <w:r>
        <w:t xml:space="preserve">[</w:t>
      </w:r>
      <w:hyperlink w:anchor="ref-reimers2019sentence">
        <w:r>
          <w:rPr>
            <w:rStyle w:val="Hyperlink"/>
          </w:rPr>
          <w:t xml:space="preserve">Reimers and Gurevych 2019</w:t>
        </w:r>
      </w:hyperlink>
      <w:r>
        <w:t xml:space="preserve">]</w:t>
      </w:r>
      <w:r>
        <w:t xml:space="preserve"> </w:t>
      </w:r>
      <w:r>
        <w:t xml:space="preserve">: titre + description + catégorie</w:t>
      </w:r>
      <w:r>
        <w:t xml:space="preserve"> </w:t>
      </w:r>
      <m:oMath>
        <m:r>
          <m:rPr>
            <m:sty m:val="p"/>
          </m:rPr>
          <m:t>→</m:t>
        </m:r>
      </m:oMath>
      <w:r>
        <w:t xml:space="preserve"> </w:t>
      </w:r>
      <w:r>
        <w:t xml:space="preserve">vecteur dense.</w:t>
      </w:r>
    </w:p>
    <w:p>
      <w:pPr>
        <w:numPr>
          <w:ilvl w:val="0"/>
          <w:numId w:val="1011"/>
        </w:numPr>
      </w:pPr>
      <w:r>
        <w:rPr>
          <w:b/>
          <w:bCs/>
        </w:rPr>
        <w:t xml:space="preserve">Contexte global</w:t>
      </w:r>
      <w:r>
        <w:t xml:space="preserve"> </w:t>
      </w:r>
      <w:r>
        <w:t xml:space="preserve">(agents hybrides) :</w:t>
      </w:r>
      <w:r>
        <w:t xml:space="preserve"> </w:t>
      </w:r>
      <m:oMath>
        <m:r>
          <m:rPr>
            <m:sty m:val="b"/>
          </m:rPr>
          <m:t>x</m:t>
        </m:r>
        <m:r>
          <m:rPr>
            <m:sty m:val="p"/>
          </m:rPr>
          <m:t>=</m:t>
        </m:r>
        <m:r>
          <m:rPr>
            <m:sty m:val="p"/>
          </m:rPr>
          <m:t>[</m:t>
        </m:r>
        <m:sSub>
          <m:e>
            <m:r>
              <m:rPr>
                <m:sty m:val="b"/>
              </m:rPr>
              <m:t>x</m:t>
            </m:r>
          </m:e>
          <m:sub>
            <m:r>
              <m:t>u</m:t>
            </m:r>
          </m:sub>
        </m:sSub>
        <m:r>
          <m:rPr>
            <m:sty m:val="p"/>
          </m:rPr>
          <m:t>∥</m:t>
        </m:r>
        <m:sSub>
          <m:e>
            <m:r>
              <m:rPr>
                <m:sty m:val="b"/>
              </m:rPr>
              <m:t>x</m:t>
            </m:r>
          </m:e>
          <m:sub>
            <m:r>
              <m:t>a</m:t>
            </m:r>
          </m:sub>
        </m:sSub>
        <m:r>
          <m:rPr>
            <m:sty m:val="p"/>
          </m:rPr>
          <m:t>]</m:t>
        </m:r>
        <m:r>
          <m:rPr>
            <m:sty m:val="p"/>
          </m:rPr>
          <m:t>∈</m:t>
        </m:r>
        <m:sSup>
          <m:e>
            <m:r>
              <m:rPr>
                <m:scr m:val="double-struck"/>
                <m:sty m:val="p"/>
              </m:rPr>
              <m:t>R</m:t>
            </m:r>
          </m:e>
          <m:sup>
            <m:r>
              <m:t>2</m:t>
            </m:r>
            <m:r>
              <m:t>d</m:t>
            </m:r>
          </m:sup>
        </m:sSup>
      </m:oMath>
      <w:r>
        <w:t xml:space="preserve"> </w:t>
      </w:r>
      <w:r>
        <w:t xml:space="preserve">— concaténation des deux vecteurs.</w:t>
      </w:r>
    </w:p>
    <w:p>
      <w:pPr>
        <w:pStyle w:val="FirstParagraph"/>
      </w:pPr>
      <w:r>
        <w:t xml:space="preserve">L’utilisation de</w:t>
      </w:r>
      <w:r>
        <w:t xml:space="preserve"> </w:t>
      </w:r>
      <w:r>
        <w:rPr>
          <w:rStyle w:val="VerbatimChar"/>
        </w:rPr>
        <w:t xml:space="preserve">all-MiniLM-L6-v2</w:t>
      </w:r>
      <w:r>
        <w:t xml:space="preserve"> </w:t>
      </w:r>
      <w:r>
        <w:t xml:space="preserve">[</w:t>
      </w:r>
      <w:hyperlink w:anchor="ref-reimers2019sentence">
        <w:r>
          <w:rPr>
            <w:rStyle w:val="Hyperlink"/>
          </w:rPr>
          <w:t xml:space="preserve">Reimers and Gurevych 2019</w:t>
        </w:r>
      </w:hyperlink>
      <w:r>
        <w:t xml:space="preserve">]</w:t>
      </w:r>
      <w:r>
        <w:t xml:space="preserve"> </w:t>
      </w:r>
      <w:r>
        <w:t xml:space="preserve">comme encodeur sémantique est motivée par sa capacité à capturer la similarité sémantique entre textes tout en maintenant une dimensionnalité raisonnable (</w:t>
      </w:r>
      <m:oMath>
        <m:r>
          <m:t>d</m:t>
        </m:r>
        <m:r>
          <m:rPr>
            <m:sty m:val="p"/>
          </m:rPr>
          <m:t>=</m:t>
        </m:r>
        <m:r>
          <m:t>384</m:t>
        </m:r>
      </m:oMath>
      <w:r>
        <w:t xml:space="preserve">). Ce modèle est pré-entraîné sur plus d’un milliard de paires de phrases, garantissant une représentation riche et généralisable.</w:t>
      </w:r>
    </w:p>
    <w:p>
      <w:pPr>
        <w:pStyle w:val="BodyText"/>
      </w:pPr>
      <w:r>
        <w:t xml:space="preserve">Les fondements théoriques de cette représentation vectorielle des textes remontent aux travaux de</w:t>
      </w:r>
      <w:r>
        <w:t xml:space="preserve"> </w:t>
      </w:r>
      <w:r>
        <w:t xml:space="preserve">[</w:t>
      </w:r>
      <w:hyperlink w:anchor="ref-mikolov2013distributed">
        <w:r>
          <w:rPr>
            <w:rStyle w:val="Hyperlink"/>
          </w:rPr>
          <w:t xml:space="preserve">Mikolov et al. 2013</w:t>
        </w:r>
      </w:hyperlink>
      <w:r>
        <w:t xml:space="preserve">]</w:t>
      </w:r>
      <w:r>
        <w:t xml:space="preserve"> </w:t>
      </w:r>
      <w:r>
        <w:t xml:space="preserve">sur les</w:t>
      </w:r>
      <w:r>
        <w:t xml:space="preserve"> </w:t>
      </w:r>
      <w:r>
        <w:rPr>
          <w:i/>
          <w:iCs/>
        </w:rPr>
        <w:t xml:space="preserve">word embeddings</w:t>
      </w:r>
      <w:r>
        <w:t xml:space="preserve">, qui ont démontré que des vecteurs denses appris capturent naturellement les relations sémantiques entre mots.</w:t>
      </w:r>
    </w:p>
    <w:bookmarkEnd w:id="46"/>
    <w:bookmarkStart w:id="48" w:name="variables-à-expliquer-réponses"/>
    <w:p>
      <w:pPr>
        <w:pStyle w:val="Heading4"/>
      </w:pPr>
      <w:r>
        <w:t xml:space="preserve">Variables à Expliquer (Réponses)</w:t>
      </w:r>
    </w:p>
    <w:p>
      <w:pPr>
        <w:pStyle w:val="FirstParagraph"/>
      </w:pPr>
      <w:r>
        <w:t xml:space="preserve">Le système prédit deux réponses pour chaque paire (utilisateur, annonce) :</w:t>
      </w:r>
    </w:p>
    <w:p>
      <w:pPr>
        <w:numPr>
          <w:ilvl w:val="0"/>
          <w:numId w:val="1015"/>
        </w:numPr>
      </w:pPr>
      <w:r>
        <w:rPr>
          <w:b/>
          <w:bCs/>
        </w:rPr>
        <w:t xml:space="preserve">Engagement (CTR)</w:t>
      </w:r>
      <w:r>
        <w:t xml:space="preserve"> </w:t>
      </w:r>
      <w:r>
        <w:t xml:space="preserve">:</w:t>
      </w:r>
      <w:r>
        <w:t xml:space="preserve"> </w:t>
      </w:r>
      <m:oMath>
        <m:sSub>
          <m:e>
            <m:r>
              <m:t>y</m:t>
            </m:r>
          </m:e>
          <m:sub>
            <m:r>
              <m:rPr>
                <m:nor/>
                <m:sty m:val="p"/>
              </m:rPr>
              <m:t>click</m:t>
            </m:r>
          </m:sub>
        </m:sSub>
        <m:r>
          <m:rPr>
            <m:sty m:val="p"/>
          </m:rPr>
          <m:t>∈</m:t>
        </m:r>
        <m:r>
          <m:rPr>
            <m:sty m:val="p"/>
          </m:rPr>
          <m:t>[</m:t>
        </m:r>
        <m:r>
          <m:t>0</m:t>
        </m:r>
        <m:r>
          <m:rPr>
            <m:sty m:val="p"/>
          </m:rPr>
          <m:t>,</m:t>
        </m:r>
        <m:r>
          <m:t>1</m:t>
        </m:r>
        <m:r>
          <m:rPr>
            <m:sty m:val="p"/>
          </m:rPr>
          <m:t>]</m:t>
        </m:r>
      </m:oMath>
      <w:r>
        <w:t xml:space="preserve"> </w:t>
      </w:r>
      <w:r>
        <w:t xml:space="preserve">— probabilité de clic.</w:t>
      </w:r>
    </w:p>
    <w:p>
      <w:pPr>
        <w:pStyle w:val="BodyText"/>
      </w:pPr>
      <m:oMathPara>
        <m:oMathParaPr>
          <m:jc m:val="center"/>
        </m:oMathParaPr>
        <m:oMath>
          <m:r>
            <m:rPr>
              <m:nor/>
              <m:sty m:val="p"/>
            </m:rPr>
            <m:t>engagement</m:t>
          </m:r>
          <m:r>
            <m:rPr>
              <m:sty m:val="p"/>
            </m:rPr>
            <m:t>(</m:t>
          </m:r>
          <m:r>
            <m:t>u</m:t>
          </m:r>
          <m:r>
            <m:rPr>
              <m:sty m:val="p"/>
            </m:rPr>
            <m:t>,</m:t>
          </m:r>
          <m:r>
            <m:t>a</m:t>
          </m:r>
          <m:r>
            <m:rPr>
              <m:sty m:val="p"/>
            </m:rPr>
            <m:t>)</m:t>
          </m:r>
          <m:r>
            <m:rPr>
              <m:sty m:val="p"/>
            </m:rPr>
            <m:t>=</m:t>
          </m:r>
          <m:r>
            <m:t>σ</m:t>
          </m:r>
          <m:r>
            <m:t>​</m:t>
          </m:r>
          <m:d>
            <m:dPr>
              <m:begChr m:val="("/>
              <m:sepChr m:val=""/>
              <m:endChr m:val=")"/>
              <m:grow/>
            </m:dPr>
            <m:e>
              <m:r>
                <m:t>γ</m:t>
              </m:r>
              <m:r>
                <m:rPr>
                  <m:sty m:val="p"/>
                </m:rPr>
                <m:t>⋅</m:t>
              </m:r>
              <m:r>
                <m:rPr>
                  <m:sty m:val="p"/>
                </m:rPr>
                <m:t>cos</m:t>
              </m:r>
              <m:r>
                <m:rPr>
                  <m:sty m:val="p"/>
                </m:rPr>
                <m:t>(</m:t>
              </m:r>
              <m:sSub>
                <m:e>
                  <m:r>
                    <m:rPr>
                      <m:sty m:val="b"/>
                    </m:rPr>
                    <m:t>x</m:t>
                  </m:r>
                </m:e>
                <m:sub>
                  <m:r>
                    <m:t>u</m:t>
                  </m:r>
                </m:sub>
              </m:sSub>
              <m:r>
                <m:rPr>
                  <m:sty m:val="p"/>
                </m:rPr>
                <m:t>,</m:t>
              </m:r>
              <m:sSub>
                <m:e>
                  <m:r>
                    <m:rPr>
                      <m:sty m:val="b"/>
                    </m:rPr>
                    <m:t>x</m:t>
                  </m:r>
                </m:e>
                <m:sub>
                  <m:r>
                    <m:t>a</m:t>
                  </m:r>
                </m:sub>
              </m:sSub>
              <m:r>
                <m:rPr>
                  <m:sty m:val="p"/>
                </m:rPr>
                <m:t>)</m:t>
              </m:r>
            </m:e>
          </m:d>
          <m:r>
            <m:t>  </m:t>
          </m:r>
          <m:r>
            <m:t>  </m:t>
          </m:r>
          <m:r>
            <m:t>  </m:t>
          </m:r>
          <m:r>
            <m:rPr>
              <m:nor/>
              <m:sty m:val="p"/>
            </m:rPr>
            <m:t>(2.1)</m:t>
          </m:r>
        </m:oMath>
      </m:oMathPara>
    </w:p>
    <w:p>
      <w:pPr>
        <w:numPr>
          <w:ilvl w:val="0"/>
          <w:numId w:val="1000"/>
        </w:numPr>
      </w:pPr>
      <w:r>
        <w:t xml:space="preserve"> </w:t>
      </w:r>
      <w:r>
        <w:t xml:space="preserve">où</w:t>
      </w:r>
      <w:r>
        <w:t xml:space="preserve"> </w:t>
      </w:r>
      <m:oMath>
        <m:r>
          <m:t>σ</m:t>
        </m:r>
      </m:oMath>
      <w:r>
        <w:t xml:space="preserve"> </w:t>
      </w:r>
      <w:r>
        <w:t xml:space="preserve">est la fonction sigmoïde,</w:t>
      </w:r>
      <w:r>
        <w:t xml:space="preserve"> </w:t>
      </w:r>
      <m:oMath>
        <m:r>
          <m:t>γ</m:t>
        </m:r>
        <m:r>
          <m:rPr>
            <m:sty m:val="p"/>
          </m:rPr>
          <m:t>=</m:t>
        </m:r>
        <m:r>
          <m:t>5.0</m:t>
        </m:r>
      </m:oMath>
      <w:r>
        <w:t xml:space="preserve"> </w:t>
      </w:r>
      <w:r>
        <w:t xml:space="preserve">est le facteur d’échelle, et</w:t>
      </w:r>
      <w:r>
        <w:t xml:space="preserve"> </w:t>
      </w:r>
      <m:oMath>
        <m:r>
          <m:rPr>
            <m:sty m:val="p"/>
          </m:rPr>
          <m:t>cos</m:t>
        </m:r>
        <m:r>
          <m:rPr>
            <m:sty m:val="p"/>
          </m:rPr>
          <m:t>(</m:t>
        </m:r>
        <m:r>
          <m:rPr>
            <m:sty m:val="p"/>
          </m:rPr>
          <m:t>⋅</m:t>
        </m:r>
        <m:r>
          <m:rPr>
            <m:sty m:val="p"/>
          </m:rPr>
          <m:t>,</m:t>
        </m:r>
        <m:r>
          <m:rPr>
            <m:sty m:val="p"/>
          </m:rPr>
          <m:t>⋅</m:t>
        </m:r>
        <m:r>
          <m:rPr>
            <m:sty m:val="p"/>
          </m:rPr>
          <m:t>)</m:t>
        </m:r>
      </m:oMath>
      <w:r>
        <w:t xml:space="preserve"> </w:t>
      </w:r>
      <w:r>
        <w:t xml:space="preserve">désigne la similarité cosinus.</w:t>
      </w:r>
    </w:p>
    <w:p>
      <w:pPr>
        <w:numPr>
          <w:ilvl w:val="0"/>
          <w:numId w:val="1015"/>
        </w:numPr>
      </w:pPr>
      <w:r>
        <w:rPr>
          <w:b/>
          <w:bCs/>
        </w:rPr>
        <w:t xml:space="preserve">Revenue</w:t>
      </w:r>
      <w:r>
        <w:t xml:space="preserve"> </w:t>
      </w:r>
      <w:r>
        <w:t xml:space="preserve">:</w:t>
      </w:r>
      <w:r>
        <w:t xml:space="preserve"> </w:t>
      </w:r>
      <m:oMath>
        <m:sSub>
          <m:e>
            <m:r>
              <m:t>y</m:t>
            </m:r>
          </m:e>
          <m:sub>
            <m:r>
              <m:rPr>
                <m:nor/>
                <m:sty m:val="p"/>
              </m:rPr>
              <m:t>rev</m:t>
            </m:r>
          </m:sub>
        </m:sSub>
        <m:r>
          <m:rPr>
            <m:sty m:val="p"/>
          </m:rPr>
          <m:t>∈</m:t>
        </m:r>
        <m:sSub>
          <m:e>
            <m:r>
              <m:rPr>
                <m:scr m:val="double-struck"/>
                <m:sty m:val="p"/>
              </m:rPr>
              <m:t>R</m:t>
            </m:r>
          </m:e>
          <m:sub>
            <m:r>
              <m:rPr>
                <m:sty m:val="p"/>
              </m:rPr>
              <m:t>+</m:t>
            </m:r>
          </m:sub>
        </m:sSub>
      </m:oMath>
      <w:r>
        <w:t xml:space="preserve"> </w:t>
      </w:r>
      <w:r>
        <w:t xml:space="preserve">— valeur économique générée.</w:t>
      </w:r>
    </w:p>
    <w:p>
      <w:pPr>
        <w:pStyle w:val="BodyText"/>
      </w:pPr>
      <m:oMathPara>
        <m:oMathParaPr>
          <m:jc m:val="center"/>
        </m:oMathParaPr>
        <m:oMath>
          <m:r>
            <m:rPr>
              <m:nor/>
              <m:sty m:val="p"/>
            </m:rPr>
            <m:t>revenue</m:t>
          </m:r>
          <m:r>
            <m:rPr>
              <m:sty m:val="p"/>
            </m:rPr>
            <m:t>(</m:t>
          </m:r>
          <m:r>
            <m:t>u</m:t>
          </m:r>
          <m:r>
            <m:rPr>
              <m:sty m:val="p"/>
            </m:rPr>
            <m:t>,</m:t>
          </m:r>
          <m:r>
            <m:t>a</m:t>
          </m:r>
          <m:r>
            <m:rPr>
              <m:sty m:val="p"/>
            </m:rPr>
            <m:t>)</m:t>
          </m:r>
          <m:r>
            <m:rPr>
              <m:sty m:val="p"/>
            </m:rPr>
            <m:t>=</m:t>
          </m:r>
          <m:limLow>
            <m:e>
              <m:limLow>
                <m:e>
                  <m:r>
                    <m:rPr>
                      <m:nor/>
                      <m:sty m:val="p"/>
                    </m:rPr>
                    <m:t>CTR</m:t>
                  </m:r>
                  <m:r>
                    <m:rPr>
                      <m:sty m:val="p"/>
                    </m:rPr>
                    <m:t>(</m:t>
                  </m:r>
                  <m:r>
                    <m:t>u</m:t>
                  </m:r>
                  <m:r>
                    <m:rPr>
                      <m:sty m:val="p"/>
                    </m:rPr>
                    <m:t>,</m:t>
                  </m:r>
                  <m:r>
                    <m:t>a</m:t>
                  </m:r>
                  <m:r>
                    <m:rPr>
                      <m:sty m:val="p"/>
                    </m:rPr>
                    <m:t>)</m:t>
                  </m:r>
                </m:e>
                <m:lim>
                  <m:r>
                    <m:rPr>
                      <m:sty m:val="p"/>
                    </m:rPr>
                    <m:t>⏟</m:t>
                  </m:r>
                </m:lim>
              </m:limLow>
            </m:e>
            <m:lim>
              <m:r>
                <m:rPr>
                  <m:nor/>
                  <m:sty m:val="p"/>
                </m:rPr>
                <m:t>engagement</m:t>
              </m:r>
            </m:lim>
          </m:limLow>
          <m:r>
            <m:rPr>
              <m:sty m:val="p"/>
            </m:rPr>
            <m:t>×</m:t>
          </m:r>
          <m:limLow>
            <m:e>
              <m:limLow>
                <m:e>
                  <m:r>
                    <m:rPr>
                      <m:nor/>
                      <m:sty m:val="p"/>
                    </m:rPr>
                    <m:t>CVR</m:t>
                  </m:r>
                  <m:r>
                    <m:rPr>
                      <m:sty m:val="p"/>
                    </m:rPr>
                    <m:t>(</m:t>
                  </m:r>
                  <m:r>
                    <m:t>a</m:t>
                  </m:r>
                  <m:r>
                    <m:rPr>
                      <m:sty m:val="p"/>
                    </m:rPr>
                    <m:t>)</m:t>
                  </m:r>
                </m:e>
                <m:lim>
                  <m:r>
                    <m:rPr>
                      <m:sty m:val="p"/>
                    </m:rPr>
                    <m:t>⏟</m:t>
                  </m:r>
                </m:lim>
              </m:limLow>
            </m:e>
            <m:lim>
              <m:m>
                <m:mPr>
                  <m:baseJc m:val="center"/>
                  <m:plcHide m:val="on"/>
                  <m:mcs>
                    <m:mc>
                      <m:mcPr>
                        <m:mcJc m:val="center"/>
                        <m:count m:val="1"/>
                      </m:mcPr>
                    </m:mc>
                  </m:mcs>
                </m:mPr>
                <m:mr>
                  <m:e>
                    <m:r>
                      <m:rPr>
                        <m:nor/>
                        <m:sty m:val="p"/>
                      </m:rPr>
                      <m:t>taux de</m:t>
                    </m:r>
                  </m:e>
                </m:mr>
                <m:mr>
                  <m:e>
                    <m:r>
                      <m:rPr>
                        <m:nor/>
                        <m:sty m:val="p"/>
                      </m:rPr>
                      <m:t>conversion</m:t>
                    </m:r>
                  </m:e>
                </m:mr>
              </m:m>
            </m:lim>
          </m:limLow>
          <m:r>
            <m:rPr>
              <m:sty m:val="p"/>
            </m:rPr>
            <m:t>×</m:t>
          </m:r>
          <m:limLow>
            <m:e>
              <m:limLow>
                <m:e>
                  <m:r>
                    <m:rPr>
                      <m:nor/>
                      <m:sty m:val="p"/>
                    </m:rPr>
                    <m:t>CPC</m:t>
                  </m:r>
                  <m:r>
                    <m:rPr>
                      <m:sty m:val="p"/>
                    </m:rPr>
                    <m:t>(</m:t>
                  </m:r>
                  <m:r>
                    <m:t>a</m:t>
                  </m:r>
                  <m:r>
                    <m:rPr>
                      <m:sty m:val="p"/>
                    </m:rPr>
                    <m:t>)</m:t>
                  </m:r>
                </m:e>
                <m:lim>
                  <m:r>
                    <m:rPr>
                      <m:sty m:val="p"/>
                    </m:rPr>
                    <m:t>⏟</m:t>
                  </m:r>
                </m:lim>
              </m:limLow>
            </m:e>
            <m:lim>
              <m:m>
                <m:mPr>
                  <m:baseJc m:val="center"/>
                  <m:plcHide m:val="on"/>
                  <m:mcs>
                    <m:mc>
                      <m:mcPr>
                        <m:mcJc m:val="center"/>
                        <m:count m:val="1"/>
                      </m:mcPr>
                    </m:mc>
                  </m:mcs>
                </m:mPr>
                <m:mr>
                  <m:e>
                    <m:r>
                      <m:rPr>
                        <m:nor/>
                        <m:sty m:val="p"/>
                      </m:rPr>
                      <m:t>coût par</m:t>
                    </m:r>
                  </m:e>
                </m:mr>
                <m:mr>
                  <m:e>
                    <m:r>
                      <m:rPr>
                        <m:nor/>
                        <m:sty m:val="p"/>
                      </m:rPr>
                      <m:t>clic</m:t>
                    </m:r>
                  </m:e>
                </m:mr>
              </m:m>
            </m:lim>
          </m:limLow>
          <m:r>
            <m:t>  </m:t>
          </m:r>
          <m:r>
            <m:t>  </m:t>
          </m:r>
          <m:r>
            <m:t>  </m:t>
          </m:r>
          <m:r>
            <m:rPr>
              <m:nor/>
              <m:sty m:val="p"/>
            </m:rPr>
            <m:t>(2.2)</m:t>
          </m:r>
        </m:oMath>
      </m:oMathPara>
    </w:p>
    <w:p>
      <w:pPr>
        <w:pStyle w:val="FirstParagraph"/>
      </w:pPr>
      <w:r>
        <w:t xml:space="preserve">Le CVR (</w:t>
      </w:r>
      <w:r>
        <w:rPr>
          <w:i/>
          <w:iCs/>
        </w:rPr>
        <w:t xml:space="preserve">Conversion Rate</w:t>
      </w:r>
      <w:r>
        <w:t xml:space="preserve">) est modélisé comme inversement corrélé au prix : les annonces populaires (CTR élevé) tendent à avoir un taux de conversion plus faible en raison de la saturation du marché. Le CPC (</w:t>
      </w:r>
      <w:r>
        <w:rPr>
          <w:i/>
          <w:iCs/>
        </w:rPr>
        <w:t xml:space="preserve">Cost-Per-Click</w:t>
      </w:r>
      <w:r>
        <w:t xml:space="preserve">) suit un pricing exponentiel inversé : les annonces de niche, moins populaires, commandent un prix par clic plus élevé.</w:t>
      </w:r>
    </w:p>
    <w:bookmarkStart w:id="47" w:name="fig:funnel"/>
    <w:tbl>
      <w:tblPr>
        <w:tblStyle w:val="FigureTable"/>
        <w:tblW w:type="auto" w:w="0"/>
        <w:jc w:val="center"/>
        <w:tblLook w:firstRow="0" w:lastRow="0" w:firstColumn="0" w:lastColumn="0"/>
      </w:tblPr>
      <w:tblGrid>
        <w:gridCol w:w="7920"/>
      </w:tblGrid>
      <w:tr>
        <w:tc>
          <w:tcPr/>
          <w:p/>
        </w:tc>
      </w:tr>
    </w:tbl>
    <w:p>
      <w:pPr>
        <w:pStyle w:val="ImageCaption"/>
      </w:pPr>
      <w:r>
        <w:t xml:space="preserve">Figure 2.1  Funnel de conversion publicitaire</w:t>
      </w:r>
    </w:p>
    <w:bookmarkEnd w:id="47"/>
    <w:bookmarkEnd w:id="48"/>
    <w:bookmarkEnd w:id="49"/>
    <w:bookmarkStart w:id="51" w:name="sec:moip"/>
    <w:p>
      <w:pPr>
        <w:pStyle w:val="Heading3"/>
      </w:pPr>
      <w:r>
        <w:t xml:space="preserve">2.1.2 Formulation du Problème MOIP</w:t>
      </w:r>
    </w:p>
    <w:p>
      <w:pPr>
        <w:pStyle w:val="FirstParagraph"/>
      </w:pPr>
      <w:r>
        <w:t xml:space="preserve">Le problème de sélection d’annonces se formalise comme un Programme en Nombres Entiers Multi-Objectifs (</w:t>
      </w:r>
      <w:r>
        <w:rPr>
          <w:i/>
          <w:iCs/>
        </w:rPr>
        <w:t xml:space="preserve">Multi-Objective Integer Programming</w:t>
      </w:r>
      <w:r>
        <w:t xml:space="preserve">, MOIP) :</w:t>
      </w:r>
    </w:p>
    <w:p>
      <w:pPr>
        <w:pStyle w:val="BodyText"/>
      </w:pPr>
      <m:oMathPara>
        <m:oMathParaPr>
          <m:jc m:val="center"/>
        </m:oMathParaPr>
        <m:oMath>
          <m:limLow>
            <m:e>
              <m:r>
                <m:rPr>
                  <m:sty m:val="p"/>
                </m:rPr>
                <m:t>max</m:t>
              </m:r>
            </m:e>
            <m:lim>
              <m:r>
                <m:t>a</m:t>
              </m:r>
              <m:r>
                <m:rPr>
                  <m:sty m:val="p"/>
                </m:rPr>
                <m:t>∈</m:t>
              </m:r>
              <m:r>
                <m:rPr>
                  <m:sty m:val="p"/>
                </m:rPr>
                <m:t>{</m:t>
              </m:r>
              <m:r>
                <m:t>1</m:t>
              </m:r>
              <m:r>
                <m:rPr>
                  <m:sty m:val="p"/>
                </m:rPr>
                <m:t>,</m:t>
              </m:r>
              <m:r>
                <m:rPr>
                  <m:sty m:val="p"/>
                </m:rPr>
                <m:t>…</m:t>
              </m:r>
              <m:r>
                <m:rPr>
                  <m:sty m:val="p"/>
                </m:rPr>
                <m:t>,</m:t>
              </m:r>
              <m:r>
                <m:t>K</m:t>
              </m:r>
              <m:r>
                <m:rPr>
                  <m:sty m:val="p"/>
                </m:rPr>
                <m:t>}</m:t>
              </m:r>
            </m:lim>
          </m:limLow>
          <m:r>
            <m:t> </m:t>
          </m:r>
          <m:r>
            <m:rPr>
              <m:sty m:val="b"/>
            </m:rPr>
            <m:t>f</m:t>
          </m:r>
          <m:r>
            <m:rPr>
              <m:sty m:val="p"/>
            </m:rPr>
            <m:t>(</m:t>
          </m:r>
          <m:r>
            <m:t>a</m:t>
          </m:r>
          <m:r>
            <m:rPr>
              <m:sty m:val="p"/>
            </m:rPr>
            <m:t>∣</m:t>
          </m:r>
          <m:sSub>
            <m:e>
              <m:r>
                <m:rPr>
                  <m:sty m:val="b"/>
                </m:rPr>
                <m:t>x</m:t>
              </m:r>
            </m:e>
            <m:sub>
              <m:r>
                <m:t>u</m:t>
              </m:r>
            </m:sub>
          </m:sSub>
          <m:r>
            <m:rPr>
              <m:sty m:val="p"/>
            </m:rPr>
            <m:t>)</m:t>
          </m:r>
          <m:r>
            <m:rPr>
              <m:sty m:val="p"/>
            </m:rPr>
            <m:t>=</m:t>
          </m:r>
          <m:d>
            <m:dPr>
              <m:begChr m:val="("/>
              <m:sepChr m:val=""/>
              <m:endChr m:val=")"/>
              <m:grow/>
            </m:dPr>
            <m:e>
              <m:m>
                <m:mPr>
                  <m:baseJc m:val="center"/>
                  <m:plcHide m:val="on"/>
                  <m:mcs>
                    <m:mc>
                      <m:mcPr>
                        <m:mcJc m:val="center"/>
                        <m:count m:val="1"/>
                      </m:mcPr>
                    </m:mc>
                  </m:mcs>
                </m:mPr>
                <m:mr>
                  <m:e>
                    <m:sSub>
                      <m:e>
                        <m:r>
                          <m:t>f</m:t>
                        </m:r>
                      </m:e>
                      <m:sub>
                        <m:r>
                          <m:rPr>
                            <m:nor/>
                            <m:sty m:val="p"/>
                          </m:rPr>
                          <m:t>click</m:t>
                        </m:r>
                      </m:sub>
                    </m:sSub>
                    <m:r>
                      <m:rPr>
                        <m:sty m:val="p"/>
                      </m:rPr>
                      <m:t>(</m:t>
                    </m:r>
                    <m:r>
                      <m:t>a</m:t>
                    </m:r>
                    <m:r>
                      <m:rPr>
                        <m:sty m:val="p"/>
                      </m:rPr>
                      <m:t>∣</m:t>
                    </m:r>
                    <m:sSub>
                      <m:e>
                        <m:r>
                          <m:rPr>
                            <m:sty m:val="b"/>
                          </m:rPr>
                          <m:t>x</m:t>
                        </m:r>
                      </m:e>
                      <m:sub>
                        <m:r>
                          <m:t>u</m:t>
                        </m:r>
                      </m:sub>
                    </m:sSub>
                    <m:r>
                      <m:rPr>
                        <m:sty m:val="p"/>
                      </m:rPr>
                      <m:t>)</m:t>
                    </m:r>
                  </m:e>
                </m:mr>
                <m:mr>
                  <m:e>
                    <m:sSub>
                      <m:e>
                        <m:r>
                          <m:t>f</m:t>
                        </m:r>
                      </m:e>
                      <m:sub>
                        <m:r>
                          <m:rPr>
                            <m:nor/>
                            <m:sty m:val="p"/>
                          </m:rPr>
                          <m:t>rev</m:t>
                        </m:r>
                      </m:sub>
                    </m:sSub>
                    <m:r>
                      <m:rPr>
                        <m:sty m:val="p"/>
                      </m:rPr>
                      <m:t>(</m:t>
                    </m:r>
                    <m:r>
                      <m:t>a</m:t>
                    </m:r>
                    <m:r>
                      <m:rPr>
                        <m:sty m:val="p"/>
                      </m:rPr>
                      <m:t>∣</m:t>
                    </m:r>
                    <m:sSub>
                      <m:e>
                        <m:r>
                          <m:rPr>
                            <m:sty m:val="b"/>
                          </m:rPr>
                          <m:t>x</m:t>
                        </m:r>
                      </m:e>
                      <m:sub>
                        <m:r>
                          <m:t>u</m:t>
                        </m:r>
                      </m:sub>
                    </m:sSub>
                    <m:r>
                      <m:rPr>
                        <m:sty m:val="p"/>
                      </m:rPr>
                      <m:t>)</m:t>
                    </m:r>
                  </m:e>
                </m:mr>
              </m:m>
            </m:e>
          </m:d>
          <m:r>
            <m:t>  </m:t>
          </m:r>
          <m:r>
            <m:t>  </m:t>
          </m:r>
          <m:r>
            <m:t>  </m:t>
          </m:r>
          <m:r>
            <m:rPr>
              <m:nor/>
              <m:sty m:val="p"/>
            </m:rPr>
            <m:t>(2.3)</m:t>
          </m:r>
        </m:oMath>
      </m:oMathPara>
    </w:p>
    <w:p>
      <w:pPr>
        <w:numPr>
          <w:ilvl w:val="0"/>
          <w:numId w:val="1016"/>
        </w:numPr>
      </w:pPr>
      <m:oMath>
        <m:r>
          <m:t>K</m:t>
        </m:r>
      </m:oMath>
      <w:r>
        <w:t xml:space="preserve"> </w:t>
      </w:r>
      <w:r>
        <w:t xml:space="preserve">= nombre d’annonces actives (</w:t>
      </w:r>
      <m:oMath>
        <m:r>
          <m:t>K</m:t>
        </m:r>
        <m:r>
          <m:rPr>
            <m:sty m:val="p"/>
          </m:rPr>
          <m:t>=</m:t>
        </m:r>
        <m:r>
          <m:t>48</m:t>
        </m:r>
      </m:oMath>
      <w:r>
        <w:t xml:space="preserve"> </w:t>
      </w:r>
      <w:r>
        <w:t xml:space="preserve">initialement,</w:t>
      </w:r>
      <w:r>
        <w:t xml:space="preserve"> </w:t>
      </w:r>
      <m:oMath>
        <m:r>
          <m:t>K</m:t>
        </m:r>
        <m:r>
          <m:rPr>
            <m:sty m:val="p"/>
          </m:rPr>
          <m:t>=</m:t>
        </m:r>
        <m:r>
          <m:t>60</m:t>
        </m:r>
      </m:oMath>
      <w:r>
        <w:t xml:space="preserve"> </w:t>
      </w:r>
      <w:r>
        <w:t xml:space="preserve">après cold-start shock)</w:t>
      </w:r>
    </w:p>
    <w:p>
      <w:pPr>
        <w:numPr>
          <w:ilvl w:val="0"/>
          <w:numId w:val="1016"/>
        </w:numPr>
      </w:pPr>
      <m:oMath>
        <m:sSub>
          <m:e>
            <m:r>
              <m:rPr>
                <m:sty m:val="b"/>
              </m:rPr>
              <m:t>x</m:t>
            </m:r>
          </m:e>
          <m:sub>
            <m:r>
              <m:t>u</m:t>
            </m:r>
          </m:sub>
        </m:sSub>
      </m:oMath>
      <w:r>
        <w:t xml:space="preserve"> </w:t>
      </w:r>
      <w:r>
        <w:t xml:space="preserve">= contexte utilisateur (vecteur d’embedding)</w:t>
      </w:r>
    </w:p>
    <w:p>
      <w:pPr>
        <w:numPr>
          <w:ilvl w:val="0"/>
          <w:numId w:val="1016"/>
        </w:numPr>
      </w:pPr>
      <m:oMath>
        <m:sSub>
          <m:e>
            <m:r>
              <m:t>f</m:t>
            </m:r>
          </m:e>
          <m:sub>
            <m:r>
              <m:rPr>
                <m:nor/>
                <m:sty m:val="p"/>
              </m:rPr>
              <m:t>click</m:t>
            </m:r>
          </m:sub>
        </m:sSub>
        <m:r>
          <m:rPr>
            <m:sty m:val="p"/>
          </m:rPr>
          <m:t>(</m:t>
        </m:r>
        <m:r>
          <m:t>a</m:t>
        </m:r>
        <m:r>
          <m:rPr>
            <m:sty m:val="p"/>
          </m:rPr>
          <m:t>∣</m:t>
        </m:r>
        <m:sSub>
          <m:e>
            <m:r>
              <m:rPr>
                <m:sty m:val="b"/>
              </m:rPr>
              <m:t>x</m:t>
            </m:r>
          </m:e>
          <m:sub>
            <m:r>
              <m:t>u</m:t>
            </m:r>
          </m:sub>
        </m:sSub>
        <m:r>
          <m:rPr>
            <m:sty m:val="p"/>
          </m:rPr>
          <m:t>)</m:t>
        </m:r>
      </m:oMath>
      <w:r>
        <w:t xml:space="preserve"> </w:t>
      </w:r>
      <w:r>
        <w:t xml:space="preserve">= CTR estimé pour l’annonce</w:t>
      </w:r>
      <w:r>
        <w:t xml:space="preserve"> </w:t>
      </w:r>
      <m:oMath>
        <m:r>
          <m:t>a</m:t>
        </m:r>
      </m:oMath>
      <w:r>
        <w:t xml:space="preserve"> </w:t>
      </w:r>
      <w:r>
        <w:t xml:space="preserve">sachant l’utilisateur</w:t>
      </w:r>
    </w:p>
    <w:p>
      <w:pPr>
        <w:numPr>
          <w:ilvl w:val="0"/>
          <w:numId w:val="1016"/>
        </w:numPr>
      </w:pPr>
      <m:oMath>
        <m:sSub>
          <m:e>
            <m:r>
              <m:t>f</m:t>
            </m:r>
          </m:e>
          <m:sub>
            <m:r>
              <m:rPr>
                <m:nor/>
                <m:sty m:val="p"/>
              </m:rPr>
              <m:t>rev</m:t>
            </m:r>
          </m:sub>
        </m:sSub>
        <m:r>
          <m:rPr>
            <m:sty m:val="p"/>
          </m:rPr>
          <m:t>(</m:t>
        </m:r>
        <m:r>
          <m:t>a</m:t>
        </m:r>
        <m:r>
          <m:rPr>
            <m:sty m:val="p"/>
          </m:rPr>
          <m:t>∣</m:t>
        </m:r>
        <m:sSub>
          <m:e>
            <m:r>
              <m:rPr>
                <m:sty m:val="b"/>
              </m:rPr>
              <m:t>x</m:t>
            </m:r>
          </m:e>
          <m:sub>
            <m:r>
              <m:t>u</m:t>
            </m:r>
          </m:sub>
        </m:sSub>
        <m:r>
          <m:rPr>
            <m:sty m:val="p"/>
          </m:rPr>
          <m:t>)</m:t>
        </m:r>
      </m:oMath>
      <w:r>
        <w:t xml:space="preserve"> </w:t>
      </w:r>
      <w:r>
        <w:t xml:space="preserve">= revenue estimé</w:t>
      </w:r>
    </w:p>
    <w:p>
      <w:pPr>
        <w:pStyle w:val="FirstParagraph"/>
      </w:pPr>
      <w:r>
        <w:rPr>
          <w:b/>
          <w:bCs/>
        </w:rPr>
        <w:t xml:space="preserve">Contraintes</w:t>
      </w:r>
      <w:r>
        <w:t xml:space="preserve"> </w:t>
      </w:r>
      <w:r>
        <w:t xml:space="preserve">:</w:t>
      </w:r>
    </w:p>
    <w:p>
      <w:pPr>
        <w:numPr>
          <w:ilvl w:val="0"/>
          <w:numId w:val="1017"/>
        </w:numPr>
      </w:pPr>
      <w:r>
        <w:rPr>
          <w:b/>
          <w:bCs/>
        </w:rPr>
        <w:t xml:space="preserve">Sélection discrète</w:t>
      </w:r>
      <w:r>
        <w:t xml:space="preserve"> </w:t>
      </w:r>
      <w:r>
        <w:t xml:space="preserve">: exactement un bras sélectionné par itération (</w:t>
      </w:r>
      <m:oMath>
        <m:sSub>
          <m:e>
            <m:r>
              <m:t>z</m:t>
            </m:r>
          </m:e>
          <m:sub>
            <m:r>
              <m:t>k</m:t>
            </m:r>
          </m:sub>
        </m:sSub>
        <m:r>
          <m:rPr>
            <m:sty m:val="p"/>
          </m:rPr>
          <m:t>∈</m:t>
        </m:r>
        <m:r>
          <m:rPr>
            <m:sty m:val="p"/>
          </m:rPr>
          <m:t>{</m:t>
        </m:r>
        <m:r>
          <m:t>0</m:t>
        </m:r>
        <m:r>
          <m:rPr>
            <m:sty m:val="p"/>
          </m:rPr>
          <m:t>,</m:t>
        </m:r>
        <m:r>
          <m:t>1</m:t>
        </m:r>
        <m:r>
          <m:rPr>
            <m:sty m:val="p"/>
          </m:rPr>
          <m:t>}</m:t>
        </m:r>
      </m:oMath>
      <w:r>
        <w:t xml:space="preserve">,</w:t>
      </w:r>
      <w:r>
        <w:t xml:space="preserve"> </w:t>
      </w:r>
      <m:oMath>
        <m:nary>
          <m:naryPr>
            <m:chr m:val="∑"/>
            <m:limLoc m:val="undOvr"/>
            <m:subHide m:val="off"/>
            <m:supHide m:val="on"/>
          </m:naryPr>
          <m:sub>
            <m:r>
              <m:t>k</m:t>
            </m:r>
          </m:sub>
          <m:sup>
            <m:r>
              <m:t>​</m:t>
            </m:r>
          </m:sup>
          <m:e>
            <m:sSub>
              <m:e>
                <m:r>
                  <m:t>z</m:t>
                </m:r>
              </m:e>
              <m:sub>
                <m:r>
                  <m:t>k</m:t>
                </m:r>
              </m:sub>
            </m:sSub>
          </m:e>
        </m:nary>
        <m:r>
          <m:rPr>
            <m:sty m:val="p"/>
          </m:rPr>
          <m:t>=</m:t>
        </m:r>
        <m:r>
          <m:t>1</m:t>
        </m:r>
      </m:oMath>
      <w:r>
        <w:t xml:space="preserve">).</w:t>
      </w:r>
    </w:p>
    <w:p>
      <w:pPr>
        <w:numPr>
          <w:ilvl w:val="0"/>
          <w:numId w:val="1017"/>
        </w:numPr>
      </w:pPr>
      <w:r>
        <w:rPr>
          <w:b/>
          <w:bCs/>
        </w:rPr>
        <w:t xml:space="preserve">Temps réel</w:t>
      </w:r>
      <w:r>
        <w:t xml:space="preserve"> </w:t>
      </w:r>
      <w:r>
        <w:t xml:space="preserve">:</w:t>
      </w:r>
      <w:r>
        <w:t xml:space="preserve"> </w:t>
      </w:r>
      <m:oMath>
        <m:sSub>
          <m:e>
            <m:r>
              <m:t>t</m:t>
            </m:r>
          </m:e>
          <m:sub>
            <m:r>
              <m:rPr>
                <m:nor/>
                <m:sty m:val="p"/>
              </m:rPr>
              <m:t>décision</m:t>
            </m:r>
          </m:sub>
        </m:sSub>
        <m:r>
          <m:rPr>
            <m:sty m:val="p"/>
          </m:rPr>
          <m:t>&lt;</m:t>
        </m:r>
        <m:r>
          <m:t>50</m:t>
        </m:r>
      </m:oMath>
      <w:r>
        <w:t xml:space="preserve"> ms.</w:t>
      </w:r>
    </w:p>
    <w:p>
      <w:pPr>
        <w:numPr>
          <w:ilvl w:val="0"/>
          <w:numId w:val="1017"/>
        </w:numPr>
      </w:pPr>
      <w:r>
        <w:rPr>
          <w:b/>
          <w:bCs/>
        </w:rPr>
        <w:t xml:space="preserve">Feedback partiel</w:t>
      </w:r>
      <w:r>
        <w:t xml:space="preserve"> </w:t>
      </w:r>
      <w:r>
        <w:t xml:space="preserve">: seule la récompense de l’annonce choisie est observée (problème de bandit).</w:t>
      </w:r>
    </w:p>
    <w:bookmarkStart w:id="50" w:name="notion-de-dominance-de-pareto"/>
    <w:p>
      <w:pPr>
        <w:pStyle w:val="Heading4"/>
      </w:pPr>
      <w:r>
        <w:t xml:space="preserve">Notion de Dominance de Pareto</w:t>
      </w:r>
    </w:p>
    <w:p>
      <w:pPr>
        <w:pStyle w:val="FirstParagraph"/>
      </w:pPr>
      <w:r>
        <w:t xml:space="preserve">Dans ce problème multi-objectif, il n’existe généralement pas de solution unique maximisant simultanément tous les objectifs. On fait appel à la notion de</w:t>
      </w:r>
      <w:r>
        <w:t xml:space="preserve"> </w:t>
      </w:r>
      <w:r>
        <w:rPr>
          <w:b/>
          <w:bCs/>
        </w:rPr>
        <w:t xml:space="preserve">dominance de Pareto</w:t>
      </w:r>
      <w:r>
        <w:t xml:space="preserve"> </w:t>
      </w:r>
      <w:r>
        <w:t xml:space="preserve">[</w:t>
      </w:r>
      <w:hyperlink w:anchor="ref-deb2001multi">
        <w:r>
          <w:rPr>
            <w:rStyle w:val="Hyperlink"/>
          </w:rPr>
          <w:t xml:space="preserve">Deb 2001</w:t>
        </w:r>
      </w:hyperlink>
      <w:r>
        <w:t xml:space="preserve">]</w:t>
      </w:r>
      <w:r>
        <w:t xml:space="preserve"> </w:t>
      </w:r>
      <w:r>
        <w:t xml:space="preserve">:</w:t>
      </w:r>
    </w:p>
    <w:p>
      <w:pPr>
        <w:numPr>
          <w:ilvl w:val="0"/>
          <w:numId w:val="1018"/>
        </w:numPr>
      </w:pPr>
      <w:r>
        <w:t xml:space="preserve">L’annonce</w:t>
      </w:r>
      <w:r>
        <w:t xml:space="preserve"> </w:t>
      </w:r>
      <m:oMath>
        <m:r>
          <m:t>a</m:t>
        </m:r>
      </m:oMath>
      <w:r>
        <w:t xml:space="preserve"> </w:t>
      </w:r>
      <w:r>
        <w:rPr>
          <w:i/>
          <w:iCs/>
        </w:rPr>
        <w:t xml:space="preserve">domine</w:t>
      </w:r>
      <w:r>
        <w:t xml:space="preserve"> </w:t>
      </w:r>
      <m:oMath>
        <m:sSup>
          <m:e>
            <m:r>
              <m:t>a</m:t>
            </m:r>
          </m:e>
          <m:sup>
            <m:r>
              <m:rPr>
                <m:sty m:val="p"/>
              </m:rPr>
              <m:t>′</m:t>
            </m:r>
          </m:sup>
        </m:sSup>
      </m:oMath>
      <w:r>
        <w:t xml:space="preserve"> </w:t>
      </w:r>
      <w:r>
        <w:t xml:space="preserve">(noté</w:t>
      </w:r>
      <w:r>
        <w:t xml:space="preserve"> </w:t>
      </w:r>
      <m:oMath>
        <m:r>
          <m:t>a</m:t>
        </m:r>
        <m:r>
          <m:rPr>
            <m:sty m:val="p"/>
          </m:rPr>
          <m:t>≻</m:t>
        </m:r>
        <m:sSup>
          <m:e>
            <m:r>
              <m:t>a</m:t>
            </m:r>
          </m:e>
          <m:sup>
            <m:r>
              <m:rPr>
                <m:sty m:val="p"/>
              </m:rPr>
              <m:t>′</m:t>
            </m:r>
          </m:sup>
        </m:sSup>
      </m:oMath>
      <w:r>
        <w:t xml:space="preserve">) si</w:t>
      </w:r>
      <w:r>
        <w:t xml:space="preserve"> </w:t>
      </w:r>
      <m:oMath>
        <m:sSub>
          <m:e>
            <m:r>
              <m:t>f</m:t>
            </m:r>
          </m:e>
          <m:sub>
            <m:r>
              <m:t>i</m:t>
            </m:r>
          </m:sub>
        </m:sSub>
        <m:r>
          <m:rPr>
            <m:sty m:val="p"/>
          </m:rPr>
          <m:t>(</m:t>
        </m:r>
        <m:r>
          <m:t>a</m:t>
        </m:r>
        <m:r>
          <m:rPr>
            <m:sty m:val="p"/>
          </m:rPr>
          <m:t>)</m:t>
        </m:r>
        <m:r>
          <m:rPr>
            <m:sty m:val="p"/>
          </m:rPr>
          <m:t>≥</m:t>
        </m:r>
        <m:sSub>
          <m:e>
            <m:r>
              <m:t>f</m:t>
            </m:r>
          </m:e>
          <m:sub>
            <m:r>
              <m:t>i</m:t>
            </m:r>
          </m:sub>
        </m:sSub>
        <m:r>
          <m:rPr>
            <m:sty m:val="p"/>
          </m:rPr>
          <m:t>(</m:t>
        </m:r>
        <m:sSup>
          <m:e>
            <m:r>
              <m:t>a</m:t>
            </m:r>
          </m:e>
          <m:sup>
            <m:r>
              <m:rPr>
                <m:sty m:val="p"/>
              </m:rPr>
              <m:t>′</m:t>
            </m:r>
          </m:sup>
        </m:sSup>
        <m:r>
          <m:rPr>
            <m:sty m:val="p"/>
          </m:rPr>
          <m:t>)</m:t>
        </m:r>
      </m:oMath>
      <w:r>
        <w:t xml:space="preserve"> </w:t>
      </w:r>
      <w:r>
        <w:t xml:space="preserve">pour tout</w:t>
      </w:r>
      <w:r>
        <w:t xml:space="preserve"> </w:t>
      </w:r>
      <m:oMath>
        <m:r>
          <m:t>i</m:t>
        </m:r>
      </m:oMath>
      <w:r>
        <w:t xml:space="preserve"> </w:t>
      </w:r>
      <w:r>
        <w:t xml:space="preserve">et</w:t>
      </w:r>
      <w:r>
        <w:t xml:space="preserve"> </w:t>
      </w:r>
      <m:oMath>
        <m:sSub>
          <m:e>
            <m:r>
              <m:t>f</m:t>
            </m:r>
          </m:e>
          <m:sub>
            <m:r>
              <m:t>j</m:t>
            </m:r>
          </m:sub>
        </m:sSub>
        <m:r>
          <m:rPr>
            <m:sty m:val="p"/>
          </m:rPr>
          <m:t>(</m:t>
        </m:r>
        <m:r>
          <m:t>a</m:t>
        </m:r>
        <m:r>
          <m:rPr>
            <m:sty m:val="p"/>
          </m:rPr>
          <m:t>)</m:t>
        </m:r>
        <m:r>
          <m:rPr>
            <m:sty m:val="p"/>
          </m:rPr>
          <m:t>&gt;</m:t>
        </m:r>
        <m:sSub>
          <m:e>
            <m:r>
              <m:t>f</m:t>
            </m:r>
          </m:e>
          <m:sub>
            <m:r>
              <m:t>j</m:t>
            </m:r>
          </m:sub>
        </m:sSub>
        <m:r>
          <m:rPr>
            <m:sty m:val="p"/>
          </m:rPr>
          <m:t>(</m:t>
        </m:r>
        <m:sSup>
          <m:e>
            <m:r>
              <m:t>a</m:t>
            </m:r>
          </m:e>
          <m:sup>
            <m:r>
              <m:rPr>
                <m:sty m:val="p"/>
              </m:rPr>
              <m:t>′</m:t>
            </m:r>
          </m:sup>
        </m:sSup>
        <m:r>
          <m:rPr>
            <m:sty m:val="p"/>
          </m:rPr>
          <m:t>)</m:t>
        </m:r>
      </m:oMath>
      <w:r>
        <w:t xml:space="preserve"> </w:t>
      </w:r>
      <w:r>
        <w:t xml:space="preserve">pour au moins un</w:t>
      </w:r>
      <w:r>
        <w:t xml:space="preserve"> </w:t>
      </w:r>
      <m:oMath>
        <m:r>
          <m:t>j</m:t>
        </m:r>
      </m:oMath>
      <w:r>
        <w:t xml:space="preserve">.</w:t>
      </w:r>
    </w:p>
    <w:p>
      <w:pPr>
        <w:numPr>
          <w:ilvl w:val="0"/>
          <w:numId w:val="1018"/>
        </w:numPr>
      </w:pPr>
      <w:r>
        <w:t xml:space="preserve">L’ensemble des annonces non-dominées forme le</w:t>
      </w:r>
      <w:r>
        <w:t xml:space="preserve"> </w:t>
      </w:r>
      <w:r>
        <w:rPr>
          <w:b/>
          <w:bCs/>
        </w:rPr>
        <w:t xml:space="preserve">front de Pareto</w:t>
      </w:r>
      <w:r>
        <w:t xml:space="preserve">.</w:t>
      </w:r>
    </w:p>
    <w:p>
      <w:pPr>
        <w:numPr>
          <w:ilvl w:val="0"/>
          <w:numId w:val="1018"/>
        </w:numPr>
      </w:pPr>
      <w:r>
        <w:t xml:space="preserve">Il n’existe pas de solution universellement optimale</w:t>
      </w:r>
      <w:r>
        <w:t xml:space="preserve"> </w:t>
      </w:r>
      <m:oMath>
        <m:r>
          <m:rPr>
            <m:sty m:val="p"/>
          </m:rPr>
          <m:t>→</m:t>
        </m:r>
      </m:oMath>
      <w:r>
        <w:t xml:space="preserve"> </w:t>
      </w:r>
      <w:r>
        <w:t xml:space="preserve">une</w:t>
      </w:r>
      <w:r>
        <w:t xml:space="preserve"> </w:t>
      </w:r>
      <w:r>
        <w:rPr>
          <w:i/>
          <w:iCs/>
        </w:rPr>
        <w:t xml:space="preserve">politique de décision</w:t>
      </w:r>
      <w:r>
        <w:t xml:space="preserve"> </w:t>
      </w:r>
      <w:r>
        <w:t xml:space="preserve">est nécessaire.</w:t>
      </w:r>
    </w:p>
    <w:bookmarkEnd w:id="50"/>
    <w:bookmarkEnd w:id="51"/>
    <w:bookmarkStart w:id="52" w:name="sec:defis_resolution"/>
    <w:p>
      <w:pPr>
        <w:pStyle w:val="Heading3"/>
      </w:pPr>
      <w:r>
        <w:t xml:space="preserve">2.1.3 Défis de Résolution</w:t>
      </w:r>
    </w:p>
    <w:p>
      <w:pPr>
        <w:pStyle w:val="FirstParagraph"/>
      </w:pPr>
      <w:r>
        <w:t xml:space="preserve">La résolution du problème</w:t>
      </w:r>
      <w:r>
        <w:t xml:space="preserve"> </w:t>
      </w:r>
      <m:oMath>
        <m:sSub>
          <m:e>
            <m:r>
              <m:t>P</m:t>
            </m:r>
          </m:e>
          <m:sub>
            <m:r>
              <m:rPr>
                <m:nor/>
                <m:sty m:val="p"/>
              </m:rPr>
              <m:t>MOIP</m:t>
            </m:r>
          </m:sub>
        </m:sSub>
      </m:oMath>
      <w:r>
        <w:t xml:space="preserve"> </w:t>
      </w:r>
      <w:r>
        <w:t xml:space="preserve">en contexte de publicité temps réel présente cinq défis fondamentaux :</w:t>
      </w:r>
    </w:p>
    <w:p>
      <w:pPr>
        <w:numPr>
          <w:ilvl w:val="0"/>
          <w:numId w:val="1019"/>
        </w:numPr>
      </w:pPr>
      <w:r>
        <w:rPr>
          <w:b/>
          <w:bCs/>
        </w:rPr>
        <w:t xml:space="preserve">Dilemme exploration-exploitation</w:t>
      </w:r>
      <w:r>
        <w:t xml:space="preserve"> </w:t>
      </w:r>
      <w:r>
        <w:t xml:space="preserve">: explorer de nouvelles annonces pour mieux estimer leurs récompenses vs. exploiter les annonces déjà connues comme performantes.</w:t>
      </w:r>
    </w:p>
    <w:p>
      <w:pPr>
        <w:numPr>
          <w:ilvl w:val="0"/>
          <w:numId w:val="1019"/>
        </w:numPr>
      </w:pPr>
      <w:r>
        <w:rPr>
          <w:b/>
          <w:bCs/>
        </w:rPr>
        <w:t xml:space="preserve">Feedback partiel</w:t>
      </w:r>
      <w:r>
        <w:t xml:space="preserve"> </w:t>
      </w:r>
      <w:r>
        <w:t xml:space="preserve">(</w:t>
      </w:r>
      <w:r>
        <w:rPr>
          <w:i/>
          <w:iCs/>
        </w:rPr>
        <w:t xml:space="preserve">bandit feedback</w:t>
      </w:r>
      <w:r>
        <w:t xml:space="preserve">) : contrairement à l’apprentissage supervisé, on n’observe</w:t>
      </w:r>
      <w:r>
        <w:t xml:space="preserve"> </w:t>
      </w:r>
      <w:r>
        <w:rPr>
          <w:b/>
          <w:bCs/>
        </w:rPr>
        <w:t xml:space="preserve">jamais</w:t>
      </w:r>
      <w:r>
        <w:t xml:space="preserve"> </w:t>
      </w:r>
      <w:r>
        <w:t xml:space="preserve">le reward des annonces non sélectionnées.</w:t>
      </w:r>
    </w:p>
    <w:p>
      <w:pPr>
        <w:numPr>
          <w:ilvl w:val="0"/>
          <w:numId w:val="1019"/>
        </w:numPr>
      </w:pPr>
      <w:r>
        <w:rPr>
          <w:b/>
          <w:bCs/>
        </w:rPr>
        <w:t xml:space="preserve">Cold-start</w:t>
      </w:r>
      <w:r>
        <w:t xml:space="preserve"> </w:t>
      </w:r>
      <w:r>
        <w:t xml:space="preserve">: les nouvelles annonces ont zéro historique</w:t>
      </w:r>
      <w:r>
        <w:t xml:space="preserve"> </w:t>
      </w:r>
      <m:oMath>
        <m:r>
          <m:rPr>
            <m:sty m:val="p"/>
          </m:rPr>
          <m:t>→</m:t>
        </m:r>
      </m:oMath>
      <w:r>
        <w:t xml:space="preserve"> </w:t>
      </w:r>
      <w:r>
        <w:t xml:space="preserve">le modèle classique (per-arm) ne peut pas prédire leur performance sans exploration.</w:t>
      </w:r>
    </w:p>
    <w:p>
      <w:pPr>
        <w:numPr>
          <w:ilvl w:val="0"/>
          <w:numId w:val="1019"/>
        </w:numPr>
      </w:pPr>
      <w:r>
        <w:rPr>
          <w:b/>
          <w:bCs/>
        </w:rPr>
        <w:t xml:space="preserve">Conflit des objectifs</w:t>
      </w:r>
      <w:r>
        <w:t xml:space="preserve"> </w:t>
      </w:r>
      <w:r>
        <w:t xml:space="preserve">: les annonces à fort CTR ont souvent un faible CPC (et inversement)</w:t>
      </w:r>
      <w:r>
        <w:t xml:space="preserve"> </w:t>
      </w:r>
      <m:oMath>
        <m:r>
          <m:rPr>
            <m:sty m:val="p"/>
          </m:rPr>
          <m:t>→</m:t>
        </m:r>
      </m:oMath>
      <w:r>
        <w:t xml:space="preserve"> </w:t>
      </w:r>
      <w:r>
        <w:t xml:space="preserve">le trade-off est non-trivial.</w:t>
      </w:r>
    </w:p>
    <w:p>
      <w:pPr>
        <w:numPr>
          <w:ilvl w:val="0"/>
          <w:numId w:val="1019"/>
        </w:numPr>
      </w:pPr>
      <w:r>
        <w:rPr>
          <w:b/>
          <w:bCs/>
        </w:rPr>
        <w:t xml:space="preserve">Scalabilité</w:t>
      </w:r>
      <w:r>
        <w:t xml:space="preserve"> </w:t>
      </w:r>
      <w:r>
        <w:t xml:space="preserve">:</w:t>
      </w:r>
      <w:r>
        <w:t xml:space="preserve"> </w:t>
      </w:r>
      <m:oMath>
        <m:r>
          <m:t>K</m:t>
        </m:r>
      </m:oMath>
      <w:r>
        <w:t xml:space="preserve"> </w:t>
      </w:r>
      <w:r>
        <w:t xml:space="preserve">peut atteindre des milliers d’annonces ; le temps de décision doit rester</w:t>
      </w:r>
      <w:r>
        <w:t xml:space="preserve"> </w:t>
      </w:r>
      <m:oMath>
        <m:r>
          <m:rPr>
            <m:sty m:val="p"/>
          </m:rPr>
          <m:t>&lt;</m:t>
        </m:r>
        <m:r>
          <m:t>50</m:t>
        </m:r>
      </m:oMath>
      <w:r>
        <w:t xml:space="preserve"> ms.</w:t>
      </w:r>
    </w:p>
    <w:bookmarkEnd w:id="52"/>
    <w:bookmarkEnd w:id="53"/>
    <w:bookmarkStart w:id="85" w:name="sec:etat_art"/>
    <w:p>
      <w:pPr>
        <w:pStyle w:val="Heading2"/>
      </w:pPr>
      <w:r>
        <w:t xml:space="preserve">2.2 État de l’Art</w:t>
      </w:r>
    </w:p>
    <w:bookmarkStart w:id="73" w:name="sec:agents"/>
    <w:p>
      <w:pPr>
        <w:pStyle w:val="Heading3"/>
      </w:pPr>
      <w:r>
        <w:t xml:space="preserve">2.2.1 Stratégies d’Estimation (Agents)</w:t>
      </w:r>
    </w:p>
    <w:p>
      <w:pPr>
        <w:pStyle w:val="FirstParagraph"/>
      </w:pPr>
      <w:r>
        <w:t xml:space="preserve">Le cœur du système réside dans sa capacité à estimer les fonctions</w:t>
      </w:r>
      <w:r>
        <w:t xml:space="preserve"> </w:t>
      </w:r>
      <m:oMath>
        <m:sSub>
          <m:e>
            <m:r>
              <m:t>f</m:t>
            </m:r>
          </m:e>
          <m:sub>
            <m:r>
              <m:rPr>
                <m:nor/>
                <m:sty m:val="p"/>
              </m:rPr>
              <m:t>click</m:t>
            </m:r>
          </m:sub>
        </m:sSub>
        <m:r>
          <m:rPr>
            <m:sty m:val="p"/>
          </m:rPr>
          <m:t>(</m:t>
        </m:r>
        <m:r>
          <m:t>a</m:t>
        </m:r>
        <m:r>
          <m:rPr>
            <m:sty m:val="p"/>
          </m:rPr>
          <m:t>∣</m:t>
        </m:r>
        <m:sSub>
          <m:e>
            <m:r>
              <m:rPr>
                <m:sty m:val="b"/>
              </m:rPr>
              <m:t>x</m:t>
            </m:r>
          </m:e>
          <m:sub>
            <m:r>
              <m:t>u</m:t>
            </m:r>
          </m:sub>
        </m:sSub>
        <m:r>
          <m:rPr>
            <m:sty m:val="p"/>
          </m:rPr>
          <m:t>)</m:t>
        </m:r>
      </m:oMath>
      <w:r>
        <w:t xml:space="preserve"> </w:t>
      </w:r>
      <w:r>
        <w:t xml:space="preserve">et</w:t>
      </w:r>
      <w:r>
        <w:t xml:space="preserve"> </w:t>
      </w:r>
      <m:oMath>
        <m:sSub>
          <m:e>
            <m:r>
              <m:t>f</m:t>
            </m:r>
          </m:e>
          <m:sub>
            <m:r>
              <m:rPr>
                <m:nor/>
                <m:sty m:val="p"/>
              </m:rPr>
              <m:t>rev</m:t>
            </m:r>
          </m:sub>
        </m:sSub>
        <m:r>
          <m:rPr>
            <m:sty m:val="p"/>
          </m:rPr>
          <m:t>(</m:t>
        </m:r>
        <m:r>
          <m:t>a</m:t>
        </m:r>
        <m:r>
          <m:rPr>
            <m:sty m:val="p"/>
          </m:rPr>
          <m:t>∣</m:t>
        </m:r>
        <m:sSub>
          <m:e>
            <m:r>
              <m:rPr>
                <m:sty m:val="b"/>
              </m:rPr>
              <m:t>x</m:t>
            </m:r>
          </m:e>
          <m:sub>
            <m:r>
              <m:t>u</m:t>
            </m:r>
          </m:sub>
        </m:sSub>
        <m:r>
          <m:rPr>
            <m:sty m:val="p"/>
          </m:rPr>
          <m:t>)</m:t>
        </m:r>
      </m:oMath>
      <w:r>
        <w:t xml:space="preserve"> </w:t>
      </w:r>
      <w:r>
        <w:t xml:space="preserve">à partir des interactions observées. Nous présentons ici les sept familles d’agents étudiées dans ce projet, regroupées en trois catégories.</w:t>
      </w:r>
    </w:p>
    <w:bookmarkStart w:id="61" w:name="agents-bandits-contextuels"/>
    <w:p>
      <w:pPr>
        <w:pStyle w:val="Heading4"/>
      </w:pPr>
      <w:r>
        <w:t xml:space="preserve">Agents Bandits Contextuels</w:t>
      </w:r>
    </w:p>
    <w:bookmarkStart w:id="54" w:name="modèles-linéaires."/>
    <w:p>
      <w:pPr>
        <w:pStyle w:val="Heading5"/>
      </w:pPr>
      <w:r>
        <w:t xml:space="preserve">Modèles Linéaires.</w:t>
      </w:r>
    </w:p>
    <w:bookmarkEnd w:id="54"/>
    <w:bookmarkStart w:id="55" w:name="linucb"/>
    <w:p>
      <w:pPr>
        <w:pStyle w:val="Heading5"/>
      </w:pPr>
      <w:r>
        <w:t xml:space="preserve">LinUCB</w:t>
      </w:r>
    </w:p>
    <w:p>
      <w:pPr>
        <w:pStyle w:val="FirstParagraph"/>
      </w:pPr>
      <w:r>
        <w:t xml:space="preserve">[</w:t>
      </w:r>
      <w:hyperlink w:anchor="ref-li2010contextual">
        <w:r>
          <w:rPr>
            <w:rStyle w:val="Hyperlink"/>
          </w:rPr>
          <w:t xml:space="preserve">Li et al. 2010</w:t>
        </w:r>
      </w:hyperlink>
      <w:r>
        <w:t xml:space="preserve">]</w:t>
      </w:r>
      <w:r>
        <w:t xml:space="preserve"> </w:t>
      </w:r>
      <w:r>
        <w:t xml:space="preserve">: LinUCB modélise la récompense de chaque bras</w:t>
      </w:r>
      <w:r>
        <w:t xml:space="preserve"> </w:t>
      </w:r>
      <m:oMath>
        <m:r>
          <m:t>k</m:t>
        </m:r>
      </m:oMath>
      <w:r>
        <w:t xml:space="preserve"> </w:t>
      </w:r>
      <w:r>
        <w:t xml:space="preserve">comme un produit scalaire linéaire</w:t>
      </w:r>
      <w:r>
        <w:t xml:space="preserve"> </w:t>
      </w:r>
      <m:oMath>
        <m:sSub>
          <m:e>
            <m:acc>
              <m:accPr>
                <m:chr m:val="̂"/>
              </m:accPr>
              <m:e>
                <m:r>
                  <m:t>r</m:t>
                </m:r>
              </m:e>
            </m:acc>
          </m:e>
          <m:sub>
            <m:r>
              <m:t>k</m:t>
            </m:r>
          </m:sub>
        </m:sSub>
        <m:r>
          <m:rPr>
            <m:sty m:val="p"/>
          </m:rPr>
          <m:t>=</m:t>
        </m:r>
        <m:sSup>
          <m:e>
            <m:r>
              <m:rPr>
                <m:sty m:val="b"/>
              </m:rPr>
              <m:t>x</m:t>
            </m:r>
          </m:e>
          <m:sup>
            <m:r>
              <m:t>T</m:t>
            </m:r>
          </m:sup>
        </m:sSup>
        <m:sSub>
          <m:e>
            <m:acc>
              <m:accPr>
                <m:chr m:val="̂"/>
              </m:accPr>
              <m:e>
                <m:r>
                  <m:rPr>
                    <m:sty m:val="b"/>
                  </m:rPr>
                  <m:t>θ</m:t>
                </m:r>
              </m:e>
            </m:acc>
          </m:e>
          <m:sub>
            <m:r>
              <m:t>k</m:t>
            </m:r>
          </m:sub>
        </m:sSub>
      </m:oMath>
      <w:r>
        <w:t xml:space="preserve">, où</w:t>
      </w:r>
      <w:r>
        <w:t xml:space="preserve"> </w:t>
      </w:r>
      <m:oMath>
        <m:sSub>
          <m:e>
            <m:acc>
              <m:accPr>
                <m:chr m:val="̂"/>
              </m:accPr>
              <m:e>
                <m:r>
                  <m:rPr>
                    <m:sty m:val="b"/>
                  </m:rPr>
                  <m:t>θ</m:t>
                </m:r>
              </m:e>
            </m:acc>
          </m:e>
          <m:sub>
            <m:r>
              <m:t>k</m:t>
            </m:r>
          </m:sub>
        </m:sSub>
      </m:oMath>
      <w:r>
        <w:t xml:space="preserve"> </w:t>
      </w:r>
      <w:r>
        <w:t xml:space="preserve">est estimé par régression Ridge. L’algorithme maintient pour chaque bras une matrice de covariance</w:t>
      </w:r>
      <w:r>
        <w:t xml:space="preserve"> </w:t>
      </w:r>
      <m:oMath>
        <m:sSub>
          <m:e>
            <m:r>
              <m:t>A</m:t>
            </m:r>
          </m:e>
          <m:sub>
            <m:r>
              <m:t>k</m:t>
            </m:r>
          </m:sub>
        </m:sSub>
        <m:r>
          <m:rPr>
            <m:sty m:val="p"/>
          </m:rPr>
          <m:t>∈</m:t>
        </m:r>
        <m:sSup>
          <m:e>
            <m:r>
              <m:rPr>
                <m:scr m:val="double-struck"/>
                <m:sty m:val="p"/>
              </m:rPr>
              <m:t>R</m:t>
            </m:r>
          </m:e>
          <m:sup>
            <m:r>
              <m:t>d</m:t>
            </m:r>
            <m:r>
              <m:rPr>
                <m:sty m:val="p"/>
              </m:rPr>
              <m:t>×</m:t>
            </m:r>
            <m:r>
              <m:t>d</m:t>
            </m:r>
          </m:sup>
        </m:sSup>
      </m:oMath>
      <w:r>
        <w:t xml:space="preserve"> </w:t>
      </w:r>
      <w:r>
        <w:t xml:space="preserve">et un vecteur</w:t>
      </w:r>
      <w:r>
        <w:t xml:space="preserve"> </w:t>
      </w:r>
      <m:oMath>
        <m:sSub>
          <m:e>
            <m:r>
              <m:rPr>
                <m:sty m:val="b"/>
              </m:rPr>
              <m:t>b</m:t>
            </m:r>
          </m:e>
          <m:sub>
            <m:r>
              <m:t>k</m:t>
            </m:r>
          </m:sub>
        </m:sSub>
        <m:r>
          <m:rPr>
            <m:sty m:val="p"/>
          </m:rPr>
          <m:t>∈</m:t>
        </m:r>
        <m:sSup>
          <m:e>
            <m:r>
              <m:rPr>
                <m:scr m:val="double-struck"/>
                <m:sty m:val="p"/>
              </m:rPr>
              <m:t>R</m:t>
            </m:r>
          </m:e>
          <m:sup>
            <m:r>
              <m:t>d</m:t>
            </m:r>
          </m:sup>
        </m:sSup>
      </m:oMath>
      <w:r>
        <w:t xml:space="preserve"> </w:t>
      </w:r>
      <w:r>
        <w:t xml:space="preserve">:</w:t>
      </w:r>
    </w:p>
    <w:p>
      <w:pPr>
        <w:pStyle w:val="BodyText"/>
      </w:pPr>
      <m:oMathPara>
        <m:oMathParaPr>
          <m:jc m:val="center"/>
        </m:oMathParaPr>
        <m:oMath>
          <m:sSub>
            <m:e>
              <m:acc>
                <m:accPr>
                  <m:chr m:val="̂"/>
                </m:accPr>
                <m:e>
                  <m:r>
                    <m:rPr>
                      <m:sty m:val="b"/>
                    </m:rPr>
                    <m:t>θ</m:t>
                  </m:r>
                </m:e>
              </m:acc>
            </m:e>
            <m:sub>
              <m:r>
                <m:t>k</m:t>
              </m:r>
            </m:sub>
          </m:sSub>
          <m:r>
            <m:rPr>
              <m:sty m:val="p"/>
            </m:rPr>
            <m:t>=</m:t>
          </m:r>
          <m:sSubSup>
            <m:e>
              <m:r>
                <m:t>A</m:t>
              </m:r>
            </m:e>
            <m:sub>
              <m:r>
                <m:t>k</m:t>
              </m:r>
            </m:sub>
            <m:sup>
              <m:r>
                <m:rPr>
                  <m:sty m:val="p"/>
                </m:rPr>
                <m:t>−</m:t>
              </m:r>
              <m:r>
                <m:t>1</m:t>
              </m:r>
            </m:sup>
          </m:sSubSup>
          <m:sSub>
            <m:e>
              <m:r>
                <m:rPr>
                  <m:sty m:val="b"/>
                </m:rPr>
                <m:t>b</m:t>
              </m:r>
            </m:e>
            <m:sub>
              <m:r>
                <m:t>k</m:t>
              </m:r>
            </m:sub>
          </m:sSub>
          <m:r>
            <m:t>  </m:t>
          </m:r>
          <m:r>
            <m:t>  </m:t>
          </m:r>
          <m:r>
            <m:t>  </m:t>
          </m:r>
          <m:r>
            <m:rPr>
              <m:nor/>
              <m:sty m:val="p"/>
            </m:rPr>
            <m:t>(2.4)</m:t>
          </m:r>
        </m:oMath>
      </m:oMathPara>
    </w:p>
    <w:p>
      <w:pPr>
        <w:pStyle w:val="FirstParagraph"/>
      </w:pPr>
      <w:r>
        <w:t xml:space="preserve">La règle de décision combine exploitation et exploration via une borne de confiance supérieure (UCB) :</w:t>
      </w:r>
    </w:p>
    <w:p>
      <w:pPr>
        <w:pStyle w:val="BodyText"/>
      </w:pPr>
      <m:oMathPara>
        <m:oMathParaPr>
          <m:jc m:val="center"/>
        </m:oMathParaPr>
        <m:oMath>
          <m:sSub>
            <m:e>
              <m:r>
                <m:rPr>
                  <m:nor/>
                  <m:sty m:val="p"/>
                </m:rPr>
                <m:t>UCB</m:t>
              </m:r>
            </m:e>
            <m:sub>
              <m:r>
                <m:t>k</m:t>
              </m:r>
            </m:sub>
          </m:sSub>
          <m:r>
            <m:rPr>
              <m:sty m:val="p"/>
            </m:rPr>
            <m:t>=</m:t>
          </m:r>
          <m:limLow>
            <m:e>
              <m:limLow>
                <m:e>
                  <m:sSup>
                    <m:e>
                      <m:r>
                        <m:rPr>
                          <m:sty m:val="b"/>
                        </m:rPr>
                        <m:t>x</m:t>
                      </m:r>
                    </m:e>
                    <m:sup>
                      <m:r>
                        <m:t>T</m:t>
                      </m:r>
                    </m:sup>
                  </m:sSup>
                  <m:sSub>
                    <m:e>
                      <m:acc>
                        <m:accPr>
                          <m:chr m:val="̂"/>
                        </m:accPr>
                        <m:e>
                          <m:r>
                            <m:rPr>
                              <m:sty m:val="b"/>
                            </m:rPr>
                            <m:t>θ</m:t>
                          </m:r>
                        </m:e>
                      </m:acc>
                    </m:e>
                    <m:sub>
                      <m:r>
                        <m:t>k</m:t>
                      </m:r>
                    </m:sub>
                  </m:sSub>
                </m:e>
                <m:lim>
                  <m:r>
                    <m:rPr>
                      <m:sty m:val="p"/>
                    </m:rPr>
                    <m:t>⏟</m:t>
                  </m:r>
                </m:lim>
              </m:limLow>
            </m:e>
            <m:lim>
              <m:r>
                <m:rPr>
                  <m:nor/>
                  <m:sty m:val="p"/>
                </m:rPr>
                <m:t>exploitation</m:t>
              </m:r>
            </m:lim>
          </m:limLow>
          <m:r>
            <m:rPr>
              <m:sty m:val="p"/>
            </m:rPr>
            <m:t>+</m:t>
          </m:r>
          <m:limLow>
            <m:e>
              <m:limLow>
                <m:e>
                  <m:r>
                    <m:t>α</m:t>
                  </m:r>
                  <m:rad>
                    <m:radPr>
                      <m:degHide m:val="on"/>
                    </m:radPr>
                    <m:deg/>
                    <m:e>
                      <m:sSup>
                        <m:e>
                          <m:r>
                            <m:rPr>
                              <m:sty m:val="b"/>
                            </m:rPr>
                            <m:t>x</m:t>
                          </m:r>
                        </m:e>
                        <m:sup>
                          <m:r>
                            <m:t>T</m:t>
                          </m:r>
                        </m:sup>
                      </m:sSup>
                      <m:sSubSup>
                        <m:e>
                          <m:r>
                            <m:t>A</m:t>
                          </m:r>
                        </m:e>
                        <m:sub>
                          <m:r>
                            <m:t>k</m:t>
                          </m:r>
                        </m:sub>
                        <m:sup>
                          <m:r>
                            <m:rPr>
                              <m:sty m:val="p"/>
                            </m:rPr>
                            <m:t>−</m:t>
                          </m:r>
                          <m:r>
                            <m:t>1</m:t>
                          </m:r>
                        </m:sup>
                      </m:sSubSup>
                      <m:r>
                        <m:rPr>
                          <m:sty m:val="b"/>
                        </m:rPr>
                        <m:t>x</m:t>
                      </m:r>
                    </m:e>
                  </m:rad>
                </m:e>
                <m:lim>
                  <m:r>
                    <m:rPr>
                      <m:sty m:val="p"/>
                    </m:rPr>
                    <m:t>⏟</m:t>
                  </m:r>
                </m:lim>
              </m:limLow>
            </m:e>
            <m:lim>
              <m:r>
                <m:rPr>
                  <m:nor/>
                  <m:sty m:val="p"/>
                </m:rPr>
                <m:t>exploration</m:t>
              </m:r>
            </m:lim>
          </m:limLow>
          <m:r>
            <m:t>  </m:t>
          </m:r>
          <m:r>
            <m:t>  </m:t>
          </m:r>
          <m:r>
            <m:t>  </m:t>
          </m:r>
          <m:r>
            <m:rPr>
              <m:nor/>
              <m:sty m:val="p"/>
            </m:rPr>
            <m:t>(2.5)</m:t>
          </m:r>
        </m:oMath>
      </m:oMathPara>
    </w:p>
    <w:p>
      <w:pPr>
        <w:pStyle w:val="FirstParagraph"/>
      </w:pPr>
      <w:r>
        <w:t xml:space="preserve">La mise à jour de</w:t>
      </w:r>
      <w:r>
        <w:t xml:space="preserve"> </w:t>
      </w:r>
      <m:oMath>
        <m:sSubSup>
          <m:e>
            <m:r>
              <m:t>A</m:t>
            </m:r>
          </m:e>
          <m:sub>
            <m:r>
              <m:t>k</m:t>
            </m:r>
          </m:sub>
          <m:sup>
            <m:r>
              <m:rPr>
                <m:sty m:val="p"/>
              </m:rPr>
              <m:t>−</m:t>
            </m:r>
            <m:r>
              <m:t>1</m:t>
            </m:r>
          </m:sup>
        </m:sSubSup>
      </m:oMath>
      <w:r>
        <w:t xml:space="preserve"> </w:t>
      </w:r>
      <w:r>
        <w:t xml:space="preserve">se fait par la formule de</w:t>
      </w:r>
      <w:r>
        <w:t xml:space="preserve"> </w:t>
      </w:r>
      <w:r>
        <w:rPr>
          <w:b/>
          <w:bCs/>
        </w:rPr>
        <w:t xml:space="preserve">Sherman-Morrison</w:t>
      </w:r>
      <w:r>
        <w:t xml:space="preserve"> </w:t>
      </w:r>
      <w:r>
        <w:t xml:space="preserve">en</w:t>
      </w:r>
      <w:r>
        <w:t xml:space="preserve"> </w:t>
      </w:r>
      <m:oMath>
        <m:r>
          <m:t>O</m:t>
        </m:r>
        <m:r>
          <m:rPr>
            <m:sty m:val="p"/>
          </m:rPr>
          <m:t>(</m:t>
        </m:r>
        <m:sSup>
          <m:e>
            <m:r>
              <m:t>d</m:t>
            </m:r>
          </m:e>
          <m:sup>
            <m:r>
              <m:t>2</m:t>
            </m:r>
          </m:sup>
        </m:sSup>
        <m:r>
          <m:rPr>
            <m:sty m:val="p"/>
          </m:rPr>
          <m:t>)</m:t>
        </m:r>
      </m:oMath>
      <w:r>
        <w:t xml:space="preserve"> </w:t>
      </w:r>
      <w:r>
        <w:t xml:space="preserve">au lieu de l’inversion matricielle directe en</w:t>
      </w:r>
      <w:r>
        <w:t xml:space="preserve"> </w:t>
      </w:r>
      <m:oMath>
        <m:r>
          <m:t>O</m:t>
        </m:r>
        <m:r>
          <m:rPr>
            <m:sty m:val="p"/>
          </m:rPr>
          <m:t>(</m:t>
        </m:r>
        <m:sSup>
          <m:e>
            <m:r>
              <m:t>d</m:t>
            </m:r>
          </m:e>
          <m:sup>
            <m:r>
              <m:t>3</m:t>
            </m:r>
          </m:sup>
        </m:sSup>
        <m:r>
          <m:rPr>
            <m:sty m:val="p"/>
          </m:rPr>
          <m:t>)</m:t>
        </m:r>
      </m:oMath>
      <w:r>
        <w:t xml:space="preserve">, ce qui est crucial pour respecter la contrainte de latence.</w:t>
      </w:r>
    </w:p>
    <w:bookmarkEnd w:id="55"/>
    <w:bookmarkStart w:id="56" w:name="thompson-sampling"/>
    <w:p>
      <w:pPr>
        <w:pStyle w:val="Heading5"/>
      </w:pPr>
      <w:r>
        <w:t xml:space="preserve">Thompson Sampling</w:t>
      </w:r>
    </w:p>
    <w:p>
      <w:pPr>
        <w:pStyle w:val="FirstParagraph"/>
      </w:pPr>
      <w:r>
        <w:t xml:space="preserve">[</w:t>
      </w:r>
      <w:hyperlink w:anchor="ref-agrawal2013thompson">
        <w:r>
          <w:rPr>
            <w:rStyle w:val="Hyperlink"/>
          </w:rPr>
          <w:t xml:space="preserve">Agrawal and Goyal 2013</w:t>
        </w:r>
      </w:hyperlink>
      <w:r>
        <w:t xml:space="preserve">]</w:t>
      </w:r>
      <w:r>
        <w:t xml:space="preserve"> </w:t>
      </w:r>
      <w:r>
        <w:t xml:space="preserve">: cette approche bayésienne échantillonne à chaque étape un vecteur de paramètres</w:t>
      </w:r>
      <w:r>
        <w:t xml:space="preserve"> </w:t>
      </w:r>
      <m:oMath>
        <m:sSub>
          <m:e>
            <m:acc>
              <m:accPr>
                <m:chr m:val="̃"/>
              </m:accPr>
              <m:e>
                <m:r>
                  <m:rPr>
                    <m:sty m:val="b"/>
                  </m:rPr>
                  <m:t>θ</m:t>
                </m:r>
              </m:e>
            </m:acc>
          </m:e>
          <m:sub>
            <m:r>
              <m:t>k</m:t>
            </m:r>
          </m:sub>
        </m:sSub>
      </m:oMath>
      <w:r>
        <w:t xml:space="preserve"> </w:t>
      </w:r>
      <w:r>
        <w:t xml:space="preserve">depuis la distribution a posteriori :</w:t>
      </w:r>
    </w:p>
    <w:p>
      <w:pPr>
        <w:pStyle w:val="BodyText"/>
      </w:pPr>
      <m:oMathPara>
        <m:oMathParaPr>
          <m:jc m:val="center"/>
        </m:oMathParaPr>
        <m:oMath>
          <m:sSub>
            <m:e>
              <m:acc>
                <m:accPr>
                  <m:chr m:val="̃"/>
                </m:accPr>
                <m:e>
                  <m:r>
                    <m:rPr>
                      <m:sty m:val="b"/>
                    </m:rPr>
                    <m:t>θ</m:t>
                  </m:r>
                </m:e>
              </m:acc>
            </m:e>
            <m:sub>
              <m:r>
                <m:t>k</m:t>
              </m:r>
            </m:sub>
          </m:sSub>
          <m:r>
            <m:rPr>
              <m:sty m:val="p"/>
            </m:rPr>
            <m:t>∼</m:t>
          </m:r>
          <m:r>
            <m:rPr>
              <m:scr m:val="script"/>
              <m:sty m:val="p"/>
            </m:rPr>
            <m:t>N</m:t>
          </m:r>
          <m:r>
            <m:t>​</m:t>
          </m:r>
          <m:d>
            <m:dPr>
              <m:begChr m:val="("/>
              <m:sepChr m:val=""/>
              <m:endChr m:val=")"/>
              <m:grow/>
            </m:dPr>
            <m:e>
              <m:sSub>
                <m:e>
                  <m:acc>
                    <m:accPr>
                      <m:chr m:val="̂"/>
                    </m:accPr>
                    <m:e>
                      <m:r>
                        <m:rPr>
                          <m:sty m:val="b"/>
                        </m:rPr>
                        <m:t>θ</m:t>
                      </m:r>
                    </m:e>
                  </m:acc>
                </m:e>
                <m:sub>
                  <m:r>
                    <m:t>k</m:t>
                  </m:r>
                </m:sub>
              </m:sSub>
              <m:r>
                <m:rPr>
                  <m:sty m:val="p"/>
                </m:rPr>
                <m:t>,</m:t>
              </m:r>
              <m:r>
                <m:t> </m:t>
              </m:r>
              <m:sSup>
                <m:e>
                  <m:r>
                    <m:t>v</m:t>
                  </m:r>
                </m:e>
                <m:sup>
                  <m:r>
                    <m:t>2</m:t>
                  </m:r>
                </m:sup>
              </m:sSup>
              <m:sSubSup>
                <m:e>
                  <m:r>
                    <m:t>A</m:t>
                  </m:r>
                </m:e>
                <m:sub>
                  <m:r>
                    <m:t>k</m:t>
                  </m:r>
                </m:sub>
                <m:sup>
                  <m:r>
                    <m:rPr>
                      <m:sty m:val="p"/>
                    </m:rPr>
                    <m:t>−</m:t>
                  </m:r>
                  <m:r>
                    <m:t>1</m:t>
                  </m:r>
                </m:sup>
              </m:sSubSup>
            </m:e>
          </m:d>
          <m:r>
            <m:t>  </m:t>
          </m:r>
          <m:r>
            <m:t>  </m:t>
          </m:r>
          <m:r>
            <m:t>  </m:t>
          </m:r>
          <m:r>
            <m:rPr>
              <m:nor/>
              <m:sty m:val="p"/>
            </m:rPr>
            <m:t>(2.6)</m:t>
          </m:r>
        </m:oMath>
      </m:oMathPara>
    </w:p>
    <w:p>
      <w:pPr>
        <w:pStyle w:val="FirstParagraph"/>
      </w:pPr>
      <w:r>
        <w:t xml:space="preserve">Le bras sélectionné est celui qui maximise</w:t>
      </w:r>
      <w:r>
        <w:t xml:space="preserve"> </w:t>
      </w:r>
      <m:oMath>
        <m:sSup>
          <m:e>
            <m:r>
              <m:rPr>
                <m:sty m:val="b"/>
              </m:rPr>
              <m:t>x</m:t>
            </m:r>
          </m:e>
          <m:sup>
            <m:r>
              <m:t>T</m:t>
            </m:r>
          </m:sup>
        </m:sSup>
        <m:sSub>
          <m:e>
            <m:acc>
              <m:accPr>
                <m:chr m:val="̃"/>
              </m:accPr>
              <m:e>
                <m:r>
                  <m:rPr>
                    <m:sty m:val="b"/>
                  </m:rPr>
                  <m:t>θ</m:t>
                </m:r>
              </m:e>
            </m:acc>
          </m:e>
          <m:sub>
            <m:r>
              <m:t>k</m:t>
            </m:r>
          </m:sub>
        </m:sSub>
      </m:oMath>
      <w:r>
        <w:t xml:space="preserve">. L’exploration est</w:t>
      </w:r>
      <w:r>
        <w:t xml:space="preserve"> </w:t>
      </w:r>
      <w:r>
        <w:rPr>
          <w:i/>
          <w:iCs/>
        </w:rPr>
        <w:t xml:space="preserve">stochastique</w:t>
      </w:r>
      <w:r>
        <w:t xml:space="preserve"> </w:t>
      </w:r>
      <w:r>
        <w:t xml:space="preserve">(par nature de l’échantillonnage), contrairement à l’exploration</w:t>
      </w:r>
      <w:r>
        <w:t xml:space="preserve"> </w:t>
      </w:r>
      <w:r>
        <w:rPr>
          <w:i/>
          <w:iCs/>
        </w:rPr>
        <w:t xml:space="preserve">déterministe</w:t>
      </w:r>
      <w:r>
        <w:t xml:space="preserve"> </w:t>
      </w:r>
      <w:r>
        <w:t xml:space="preserve">de LinUCB.</w:t>
      </w:r>
    </w:p>
    <w:bookmarkEnd w:id="56"/>
    <w:bookmarkStart w:id="57" w:name="modèles-à-réseaux-de-neurones."/>
    <w:p>
      <w:pPr>
        <w:pStyle w:val="Heading5"/>
      </w:pPr>
      <w:r>
        <w:t xml:space="preserve">Modèles à Réseaux de Neurones.</w:t>
      </w:r>
    </w:p>
    <w:bookmarkEnd w:id="57"/>
    <w:bookmarkStart w:id="58" w:name="neuralucb"/>
    <w:p>
      <w:pPr>
        <w:pStyle w:val="Heading5"/>
      </w:pPr>
      <w:r>
        <w:t xml:space="preserve">NeuralUCB</w:t>
      </w:r>
    </w:p>
    <w:p>
      <w:pPr>
        <w:pStyle w:val="FirstParagraph"/>
      </w:pPr>
      <w:r>
        <w:t xml:space="preserve">[</w:t>
      </w:r>
      <w:hyperlink w:anchor="ref-zhou2020neural">
        <w:r>
          <w:rPr>
            <w:rStyle w:val="Hyperlink"/>
          </w:rPr>
          <w:t xml:space="preserve">Zhou et al. 2020</w:t>
        </w:r>
      </w:hyperlink>
      <w:r>
        <w:t xml:space="preserve">]</w:t>
      </w:r>
      <w:r>
        <w:t xml:space="preserve"> </w:t>
      </w:r>
      <w:r>
        <w:t xml:space="preserve">: NeuralUCB remplace le modèle linéaire par un réseau de neurones</w:t>
      </w:r>
      <w:r>
        <w:t xml:space="preserve"> </w:t>
      </w:r>
      <m:oMath>
        <m:sSub>
          <m:e>
            <m:r>
              <m:t>f</m:t>
            </m:r>
          </m:e>
          <m:sub>
            <m:r>
              <m:rPr>
                <m:sty m:val="b"/>
              </m:rPr>
              <m:t>θ</m:t>
            </m:r>
          </m:sub>
        </m:sSub>
      </m:oMath>
      <w:r>
        <w:t xml:space="preserve"> </w:t>
      </w:r>
      <w:r>
        <w:t xml:space="preserve">pour capturer les non-linéarités dans la relation contexte-récompense :</w:t>
      </w:r>
    </w:p>
    <w:p>
      <w:pPr>
        <w:pStyle w:val="BodyText"/>
      </w:pPr>
      <m:oMathPara>
        <m:oMathParaPr>
          <m:jc m:val="center"/>
        </m:oMathParaPr>
        <m:oMath>
          <m:sSub>
            <m:e>
              <m:r>
                <m:rPr>
                  <m:nor/>
                  <m:sty m:val="p"/>
                </m:rPr>
                <m:t>UCB</m:t>
              </m:r>
            </m:e>
            <m:sub>
              <m:r>
                <m:t>k</m:t>
              </m:r>
            </m:sub>
          </m:sSub>
          <m:r>
            <m:rPr>
              <m:sty m:val="p"/>
            </m:rPr>
            <m:t>=</m:t>
          </m:r>
          <m:sSub>
            <m:e>
              <m:r>
                <m:t>f</m:t>
              </m:r>
            </m:e>
            <m:sub>
              <m:r>
                <m:rPr>
                  <m:sty m:val="b"/>
                </m:rPr>
                <m:t>θ</m:t>
              </m:r>
            </m:sub>
          </m:sSub>
          <m:r>
            <m:rPr>
              <m:sty m:val="p"/>
            </m:rPr>
            <m:t>(</m:t>
          </m:r>
          <m:sSub>
            <m:e>
              <m:r>
                <m:rPr>
                  <m:sty m:val="b"/>
                </m:rPr>
                <m:t>x</m:t>
              </m:r>
            </m:e>
            <m:sub>
              <m:r>
                <m:t>k</m:t>
              </m:r>
            </m:sub>
          </m:sSub>
          <m:r>
            <m:rPr>
              <m:sty m:val="p"/>
            </m:rPr>
            <m:t>)</m:t>
          </m:r>
          <m:r>
            <m:rPr>
              <m:sty m:val="p"/>
            </m:rPr>
            <m:t>+</m:t>
          </m:r>
          <m:r>
            <m:t>α</m:t>
          </m:r>
          <m:rad>
            <m:radPr>
              <m:degHide m:val="on"/>
            </m:radPr>
            <m:deg/>
            <m:e>
              <m:r>
                <m:rPr>
                  <m:sty m:val="b"/>
                </m:rPr>
                <m:t>g</m:t>
              </m:r>
              <m:r>
                <m:rPr>
                  <m:sty m:val="p"/>
                </m:rPr>
                <m:t>(</m:t>
              </m:r>
              <m:sSub>
                <m:e>
                  <m:r>
                    <m:rPr>
                      <m:sty m:val="b"/>
                    </m:rPr>
                    <m:t>x</m:t>
                  </m:r>
                </m:e>
                <m:sub>
                  <m:r>
                    <m:t>k</m:t>
                  </m:r>
                </m:sub>
              </m:sSub>
              <m:sSup>
                <m:e>
                  <m:r>
                    <m:rPr>
                      <m:sty m:val="p"/>
                    </m:rPr>
                    <m:t>)</m:t>
                  </m:r>
                </m:e>
                <m:sup>
                  <m:r>
                    <m:t>T</m:t>
                  </m:r>
                </m:sup>
              </m:sSup>
              <m:sSup>
                <m:e>
                  <m:r>
                    <m:t>Z</m:t>
                  </m:r>
                </m:e>
                <m:sup>
                  <m:r>
                    <m:rPr>
                      <m:sty m:val="p"/>
                    </m:rPr>
                    <m:t>−</m:t>
                  </m:r>
                  <m:r>
                    <m:t>1</m:t>
                  </m:r>
                </m:sup>
              </m:sSup>
              <m:r>
                <m:rPr>
                  <m:sty m:val="b"/>
                </m:rPr>
                <m:t>g</m:t>
              </m:r>
              <m:r>
                <m:rPr>
                  <m:sty m:val="p"/>
                </m:rPr>
                <m:t>(</m:t>
              </m:r>
              <m:sSub>
                <m:e>
                  <m:r>
                    <m:rPr>
                      <m:sty m:val="b"/>
                    </m:rPr>
                    <m:t>x</m:t>
                  </m:r>
                </m:e>
                <m:sub>
                  <m:r>
                    <m:t>k</m:t>
                  </m:r>
                </m:sub>
              </m:sSub>
              <m:r>
                <m:rPr>
                  <m:sty m:val="p"/>
                </m:rPr>
                <m:t>)</m:t>
              </m:r>
            </m:e>
          </m:rad>
          <m:r>
            <m:t>  </m:t>
          </m:r>
          <m:r>
            <m:t>  </m:t>
          </m:r>
          <m:r>
            <m:t>  </m:t>
          </m:r>
          <m:r>
            <m:rPr>
              <m:nor/>
              <m:sty m:val="p"/>
            </m:rPr>
            <m:t>(2.7)</m:t>
          </m:r>
        </m:oMath>
      </m:oMathPara>
    </w:p>
    <w:p>
      <w:pPr>
        <w:pStyle w:val="FirstParagraph"/>
      </w:pPr>
      <w:r>
        <w:t xml:space="preserve">où</w:t>
      </w:r>
      <w:r>
        <w:t xml:space="preserve"> </w:t>
      </w:r>
      <m:oMath>
        <m:r>
          <m:rPr>
            <m:sty m:val="b"/>
          </m:rPr>
          <m:t>g</m:t>
        </m:r>
        <m:r>
          <m:rPr>
            <m:sty m:val="p"/>
          </m:rPr>
          <m:t>(</m:t>
        </m:r>
        <m:sSub>
          <m:e>
            <m:r>
              <m:rPr>
                <m:sty m:val="b"/>
              </m:rPr>
              <m:t>x</m:t>
            </m:r>
          </m:e>
          <m:sub>
            <m:r>
              <m:t>k</m:t>
            </m:r>
          </m:sub>
        </m:sSub>
        <m:r>
          <m:rPr>
            <m:sty m:val="p"/>
          </m:rPr>
          <m:t>)</m:t>
        </m:r>
        <m:r>
          <m:rPr>
            <m:sty m:val="p"/>
          </m:rPr>
          <m:t>=</m:t>
        </m:r>
        <m:sSub>
          <m:e>
            <m:r>
              <m:rPr>
                <m:sty m:val="p"/>
              </m:rPr>
              <m:t>∇</m:t>
            </m:r>
          </m:e>
          <m:sub>
            <m:r>
              <m:rPr>
                <m:sty m:val="b"/>
              </m:rPr>
              <m:t>θ</m:t>
            </m:r>
          </m:sub>
        </m:sSub>
        <m:sSub>
          <m:e>
            <m:r>
              <m:t>f</m:t>
            </m:r>
          </m:e>
          <m:sub>
            <m:r>
              <m:rPr>
                <m:sty m:val="b"/>
              </m:rPr>
              <m:t>θ</m:t>
            </m:r>
          </m:sub>
        </m:sSub>
        <m:r>
          <m:rPr>
            <m:sty m:val="p"/>
          </m:rPr>
          <m:t>(</m:t>
        </m:r>
        <m:sSub>
          <m:e>
            <m:r>
              <m:rPr>
                <m:sty m:val="b"/>
              </m:rPr>
              <m:t>x</m:t>
            </m:r>
          </m:e>
          <m:sub>
            <m:r>
              <m:t>k</m:t>
            </m:r>
          </m:sub>
        </m:sSub>
        <m:r>
          <m:rPr>
            <m:sty m:val="p"/>
          </m:rPr>
          <m:t>)</m:t>
        </m:r>
      </m:oMath>
      <w:r>
        <w:t xml:space="preserve"> </w:t>
      </w:r>
      <w:r>
        <w:t xml:space="preserve">est le gradient du réseau par rapport à ses paramètres, et</w:t>
      </w:r>
      <w:r>
        <w:t xml:space="preserve"> </w:t>
      </w:r>
      <m:oMath>
        <m:r>
          <m:t>Z</m:t>
        </m:r>
      </m:oMath>
      <w:r>
        <w:t xml:space="preserve"> </w:t>
      </w:r>
      <w:r>
        <w:t xml:space="preserve">est la matrice de covariance dans l’espace des gradients. Cette approche bénéficie de l’expressivité des réseaux de neurones tout en conservant le principe UCB pour l’exploration.</w:t>
      </w:r>
    </w:p>
    <w:bookmarkEnd w:id="58"/>
    <w:bookmarkStart w:id="59" w:name="neuralts"/>
    <w:p>
      <w:pPr>
        <w:pStyle w:val="Heading5"/>
      </w:pPr>
      <w:r>
        <w:t xml:space="preserve">NeuralTS</w:t>
      </w:r>
    </w:p>
    <w:p>
      <w:pPr>
        <w:pStyle w:val="FirstParagraph"/>
      </w:pPr>
      <w:r>
        <w:t xml:space="preserve">[</w:t>
      </w:r>
      <w:hyperlink w:anchor="ref-zhang2021neural">
        <w:r>
          <w:rPr>
            <w:rStyle w:val="Hyperlink"/>
          </w:rPr>
          <w:t xml:space="preserve">W. Zhang et al. 2021</w:t>
        </w:r>
      </w:hyperlink>
      <w:r>
        <w:t xml:space="preserve">]</w:t>
      </w:r>
      <w:r>
        <w:t xml:space="preserve"> </w:t>
      </w:r>
      <w:r>
        <w:t xml:space="preserve">: version Thompson Sampling de NeuralUCB. L’échantillonnage s’effectue dans l’espace des gradients du réseau, combinant l’expressivité non-linéaire avec l’exploration stochastique bayésienne.</w:t>
      </w:r>
    </w:p>
    <w:bookmarkEnd w:id="59"/>
    <w:bookmarkStart w:id="60" w:name="deepbandit"/>
    <w:p>
      <w:pPr>
        <w:pStyle w:val="Heading5"/>
      </w:pPr>
      <w:r>
        <w:t xml:space="preserve">DeepBandit</w:t>
      </w:r>
    </w:p>
    <w:p>
      <w:pPr>
        <w:pStyle w:val="FirstParagraph"/>
      </w:pPr>
      <w:r>
        <w:t xml:space="preserve">[</w:t>
      </w:r>
      <w:hyperlink w:anchor="ref-riquelme2018deep">
        <w:r>
          <w:rPr>
            <w:rStyle w:val="Hyperlink"/>
          </w:rPr>
          <w:t xml:space="preserve">Riquelme et al. 2018</w:t>
        </w:r>
      </w:hyperlink>
      <w:r>
        <w:t xml:space="preserve">]</w:t>
      </w:r>
      <w:r>
        <w:t xml:space="preserve"> </w:t>
      </w:r>
      <w:r>
        <w:t xml:space="preserve">: un réseau de neurones bayésien complet avec exploration</w:t>
      </w:r>
      <w:r>
        <w:t xml:space="preserve"> </w:t>
      </w:r>
      <m:oMath>
        <m:r>
          <m:t>ε</m:t>
        </m:r>
      </m:oMath>
      <w:r>
        <w:t xml:space="preserve">-greedy. L’incertitude est mesurée par dropout ou par ensemble de réseaux, offrant une alternative plus stable que l’approche par gradients.</w:t>
      </w:r>
    </w:p>
    <w:bookmarkEnd w:id="60"/>
    <w:bookmarkEnd w:id="61"/>
    <w:bookmarkStart w:id="65" w:name="architectures-de-déploiement-surcouches"/>
    <w:p>
      <w:pPr>
        <w:pStyle w:val="Heading4"/>
      </w:pPr>
      <w:r>
        <w:t xml:space="preserve">Architectures de Déploiement (surcouches)</w:t>
      </w:r>
    </w:p>
    <w:p>
      <w:pPr>
        <w:pStyle w:val="FirstParagraph"/>
      </w:pPr>
      <w:r>
        <w:t xml:space="preserve">Les deux architectures suivantes ne sont pas des agents bandit indépendants, mais des</w:t>
      </w:r>
      <w:r>
        <w:t xml:space="preserve"> </w:t>
      </w:r>
      <w:r>
        <w:rPr>
          <w:b/>
          <w:bCs/>
        </w:rPr>
        <w:t xml:space="preserve">surcouches de déploiement</w:t>
      </w:r>
      <w:r>
        <w:t xml:space="preserve"> </w:t>
      </w:r>
      <w:r>
        <w:t xml:space="preserve">conçues pour fonctionner</w:t>
      </w:r>
      <w:r>
        <w:t xml:space="preserve"> </w:t>
      </w:r>
      <w:r>
        <w:rPr>
          <w:i/>
          <w:iCs/>
        </w:rPr>
        <w:t xml:space="preserve">au-dessus</w:t>
      </w:r>
      <w:r>
        <w:t xml:space="preserve"> </w:t>
      </w:r>
      <w:r>
        <w:t xml:space="preserve">d’un agent UCB existant (LinUCB dans notre implémentation). Elles répondent à des contraintes propres au déploiement temps réel et ont été incluses dans le benchmark pour quantifier leur impact sur les performances.</w:t>
      </w:r>
    </w:p>
    <w:bookmarkStart w:id="62" w:name="offline-to-online"/>
    <w:p>
      <w:pPr>
        <w:pStyle w:val="Heading5"/>
      </w:pPr>
      <w:r>
        <w:t xml:space="preserve">Offline-to-Online</w:t>
      </w:r>
    </w:p>
    <w:p>
      <w:pPr>
        <w:pStyle w:val="FirstParagraph"/>
      </w:pPr>
      <w:r>
        <w:t xml:space="preserve">[</w:t>
      </w:r>
      <w:hyperlink w:anchor="ref-agarwal2014taming">
        <w:r>
          <w:rPr>
            <w:rStyle w:val="Hyperlink"/>
          </w:rPr>
          <w:t xml:space="preserve">Agarwal et al. 2014</w:t>
        </w:r>
      </w:hyperlink>
      <w:r>
        <w:t xml:space="preserve">]</w:t>
      </w:r>
      <w:r>
        <w:t xml:space="preserve"> </w:t>
      </w:r>
      <w:r>
        <w:t xml:space="preserve">: cette architecture implémente une stratégie de mise en production progressive. Dans une première phase (</w:t>
      </w:r>
      <w:r>
        <w:rPr>
          <w:i/>
          <w:iCs/>
        </w:rPr>
        <w:t xml:space="preserve">burn-in</w:t>
      </w:r>
      <w:r>
        <w:t xml:space="preserve">), le modèle est initialisé avec un</w:t>
      </w:r>
      <w:r>
        <w:t xml:space="preserve"> </w:t>
      </w:r>
      <w:r>
        <w:rPr>
          <w:b/>
          <w:bCs/>
        </w:rPr>
        <w:t xml:space="preserve">pessimisme contrôlé</w:t>
      </w:r>
      <w:r>
        <w:t xml:space="preserve"> </w:t>
      </w:r>
      <w:r>
        <w:t xml:space="preserve">(réduction du terme d’exploration UCB par un facteur de décroissance</w:t>
      </w:r>
      <w:r>
        <w:t xml:space="preserve"> </w:t>
      </w:r>
      <m:oMath>
        <m:sSub>
          <m:e>
            <m:r>
              <m:t>λ</m:t>
            </m:r>
          </m:e>
          <m:sub>
            <m:r>
              <m:rPr>
                <m:nor/>
                <m:sty m:val="p"/>
              </m:rPr>
              <m:t>decay</m:t>
            </m:r>
          </m:sub>
        </m:sSub>
        <m:r>
          <m:rPr>
            <m:sty m:val="p"/>
          </m:rPr>
          <m:t>=</m:t>
        </m:r>
        <m:r>
          <m:t>0.995</m:t>
        </m:r>
      </m:oMath>
      <w:r>
        <w:t xml:space="preserve"> </w:t>
      </w:r>
      <w:r>
        <w:t xml:space="preserve">par itération), simulant le comportement d’un système qui dispose déjà de données offline. Le pessimisme se dissipe progressivement, permettant la transition vers un régime UCB standard. Cette approche est particulièrement utile lors du démarrage à froid d’un nouveau système avec des données historiques disponibles.</w:t>
      </w:r>
    </w:p>
    <w:bookmarkEnd w:id="62"/>
    <w:bookmarkStart w:id="64" w:name="delayed-feedback"/>
    <w:p>
      <w:pPr>
        <w:pStyle w:val="Heading5"/>
      </w:pPr>
      <w:r>
        <w:t xml:space="preserve">Delayed Feedback</w:t>
      </w:r>
    </w:p>
    <w:p>
      <w:pPr>
        <w:pStyle w:val="FirstParagraph"/>
      </w:pPr>
      <w:r>
        <w:t xml:space="preserve">[</w:t>
      </w:r>
      <w:hyperlink w:anchor="ref-joulani2013online">
        <w:r>
          <w:rPr>
            <w:rStyle w:val="Hyperlink"/>
          </w:rPr>
          <w:t xml:space="preserve">Joulani et al. 2013</w:t>
        </w:r>
      </w:hyperlink>
      <w:r>
        <w:t xml:space="preserve">]</w:t>
      </w:r>
      <w:r>
        <w:t xml:space="preserve"> </w:t>
      </w:r>
      <w:r>
        <w:t xml:space="preserve">: cette architecture adresse le problème de la</w:t>
      </w:r>
      <w:r>
        <w:t xml:space="preserve"> </w:t>
      </w:r>
      <w:r>
        <w:rPr>
          <w:b/>
          <w:bCs/>
        </w:rPr>
        <w:t xml:space="preserve">latence des retours</w:t>
      </w:r>
      <w:r>
        <w:t xml:space="preserve"> </w:t>
      </w:r>
      <w:r>
        <w:t xml:space="preserve">en publicité, où le signal de récompense (clic, conversion) peut arriver avec un délai de plusieurs heures après l’impression. L’architecture maintient un buffer de feedbacks en attente (</w:t>
      </w:r>
      <w:r>
        <w:rPr>
          <w:rStyle w:val="VerbatimChar"/>
        </w:rPr>
        <w:t xml:space="preserve">pending deque</w:t>
      </w:r>
      <w:r>
        <w:t xml:space="preserve">) et applique une</w:t>
      </w:r>
      <w:r>
        <w:t xml:space="preserve"> </w:t>
      </w:r>
      <w:r>
        <w:rPr>
          <w:b/>
          <w:bCs/>
        </w:rPr>
        <w:t xml:space="preserve">correction de biais</w:t>
      </w:r>
      <w:r>
        <w:t xml:space="preserve"> </w:t>
      </w:r>
      <w:r>
        <w:t xml:space="preserve">sur les récompenses observées avant de les propager au modèle UCB sous-jacent. Le facteur de correction</w:t>
      </w:r>
      <w:r>
        <w:t xml:space="preserve"> </w:t>
      </w:r>
      <m:oMath>
        <m:r>
          <m:t>δ</m:t>
        </m:r>
        <m:r>
          <m:rPr>
            <m:sty m:val="p"/>
          </m:rPr>
          <m:t>=</m:t>
        </m:r>
        <m:r>
          <m:t>0.8</m:t>
        </m:r>
      </m:oMath>
      <w:r>
        <w:t xml:space="preserve"> </w:t>
      </w:r>
      <w:r>
        <w:t xml:space="preserve">compense l’impact statistique des feedbacks non encore reçus.</w:t>
      </w:r>
    </w:p>
    <w:bookmarkStart w:id="63" w:name="tab:agents"/>
    <w:p>
      <w:pPr>
        <w:pStyle w:val="TableCaption"/>
      </w:pPr>
      <w:r>
        <w:t xml:space="preserve">TABLEAU 2.1  AGENTS BANDIT ET ARCHITECTURES DE DéPLOIEMENT ( = DIMENSION FEATURE,  = PARAMèTRES RéSEAU)</w:t>
      </w:r>
    </w:p>
    <w:tbl>
      <w:tblPr>
        <w:tblStyle w:val="Table"/>
        <w:tblW w:type="auto" w:w="0"/>
        <w:tblLook w:firstRow="1" w:lastRow="0" w:firstColumn="0" w:lastColumn="0" w:noHBand="0" w:noVBand="0" w:val="0020"/>
        <w:tblCaption w:val="TABLEAU 2.1  AGENTS BANDIT ET ARCHITECTURES DE DéPLOIEMENT ( = DIMENSION FEATURE,  = PARAMèTRES RéSEAU)"/>
      </w:tblPr>
      <w:tblGrid>
        <w:gridCol w:w="1980"/>
        <w:gridCol w:w="1980"/>
        <w:gridCol w:w="1980"/>
        <w:gridCol w:w="1980"/>
      </w:tblGrid>
      <w:tr>
        <w:trPr>
          <w:tblHeader w:val="on"/>
        </w:trPr>
        <w:tc>
          <w:tcPr/>
          <w:p>
            <w:pPr>
              <w:pStyle w:val="Compact"/>
              <w:jc w:val="left"/>
            </w:pPr>
            <w:r>
              <w:rPr>
                <w:b/>
                <w:bCs/>
              </w:rPr>
              <w:t xml:space="preserve">Agent / Architecture</w:t>
            </w:r>
          </w:p>
        </w:tc>
        <w:tc>
          <w:tcPr/>
          <w:p>
            <w:pPr>
              <w:pStyle w:val="Compact"/>
              <w:jc w:val="left"/>
            </w:pPr>
            <w:r>
              <w:rPr>
                <w:b/>
                <w:bCs/>
              </w:rPr>
              <w:t xml:space="preserve">Type</w:t>
            </w:r>
          </w:p>
        </w:tc>
        <w:tc>
          <w:tcPr/>
          <w:p>
            <w:pPr>
              <w:pStyle w:val="Compact"/>
              <w:jc w:val="center"/>
            </w:pPr>
            <w:r>
              <w:rPr>
                <w:b/>
                <w:bCs/>
              </w:rPr>
              <w:t xml:space="preserve">Complexité Update</w:t>
            </w:r>
          </w:p>
        </w:tc>
        <w:tc>
          <w:tcPr/>
          <w:p>
            <w:pPr>
              <w:pStyle w:val="Compact"/>
              <w:jc w:val="left"/>
            </w:pPr>
            <w:r>
              <w:rPr>
                <w:b/>
                <w:bCs/>
              </w:rPr>
              <w:t xml:space="preserve">Exploration</w:t>
            </w:r>
          </w:p>
        </w:tc>
      </w:tr>
      <w:tr>
        <w:tc>
          <w:tcPr/>
          <w:p>
            <w:pPr>
              <w:pStyle w:val="Compact"/>
              <w:jc w:val="left"/>
            </w:pPr>
            <w:r>
              <w:rPr>
                <w:i/>
                <w:iCs/>
              </w:rPr>
              <w:t xml:space="preserve">Agents Bandits Contextuels</w:t>
            </w:r>
          </w:p>
        </w:tc>
        <w:tc>
          <w:tcPr/>
          <w:p>
            <w:pPr>
              <w:pStyle w:val="Compact"/>
            </w:pPr>
          </w:p>
        </w:tc>
        <w:tc>
          <w:tcPr/>
          <w:p>
            <w:pPr>
              <w:pStyle w:val="Compact"/>
            </w:pPr>
          </w:p>
        </w:tc>
        <w:tc>
          <w:tcPr/>
          <w:p>
            <w:pPr>
              <w:pStyle w:val="Compact"/>
            </w:pPr>
          </w:p>
        </w:tc>
      </w:tr>
      <w:tr>
        <w:tc>
          <w:tcPr/>
          <w:p>
            <w:pPr>
              <w:pStyle w:val="Compact"/>
              <w:jc w:val="left"/>
            </w:pPr>
            <w:r>
              <w:t xml:space="preserve">LinUCB</w:t>
            </w:r>
          </w:p>
        </w:tc>
        <w:tc>
          <w:tcPr/>
          <w:p>
            <w:pPr>
              <w:pStyle w:val="Compact"/>
              <w:jc w:val="left"/>
            </w:pPr>
            <w:r>
              <w:t xml:space="preserve">Linéaire</w:t>
            </w:r>
          </w:p>
        </w:tc>
        <w:tc>
          <w:tcPr/>
          <w:p>
            <w:pPr>
              <w:pStyle w:val="Compact"/>
              <w:jc w:val="center"/>
            </w:pPr>
            <m:oMath>
              <m:r>
                <m:t>O</m:t>
              </m:r>
              <m:r>
                <m:rPr>
                  <m:sty m:val="p"/>
                </m:rPr>
                <m:t>(</m:t>
              </m:r>
              <m:sSup>
                <m:e>
                  <m:r>
                    <m:t>d</m:t>
                  </m:r>
                </m:e>
                <m:sup>
                  <m:r>
                    <m:t>2</m:t>
                  </m:r>
                </m:sup>
              </m:sSup>
              <m:r>
                <m:rPr>
                  <m:sty m:val="p"/>
                </m:rPr>
                <m:t>)</m:t>
              </m:r>
            </m:oMath>
          </w:p>
        </w:tc>
        <w:tc>
          <w:tcPr/>
          <w:p>
            <w:pPr>
              <w:pStyle w:val="Compact"/>
              <w:jc w:val="left"/>
            </w:pPr>
            <w:r>
              <w:t xml:space="preserve">Déterministe (UCB)</w:t>
            </w:r>
          </w:p>
        </w:tc>
      </w:tr>
      <w:tr>
        <w:tc>
          <w:tcPr/>
          <w:p>
            <w:pPr>
              <w:pStyle w:val="Compact"/>
              <w:jc w:val="left"/>
            </w:pPr>
            <w:r>
              <w:t xml:space="preserve">Thompson</w:t>
            </w:r>
          </w:p>
        </w:tc>
        <w:tc>
          <w:tcPr/>
          <w:p>
            <w:pPr>
              <w:pStyle w:val="Compact"/>
              <w:jc w:val="left"/>
            </w:pPr>
            <w:r>
              <w:t xml:space="preserve">Linéaire</w:t>
            </w:r>
          </w:p>
        </w:tc>
        <w:tc>
          <w:tcPr/>
          <w:p>
            <w:pPr>
              <w:pStyle w:val="Compact"/>
              <w:jc w:val="center"/>
            </w:pPr>
            <m:oMath>
              <m:r>
                <m:t>O</m:t>
              </m:r>
              <m:r>
                <m:rPr>
                  <m:sty m:val="p"/>
                </m:rPr>
                <m:t>(</m:t>
              </m:r>
              <m:sSup>
                <m:e>
                  <m:r>
                    <m:t>d</m:t>
                  </m:r>
                </m:e>
                <m:sup>
                  <m:r>
                    <m:t>2</m:t>
                  </m:r>
                </m:sup>
              </m:sSup>
              <m:r>
                <m:rPr>
                  <m:sty m:val="p"/>
                </m:rPr>
                <m:t>)</m:t>
              </m:r>
            </m:oMath>
          </w:p>
        </w:tc>
        <w:tc>
          <w:tcPr/>
          <w:p>
            <w:pPr>
              <w:pStyle w:val="Compact"/>
              <w:jc w:val="left"/>
            </w:pPr>
            <w:r>
              <w:t xml:space="preserve">Stochastique (posterior)</w:t>
            </w:r>
          </w:p>
        </w:tc>
      </w:tr>
      <w:tr>
        <w:tc>
          <w:tcPr/>
          <w:p>
            <w:pPr>
              <w:pStyle w:val="Compact"/>
              <w:jc w:val="left"/>
            </w:pPr>
            <w:r>
              <w:t xml:space="preserve">NeuralUCB</w:t>
            </w:r>
          </w:p>
        </w:tc>
        <w:tc>
          <w:tcPr/>
          <w:p>
            <w:pPr>
              <w:pStyle w:val="Compact"/>
              <w:jc w:val="left"/>
            </w:pPr>
            <w:r>
              <w:t xml:space="preserve">Non-linéaire</w:t>
            </w:r>
          </w:p>
        </w:tc>
        <w:tc>
          <w:tcPr/>
          <w:p>
            <w:pPr>
              <w:pStyle w:val="Compact"/>
              <w:jc w:val="center"/>
            </w:pPr>
            <m:oMath>
              <m:r>
                <m:t>O</m:t>
              </m:r>
              <m:r>
                <m:rPr>
                  <m:sty m:val="p"/>
                </m:rPr>
                <m:t>(</m:t>
              </m:r>
              <m:sSup>
                <m:e>
                  <m:r>
                    <m:t>p</m:t>
                  </m:r>
                </m:e>
                <m:sup>
                  <m:r>
                    <m:t>2</m:t>
                  </m:r>
                </m:sup>
              </m:sSup>
              <m:r>
                <m:rPr>
                  <m:sty m:val="p"/>
                </m:rPr>
                <m:t>)</m:t>
              </m:r>
            </m:oMath>
          </w:p>
        </w:tc>
        <w:tc>
          <w:tcPr/>
          <w:p>
            <w:pPr>
              <w:pStyle w:val="Compact"/>
              <w:jc w:val="left"/>
            </w:pPr>
            <w:r>
              <w:t xml:space="preserve">Déterministe (UCB gradients)</w:t>
            </w:r>
          </w:p>
        </w:tc>
      </w:tr>
      <w:tr>
        <w:tc>
          <w:tcPr/>
          <w:p>
            <w:pPr>
              <w:pStyle w:val="Compact"/>
              <w:jc w:val="left"/>
            </w:pPr>
            <w:r>
              <w:t xml:space="preserve">NeuralTS</w:t>
            </w:r>
          </w:p>
        </w:tc>
        <w:tc>
          <w:tcPr/>
          <w:p>
            <w:pPr>
              <w:pStyle w:val="Compact"/>
              <w:jc w:val="left"/>
            </w:pPr>
            <w:r>
              <w:t xml:space="preserve">Non-linéaire</w:t>
            </w:r>
          </w:p>
        </w:tc>
        <w:tc>
          <w:tcPr/>
          <w:p>
            <w:pPr>
              <w:pStyle w:val="Compact"/>
              <w:jc w:val="center"/>
            </w:pPr>
            <m:oMath>
              <m:r>
                <m:t>O</m:t>
              </m:r>
              <m:r>
                <m:rPr>
                  <m:sty m:val="p"/>
                </m:rPr>
                <m:t>(</m:t>
              </m:r>
              <m:sSup>
                <m:e>
                  <m:r>
                    <m:t>p</m:t>
                  </m:r>
                </m:e>
                <m:sup>
                  <m:r>
                    <m:t>2</m:t>
                  </m:r>
                </m:sup>
              </m:sSup>
              <m:r>
                <m:rPr>
                  <m:sty m:val="p"/>
                </m:rPr>
                <m:t>)</m:t>
              </m:r>
            </m:oMath>
          </w:p>
        </w:tc>
        <w:tc>
          <w:tcPr/>
          <w:p>
            <w:pPr>
              <w:pStyle w:val="Compact"/>
              <w:jc w:val="left"/>
            </w:pPr>
            <w:r>
              <w:t xml:space="preserve">Stochastique (gradients)</w:t>
            </w:r>
          </w:p>
        </w:tc>
      </w:tr>
      <w:tr>
        <w:tc>
          <w:tcPr/>
          <w:p>
            <w:pPr>
              <w:pStyle w:val="Compact"/>
              <w:jc w:val="left"/>
            </w:pPr>
            <w:r>
              <w:t xml:space="preserve">DeepBandit</w:t>
            </w:r>
          </w:p>
        </w:tc>
        <w:tc>
          <w:tcPr/>
          <w:p>
            <w:pPr>
              <w:pStyle w:val="Compact"/>
              <w:jc w:val="left"/>
            </w:pPr>
            <w:r>
              <w:t xml:space="preserve">Non-linéaire</w:t>
            </w:r>
          </w:p>
        </w:tc>
        <w:tc>
          <w:tcPr/>
          <w:p>
            <w:pPr>
              <w:pStyle w:val="Compact"/>
              <w:jc w:val="center"/>
            </w:pPr>
            <m:oMath>
              <m:r>
                <m:t>O</m:t>
              </m:r>
              <m:r>
                <m:rPr>
                  <m:sty m:val="p"/>
                </m:rPr>
                <m:t>(</m:t>
              </m:r>
              <m:sSup>
                <m:e>
                  <m:r>
                    <m:t>p</m:t>
                  </m:r>
                </m:e>
                <m:sup>
                  <m:r>
                    <m:t>2</m:t>
                  </m:r>
                </m:sup>
              </m:sSup>
              <m:r>
                <m:rPr>
                  <m:sty m:val="p"/>
                </m:rPr>
                <m:t>)</m:t>
              </m:r>
            </m:oMath>
          </w:p>
        </w:tc>
        <w:tc>
          <w:tcPr/>
          <w:p>
            <w:pPr>
              <w:pStyle w:val="Compact"/>
              <w:jc w:val="left"/>
            </w:pPr>
            <m:oMath>
              <m:r>
                <m:t>ε</m:t>
              </m:r>
            </m:oMath>
            <w:r>
              <w:t xml:space="preserve">-greedy</w:t>
            </w:r>
          </w:p>
        </w:tc>
      </w:tr>
      <w:tr>
        <w:tc>
          <w:tcPr/>
          <w:p>
            <w:pPr>
              <w:pStyle w:val="Compact"/>
              <w:jc w:val="left"/>
            </w:pPr>
            <w:r>
              <w:rPr>
                <w:i/>
                <w:iCs/>
              </w:rPr>
              <w:t xml:space="preserve">Architectures de Déploiement (surcouche LinUCB)</w:t>
            </w:r>
          </w:p>
        </w:tc>
        <w:tc>
          <w:tcPr/>
          <w:p>
            <w:pPr>
              <w:pStyle w:val="Compact"/>
            </w:pPr>
          </w:p>
        </w:tc>
        <w:tc>
          <w:tcPr/>
          <w:p>
            <w:pPr>
              <w:pStyle w:val="Compact"/>
            </w:pPr>
          </w:p>
        </w:tc>
        <w:tc>
          <w:tcPr/>
          <w:p>
            <w:pPr>
              <w:pStyle w:val="Compact"/>
            </w:pPr>
          </w:p>
        </w:tc>
      </w:tr>
      <w:tr>
        <w:tc>
          <w:tcPr/>
          <w:p>
            <w:pPr>
              <w:pStyle w:val="Compact"/>
              <w:jc w:val="left"/>
            </w:pPr>
            <w:r>
              <w:t xml:space="preserve">Offline2On</w:t>
            </w:r>
          </w:p>
        </w:tc>
        <w:tc>
          <w:tcPr/>
          <w:p>
            <w:pPr>
              <w:pStyle w:val="Compact"/>
              <w:jc w:val="left"/>
            </w:pPr>
            <w:r>
              <w:t xml:space="preserve">Linéaire</w:t>
            </w:r>
          </w:p>
        </w:tc>
        <w:tc>
          <w:tcPr/>
          <w:p>
            <w:pPr>
              <w:pStyle w:val="Compact"/>
              <w:jc w:val="center"/>
            </w:pPr>
            <m:oMath>
              <m:r>
                <m:t>O</m:t>
              </m:r>
              <m:r>
                <m:rPr>
                  <m:sty m:val="p"/>
                </m:rPr>
                <m:t>(</m:t>
              </m:r>
              <m:sSup>
                <m:e>
                  <m:r>
                    <m:t>d</m:t>
                  </m:r>
                </m:e>
                <m:sup>
                  <m:r>
                    <m:t>2</m:t>
                  </m:r>
                </m:sup>
              </m:sSup>
              <m:r>
                <m:rPr>
                  <m:sty m:val="p"/>
                </m:rPr>
                <m:t>)</m:t>
              </m:r>
            </m:oMath>
          </w:p>
        </w:tc>
        <w:tc>
          <w:tcPr/>
          <w:p>
            <w:pPr>
              <w:pStyle w:val="Compact"/>
              <w:jc w:val="left"/>
            </w:pPr>
            <w:r>
              <w:t xml:space="preserve">Pessimiste</w:t>
            </w:r>
            <w:r>
              <w:t xml:space="preserve"> </w:t>
            </w:r>
            <m:oMath>
              <m:r>
                <m:rPr>
                  <m:sty m:val="p"/>
                </m:rPr>
                <m:t>→</m:t>
              </m:r>
            </m:oMath>
            <w:r>
              <w:t xml:space="preserve"> </w:t>
            </w:r>
            <w:r>
              <w:t xml:space="preserve">optimiste</w:t>
            </w:r>
          </w:p>
        </w:tc>
      </w:tr>
      <w:tr>
        <w:tc>
          <w:tcPr/>
          <w:p>
            <w:pPr>
              <w:pStyle w:val="Compact"/>
              <w:jc w:val="left"/>
            </w:pPr>
            <w:r>
              <w:t xml:space="preserve">DelayedFB</w:t>
            </w:r>
          </w:p>
        </w:tc>
        <w:tc>
          <w:tcPr/>
          <w:p>
            <w:pPr>
              <w:pStyle w:val="Compact"/>
              <w:jc w:val="left"/>
            </w:pPr>
            <w:r>
              <w:t xml:space="preserve">Linéaire</w:t>
            </w:r>
          </w:p>
        </w:tc>
        <w:tc>
          <w:tcPr/>
          <w:p>
            <w:pPr>
              <w:pStyle w:val="Compact"/>
              <w:jc w:val="center"/>
            </w:pPr>
            <m:oMath>
              <m:r>
                <m:t>O</m:t>
              </m:r>
              <m:r>
                <m:rPr>
                  <m:sty m:val="p"/>
                </m:rPr>
                <m:t>(</m:t>
              </m:r>
              <m:sSup>
                <m:e>
                  <m:r>
                    <m:t>d</m:t>
                  </m:r>
                </m:e>
                <m:sup>
                  <m:r>
                    <m:t>2</m:t>
                  </m:r>
                </m:sup>
              </m:sSup>
              <m:r>
                <m:rPr>
                  <m:sty m:val="p"/>
                </m:rPr>
                <m:t>)</m:t>
              </m:r>
            </m:oMath>
          </w:p>
        </w:tc>
        <w:tc>
          <w:tcPr/>
          <w:p>
            <w:pPr>
              <w:pStyle w:val="Compact"/>
              <w:jc w:val="left"/>
            </w:pPr>
            <w:r>
              <w:t xml:space="preserve">UCB + buffer de feedbacks</w:t>
            </w:r>
          </w:p>
        </w:tc>
      </w:tr>
    </w:tbl>
    <w:bookmarkEnd w:id="63"/>
    <w:bookmarkEnd w:id="64"/>
    <w:bookmarkEnd w:id="65"/>
    <w:bookmarkStart w:id="72" w:name="approches-llm-pures-zero-shot-policy"/>
    <w:p>
      <w:pPr>
        <w:pStyle w:val="Heading4"/>
      </w:pPr>
      <w:r>
        <w:t xml:space="preserve">Approches LLM Pures (Zero-Shot Policy)</w:t>
      </w:r>
    </w:p>
    <w:p>
      <w:pPr>
        <w:pStyle w:val="FirstParagraph"/>
      </w:pPr>
      <w:r>
        <w:t xml:space="preserve">Contrairement aux bandits qui</w:t>
      </w:r>
      <w:r>
        <w:t xml:space="preserve"> </w:t>
      </w:r>
      <w:r>
        <w:rPr>
          <w:b/>
          <w:bCs/>
        </w:rPr>
        <w:t xml:space="preserve">apprennent</w:t>
      </w:r>
      <w:r>
        <w:t xml:space="preserve"> </w:t>
      </w:r>
      <w:r>
        <w:t xml:space="preserve">d’une récompense cumulative, les agents LLM agissent comme des</w:t>
      </w:r>
      <w:r>
        <w:t xml:space="preserve"> </w:t>
      </w:r>
      <w:r>
        <w:rPr>
          <w:b/>
          <w:bCs/>
        </w:rPr>
        <w:t xml:space="preserve">politiques de décision sémantique directe</w:t>
      </w:r>
      <w:r>
        <w:t xml:space="preserve"> </w:t>
      </w:r>
      <w:r>
        <w:t xml:space="preserve">: ils reçoivent le vecteur de contexte utilisateur</w:t>
      </w:r>
      <w:r>
        <w:t xml:space="preserve"> </w:t>
      </w:r>
      <m:oMath>
        <m:sSub>
          <m:e>
            <m:r>
              <m:rPr>
                <m:sty m:val="b"/>
              </m:rPr>
              <m:t>x</m:t>
            </m:r>
          </m:e>
          <m:sub>
            <m:r>
              <m:t>u</m:t>
            </m:r>
          </m:sub>
        </m:sSub>
      </m:oMath>
      <w:r>
        <w:t xml:space="preserve"> </w:t>
      </w:r>
      <w:r>
        <w:t xml:space="preserve">et sélectionnent l’annonce optimale par raisonnement sur le</w:t>
      </w:r>
      <w:r>
        <w:t xml:space="preserve"> </w:t>
      </w:r>
      <w:r>
        <w:rPr>
          <w:i/>
          <w:iCs/>
        </w:rPr>
        <w:t xml:space="preserve">sens linguistique</w:t>
      </w:r>
      <w:r>
        <w:t xml:space="preserve"> </w:t>
      </w:r>
      <w:r>
        <w:t xml:space="preserve">du profil, sans paramètres apprenables. Ce paradigme s’inscrit dans les travaux récents sur les LLMs comme rankers zéro-shot</w:t>
      </w:r>
      <w:r>
        <w:t xml:space="preserve"> </w:t>
      </w:r>
      <w:r>
        <w:t xml:space="preserve">[</w:t>
      </w:r>
      <w:hyperlink w:anchor="ref-hou2024zeroranker">
        <w:r>
          <w:rPr>
            <w:rStyle w:val="Hyperlink"/>
          </w:rPr>
          <w:t xml:space="preserve">Yupeng Hou et al. 2024</w:t>
        </w:r>
      </w:hyperlink>
      <w:r>
        <w:t xml:space="preserve">]</w:t>
      </w:r>
      <w:r>
        <w:t xml:space="preserve"> </w:t>
      </w:r>
      <w:r>
        <w:t xml:space="preserve">et les agents LLM en systèmes de recommandation</w:t>
      </w:r>
      <w:r>
        <w:t xml:space="preserve"> </w:t>
      </w:r>
      <w:r>
        <w:t xml:space="preserve">[</w:t>
      </w:r>
      <w:hyperlink w:anchor="ref-lin2024rella">
        <w:r>
          <w:rPr>
            <w:rStyle w:val="Hyperlink"/>
          </w:rPr>
          <w:t xml:space="preserve">Lin et al. 2024</w:t>
        </w:r>
      </w:hyperlink>
      <w:r>
        <w:t xml:space="preserve">]</w:t>
      </w:r>
      <w:r>
        <w:t xml:space="preserve">.</w:t>
      </w:r>
    </w:p>
    <w:bookmarkStart w:id="66" w:name="principe-de-fonctionnement."/>
    <w:p>
      <w:pPr>
        <w:pStyle w:val="Heading5"/>
      </w:pPr>
      <w:r>
        <w:t xml:space="preserve">Principe de Fonctionnement.</w:t>
      </w:r>
    </w:p>
    <w:p>
      <w:pPr>
        <w:pStyle w:val="FirstParagraph"/>
      </w:pPr>
      <w:r>
        <w:t xml:space="preserve">L’agent LLM reçoit un prompt structuré contenant</w:t>
      </w:r>
      <w:r>
        <w:t xml:space="preserve"> </w:t>
      </w:r>
      <m:oMath>
        <m:sSub>
          <m:e>
            <m:r>
              <m:rPr>
                <m:sty m:val="b"/>
              </m:rPr>
              <m:t>x</m:t>
            </m:r>
          </m:e>
          <m:sub>
            <m:r>
              <m:t>u</m:t>
            </m:r>
          </m:sub>
        </m:sSub>
      </m:oMath>
      <w:r>
        <w:t xml:space="preserve"> </w:t>
      </w:r>
      <w:r>
        <w:t xml:space="preserve">et le nombre d’annonces disponibles, et retourne directement l’index</w:t>
      </w:r>
      <w:r>
        <w:t xml:space="preserve"> </w:t>
      </w:r>
      <m:oMath>
        <m:sSup>
          <m:e>
            <m:r>
              <m:t>k</m:t>
            </m:r>
          </m:e>
          <m:sup>
            <m:r>
              <m:rPr>
                <m:sty m:val="p"/>
              </m:rPr>
              <m:t>*</m:t>
            </m:r>
          </m:sup>
        </m:sSup>
        <m:r>
          <m:rPr>
            <m:sty m:val="p"/>
          </m:rPr>
          <m:t>=</m:t>
        </m:r>
        <m:r>
          <m:rPr>
            <m:nor/>
            <m:sty m:val="p"/>
          </m:rPr>
          <m:t>LLM</m:t>
        </m:r>
        <m:r>
          <m:rPr>
            <m:sty m:val="p"/>
          </m:rPr>
          <m:t>(</m:t>
        </m:r>
        <m:sSub>
          <m:e>
            <m:r>
              <m:rPr>
                <m:sty m:val="b"/>
              </m:rPr>
              <m:t>x</m:t>
            </m:r>
          </m:e>
          <m:sub>
            <m:r>
              <m:t>u</m:t>
            </m:r>
          </m:sub>
        </m:sSub>
        <m:r>
          <m:rPr>
            <m:sty m:val="p"/>
          </m:rPr>
          <m:t>)</m:t>
        </m:r>
      </m:oMath>
      <w:r>
        <w:t xml:space="preserve"> </w:t>
      </w:r>
      <w:r>
        <w:t xml:space="preserve">—</w:t>
      </w:r>
      <w:r>
        <w:t xml:space="preserve"> </w:t>
      </w:r>
      <w:r>
        <w:rPr>
          <w:i/>
          <w:iCs/>
        </w:rPr>
        <w:t xml:space="preserve">la politique MOO n’est jamais appelée</w:t>
      </w:r>
      <w:r>
        <w:t xml:space="preserve">. Deux variantes ont été testées :</w:t>
      </w:r>
    </w:p>
    <w:p>
      <w:pPr>
        <w:numPr>
          <w:ilvl w:val="0"/>
          <w:numId w:val="1020"/>
        </w:numPr>
      </w:pPr>
      <w:r>
        <w:rPr>
          <w:b/>
          <w:bCs/>
        </w:rPr>
        <w:t xml:space="preserve">LlamaReasoning</w:t>
      </w:r>
      <w:r>
        <w:t xml:space="preserve"> </w:t>
      </w:r>
      <w:r>
        <w:t xml:space="preserve">: prompt avec</w:t>
      </w:r>
      <w:r>
        <w:t xml:space="preserve"> </w:t>
      </w:r>
      <w:r>
        <w:rPr>
          <w:i/>
          <w:iCs/>
        </w:rPr>
        <w:t xml:space="preserve">chain-of-thought</w:t>
      </w:r>
      <w:r>
        <w:t xml:space="preserve"> </w:t>
      </w:r>
      <w:r>
        <w:t xml:space="preserve">étendu — le modèle produit une trace de raisonnement avant de sélectionner l’annonce.</w:t>
      </w:r>
    </w:p>
    <w:p>
      <w:pPr>
        <w:numPr>
          <w:ilvl w:val="0"/>
          <w:numId w:val="1020"/>
        </w:numPr>
      </w:pPr>
      <w:r>
        <w:rPr>
          <w:b/>
          <w:bCs/>
        </w:rPr>
        <w:t xml:space="preserve">LlamaInstruct</w:t>
      </w:r>
      <w:r>
        <w:t xml:space="preserve"> </w:t>
      </w:r>
      <w:r>
        <w:t xml:space="preserve">: prompt d’instruction directe sans raisonnement intermédiaire.</w:t>
      </w:r>
    </w:p>
    <w:bookmarkEnd w:id="66"/>
    <w:bookmarkStart w:id="67" w:name="X087058e2ca917263ef2ac0228006a490b8127d0"/>
    <w:p>
      <w:pPr>
        <w:pStyle w:val="Heading5"/>
      </w:pPr>
      <w:r>
        <w:t xml:space="preserve">Avantage — Compréhension Sémantique Immédiate.</w:t>
      </w:r>
    </w:p>
    <w:p>
      <w:pPr>
        <w:pStyle w:val="FirstParagraph"/>
      </w:pPr>
      <w:r>
        <w:t xml:space="preserve">Les LLMs ne nécessitent aucune exploration préalable : la performance est exploitable dès</w:t>
      </w:r>
      <w:r>
        <w:t xml:space="preserve"> </w:t>
      </w:r>
      <m:oMath>
        <m:r>
          <m:t>t</m:t>
        </m:r>
        <m:r>
          <m:rPr>
            <m:sty m:val="p"/>
          </m:rPr>
          <m:t>=</m:t>
        </m:r>
        <m:r>
          <m:t>0</m:t>
        </m:r>
      </m:oMath>
      <w:r>
        <w:t xml:space="preserve">. Sur le benchmark, LlamaReasoning atteint</w:t>
      </w:r>
      <w:r>
        <w:t xml:space="preserve"> </w:t>
      </w:r>
      <m:oMath>
        <m:r>
          <m:rPr>
            <m:nor/>
            <m:sty m:val="p"/>
          </m:rPr>
          <m:t>eng</m:t>
        </m:r>
        <m:r>
          <m:rPr>
            <m:sty m:val="p"/>
          </m:rPr>
          <m:t>=</m:t>
        </m:r>
        <m:r>
          <m:t>0.648</m:t>
        </m:r>
      </m:oMath>
      <w:r>
        <w:t xml:space="preserve"> </w:t>
      </w:r>
      <w:r>
        <w:t xml:space="preserve">dès la première itération, comparable à LinUCB classique (0.619)</w:t>
      </w:r>
      <w:r>
        <w:t xml:space="preserve"> </w:t>
      </w:r>
      <w:r>
        <w:rPr>
          <w:i/>
          <w:iCs/>
        </w:rPr>
        <w:t xml:space="preserve">après convergence</w:t>
      </w:r>
      <w:r>
        <w:t xml:space="preserve">, sans aucun entraînement. Des travaux récents</w:t>
      </w:r>
      <w:r>
        <w:t xml:space="preserve"> </w:t>
      </w:r>
      <w:r>
        <w:t xml:space="preserve">[</w:t>
      </w:r>
      <w:hyperlink w:anchor="ref-taxrec2024">
        <w:r>
          <w:rPr>
            <w:rStyle w:val="Hyperlink"/>
          </w:rPr>
          <w:t xml:space="preserve">Fang et al. 2024</w:t>
        </w:r>
      </w:hyperlink>
      <w:r>
        <w:t xml:space="preserve">]</w:t>
      </w:r>
      <w:r>
        <w:t xml:space="preserve"> </w:t>
      </w:r>
      <w:r>
        <w:t xml:space="preserve">montrent que les LLMs zero-shot peuvent surpasser des systèmes collaboratifs supervisés dans certains domaines.</w:t>
      </w:r>
    </w:p>
    <w:bookmarkEnd w:id="67"/>
    <w:bookmarkStart w:id="68" w:name="limites."/>
    <w:p>
      <w:pPr>
        <w:pStyle w:val="Heading5"/>
      </w:pPr>
      <w:r>
        <w:t xml:space="preserve">Limites.</w:t>
      </w:r>
    </w:p>
    <w:p>
      <w:pPr>
        <w:pStyle w:val="FirstParagraph"/>
      </w:pPr>
      <w:r>
        <w:t xml:space="preserve">Le LLM ne peut pas être guidé par une politique</w:t>
      </w:r>
      <w:r>
        <w:t xml:space="preserve"> </w:t>
      </w:r>
      <m:oMath>
        <m:r>
          <m:t>ε</m:t>
        </m:r>
      </m:oMath>
      <w:r>
        <w:t xml:space="preserve">-Constraint ou NSGA-II : son prior d’entraînement optimise implicitement selon un biais engagement-textuel, sans possibilité d’ajuster le trade-off engagement/revenue. Résultat observé : les scores sont</w:t>
      </w:r>
      <w:r>
        <w:t xml:space="preserve"> </w:t>
      </w:r>
      <w:r>
        <w:rPr>
          <w:b/>
          <w:bCs/>
        </w:rPr>
        <w:t xml:space="preserve">identiques sur les 10 politiques</w:t>
      </w:r>
      <w:r>
        <w:t xml:space="preserve"> </w:t>
      </w:r>
      <w:r>
        <w:t xml:space="preserve">— la simulation ne s’exécute qu’une seule fois.</w:t>
      </w:r>
    </w:p>
    <w:bookmarkEnd w:id="68"/>
    <w:bookmarkStart w:id="70" w:name="latence-incompatible-avec-le-rtb."/>
    <w:p>
      <w:pPr>
        <w:pStyle w:val="Heading5"/>
      </w:pPr>
      <w:r>
        <w:t xml:space="preserve">Latence Incompatible avec le RTB.</w:t>
      </w:r>
    </w:p>
    <w:p>
      <w:pPr>
        <w:pStyle w:val="FirstParagraph"/>
      </w:pPr>
      <w:r>
        <w:t xml:space="preserve">La publicité programmatique impose un délai de réponse</w:t>
      </w:r>
      <w:r>
        <w:t xml:space="preserve"> </w:t>
      </w:r>
      <m:oMath>
        <m:r>
          <m:rPr>
            <m:sty m:val="p"/>
          </m:rPr>
          <m:t>&lt;</m:t>
        </m:r>
        <m:r>
          <m:t>100</m:t>
        </m:r>
      </m:oMath>
      <w:r>
        <w:t xml:space="preserve">ms (protocole OpenRTB</w:t>
      </w:r>
      <w:r>
        <w:t xml:space="preserve"> </w:t>
      </w:r>
      <w:r>
        <w:t xml:space="preserve">[</w:t>
      </w:r>
      <w:hyperlink w:anchor="ref-wu2024survey">
        <w:r>
          <w:rPr>
            <w:rStyle w:val="Hyperlink"/>
          </w:rPr>
          <w:t xml:space="preserve">Wu et al. 2024</w:t>
        </w:r>
      </w:hyperlink>
      <w:r>
        <w:t xml:space="preserve">]</w:t>
      </w:r>
      <w:r>
        <w:t xml:space="preserve">). Les modèles locaux mesurés dans notre benchmark contredisent structurellement cette contrainte :</w:t>
      </w:r>
    </w:p>
    <w:bookmarkStart w:id="69" w:name="tab:llm_latency"/>
    <w:p>
      <w:pPr>
        <w:pStyle w:val="TableCaption"/>
      </w:pPr>
      <w:r>
        <w:t xml:space="preserve">TABLEAU 2.2  COMPARAISON DE LA LATENCE DE DéCISION : AGENTS LLM VS BANDIT DE RéFéRENCE</w:t>
      </w:r>
    </w:p>
    <w:tbl>
      <w:tblPr>
        <w:tblStyle w:val="Table"/>
        <w:tblW w:type="auto" w:w="0"/>
        <w:tblLook w:firstRow="1" w:lastRow="0" w:firstColumn="0" w:lastColumn="0" w:noHBand="0" w:noVBand="0" w:val="0020"/>
        <w:tblCaption w:val="TABLEAU 2.2  COMPARAISON DE LA LATENCE DE DéCISION : AGENTS LLM VS BANDIT DE RéFéRENCE"/>
      </w:tblPr>
      <w:tblGrid>
        <w:gridCol w:w="1980"/>
        <w:gridCol w:w="1980"/>
        <w:gridCol w:w="1980"/>
        <w:gridCol w:w="1980"/>
      </w:tblGrid>
      <w:tr>
        <w:trPr>
          <w:tblHeader w:val="on"/>
        </w:trPr>
        <w:tc>
          <w:tcPr/>
          <w:p>
            <w:pPr>
              <w:pStyle w:val="Compact"/>
              <w:jc w:val="left"/>
            </w:pPr>
            <w:r>
              <w:rPr>
                <w:b/>
                <w:bCs/>
              </w:rPr>
              <w:t xml:space="preserve">Agent</w:t>
            </w:r>
          </w:p>
        </w:tc>
        <w:tc>
          <w:tcPr/>
          <w:p>
            <w:pPr>
              <w:pStyle w:val="Compact"/>
              <w:jc w:val="center"/>
            </w:pPr>
            <w:r>
              <w:rPr>
                <w:b/>
                <w:bCs/>
              </w:rPr>
              <w:t xml:space="preserve">Temps/décision</w:t>
            </w:r>
          </w:p>
        </w:tc>
        <w:tc>
          <w:tcPr/>
          <w:p>
            <w:pPr>
              <w:pStyle w:val="Compact"/>
              <w:jc w:val="center"/>
            </w:pPr>
            <w:r>
              <w:rPr>
                <w:b/>
                <w:bCs/>
              </w:rPr>
              <w:t xml:space="preserve">SLA RTB (</w:t>
            </w:r>
            <m:oMath>
              <m:r>
                <m:rPr>
                  <m:sty m:val="p"/>
                </m:rPr>
                <m:t>&lt;</m:t>
              </m:r>
            </m:oMath>
            <w:r>
              <w:rPr>
                <w:b/>
                <w:bCs/>
              </w:rPr>
              <w:t xml:space="preserve">100ms)</w:t>
            </w:r>
          </w:p>
        </w:tc>
        <w:tc>
          <w:tcPr/>
          <w:p>
            <w:pPr>
              <w:pStyle w:val="Compact"/>
              <w:jc w:val="center"/>
            </w:pPr>
            <w:r>
              <w:rPr>
                <w:b/>
                <w:bCs/>
              </w:rPr>
              <w:t xml:space="preserve">Ratio</w:t>
            </w:r>
          </w:p>
        </w:tc>
      </w:tr>
      <w:tr>
        <w:tc>
          <w:tcPr/>
          <w:p>
            <w:pPr>
              <w:pStyle w:val="Compact"/>
              <w:jc w:val="left"/>
            </w:pPr>
            <w:r>
              <w:t xml:space="preserve">LlamaReasoning</w:t>
            </w:r>
          </w:p>
        </w:tc>
        <w:tc>
          <w:tcPr/>
          <w:p>
            <w:pPr>
              <w:pStyle w:val="Compact"/>
              <w:jc w:val="center"/>
            </w:pPr>
            <w:r>
              <w:t xml:space="preserve">6 901 ms</w:t>
            </w:r>
          </w:p>
        </w:tc>
        <w:tc>
          <w:tcPr/>
          <w:p>
            <w:pPr>
              <w:pStyle w:val="Compact"/>
              <w:jc w:val="center"/>
            </w:pPr>
            <w:r>
              <w:t xml:space="preserve">Non</w:t>
            </w:r>
          </w:p>
        </w:tc>
        <w:tc>
          <w:tcPr/>
          <w:p>
            <w:pPr>
              <w:pStyle w:val="Compact"/>
              <w:jc w:val="center"/>
            </w:pPr>
            <m:oMath>
              <m:r>
                <m:rPr>
                  <m:sty m:val="p"/>
                </m:rPr>
                <m:t>×</m:t>
              </m:r>
            </m:oMath>
            <w:r>
              <w:t xml:space="preserve">69 000</w:t>
            </w:r>
          </w:p>
        </w:tc>
      </w:tr>
      <w:tr>
        <w:tc>
          <w:tcPr/>
          <w:p>
            <w:pPr>
              <w:pStyle w:val="Compact"/>
              <w:jc w:val="left"/>
            </w:pPr>
            <w:r>
              <w:t xml:space="preserve">LlamaInstruct</w:t>
            </w:r>
          </w:p>
        </w:tc>
        <w:tc>
          <w:tcPr/>
          <w:p>
            <w:pPr>
              <w:pStyle w:val="Compact"/>
              <w:jc w:val="center"/>
            </w:pPr>
            <w:r>
              <w:t xml:space="preserve">2 127 ms</w:t>
            </w:r>
          </w:p>
        </w:tc>
        <w:tc>
          <w:tcPr/>
          <w:p>
            <w:pPr>
              <w:pStyle w:val="Compact"/>
              <w:jc w:val="center"/>
            </w:pPr>
            <w:r>
              <w:t xml:space="preserve">Non</w:t>
            </w:r>
          </w:p>
        </w:tc>
        <w:tc>
          <w:tcPr/>
          <w:p>
            <w:pPr>
              <w:pStyle w:val="Compact"/>
              <w:jc w:val="center"/>
            </w:pPr>
            <m:oMath>
              <m:r>
                <m:rPr>
                  <m:sty m:val="p"/>
                </m:rPr>
                <m:t>×</m:t>
              </m:r>
            </m:oMath>
            <w:r>
              <w:t xml:space="preserve">21 000</w:t>
            </w:r>
          </w:p>
        </w:tc>
      </w:tr>
      <w:tr>
        <w:tc>
          <w:tcPr/>
          <w:p>
            <w:pPr>
              <w:pStyle w:val="Compact"/>
              <w:jc w:val="left"/>
            </w:pPr>
            <w:r>
              <w:t xml:space="preserve">LinUCB (référence)</w:t>
            </w:r>
          </w:p>
        </w:tc>
        <w:tc>
          <w:tcPr/>
          <w:p>
            <w:pPr>
              <w:pStyle w:val="Compact"/>
              <w:jc w:val="center"/>
            </w:pPr>
            <w:r>
              <w:t xml:space="preserve">15 ms</w:t>
            </w:r>
          </w:p>
        </w:tc>
        <w:tc>
          <w:tcPr/>
          <w:p>
            <w:pPr>
              <w:pStyle w:val="Compact"/>
              <w:jc w:val="center"/>
            </w:pPr>
            <w:r>
              <w:t xml:space="preserve">Oui</w:t>
            </w:r>
          </w:p>
        </w:tc>
        <w:tc>
          <w:tcPr/>
          <w:p>
            <w:pPr>
              <w:pStyle w:val="Compact"/>
              <w:jc w:val="center"/>
            </w:pPr>
            <m:oMath>
              <m:r>
                <m:rPr>
                  <m:sty m:val="p"/>
                </m:rPr>
                <m:t>×</m:t>
              </m:r>
            </m:oMath>
            <w:r>
              <w:t xml:space="preserve">0.15</w:t>
            </w:r>
          </w:p>
        </w:tc>
      </w:tr>
    </w:tbl>
    <w:bookmarkEnd w:id="69"/>
    <w:p>
      <w:pPr>
        <w:pStyle w:val="BodyText"/>
      </w:pPr>
      <w:r>
        <w:t xml:space="preserve">La nature probabiliste des LLMs est structurellement incompatible avec les exigences de déterminisme et de vitesse des enchères programmatiques. Des approches hybrides (LLM</w:t>
      </w:r>
      <w:r>
        <w:t xml:space="preserve"> </w:t>
      </w:r>
      <w:r>
        <w:rPr>
          <w:i/>
          <w:iCs/>
        </w:rPr>
        <w:t xml:space="preserve">offline</w:t>
      </w:r>
      <w:r>
        <w:t xml:space="preserve"> </w:t>
      </w:r>
      <w:r>
        <w:t xml:space="preserve">pour l’initialisation + bandit</w:t>
      </w:r>
      <w:r>
        <w:t xml:space="preserve"> </w:t>
      </w:r>
      <w:r>
        <w:rPr>
          <w:i/>
          <w:iCs/>
        </w:rPr>
        <w:t xml:space="preserve">online</w:t>
      </w:r>
      <w:r>
        <w:t xml:space="preserve"> </w:t>
      </w:r>
      <w:r>
        <w:t xml:space="preserve">pour l’adaptation) sont proposées dans la littérature pour concilier les deux paradigmes</w:t>
      </w:r>
      <w:r>
        <w:t xml:space="preserve"> </w:t>
      </w:r>
      <w:r>
        <w:t xml:space="preserve">[</w:t>
      </w:r>
      <w:hyperlink w:anchor="ref-lin2024rella">
        <w:r>
          <w:rPr>
            <w:rStyle w:val="Hyperlink"/>
          </w:rPr>
          <w:t xml:space="preserve">Lin et al. 2024</w:t>
        </w:r>
      </w:hyperlink>
      <w:r>
        <w:t xml:space="preserve">]</w:t>
      </w:r>
      <w:r>
        <w:t xml:space="preserve">.</w:t>
      </w:r>
    </w:p>
    <w:bookmarkEnd w:id="70"/>
    <w:bookmarkStart w:id="71" w:name="rôle-dans-le-benchmark."/>
    <w:p>
      <w:pPr>
        <w:pStyle w:val="Heading5"/>
      </w:pPr>
      <w:r>
        <w:t xml:space="preserve">Rôle dans le Benchmark.</w:t>
      </w:r>
    </w:p>
    <w:p>
      <w:pPr>
        <w:pStyle w:val="FirstParagraph"/>
      </w:pPr>
      <w:r>
        <w:rPr>
          <w:i/>
          <w:iCs/>
        </w:rPr>
        <w:t xml:space="preserve">Les agents LLM servent d’oracle sémantique de référence : ils révèlent le plafond de performance atteignable par compréhension contextuelle pure sans apprentissage. Leur écart sur le revenue (</w:t>
      </w:r>
      <m:oMath>
        <m:r>
          <m:rPr>
            <m:nor/>
            <m:sty m:val="p"/>
          </m:rPr>
          <m:t>rev</m:t>
        </m:r>
        <m:r>
          <m:rPr>
            <m:sty m:val="p"/>
          </m:rPr>
          <m:t>=</m:t>
        </m:r>
        <m:r>
          <m:t>0.035</m:t>
        </m:r>
      </m:oMath>
      <w:r>
        <w:rPr>
          <w:i/>
          <w:iCs/>
        </w:rPr>
        <w:t xml:space="preserve">–</w:t>
      </w:r>
      <m:oMath>
        <m:r>
          <m:t>0.054</m:t>
        </m:r>
      </m:oMath>
      <w:r>
        <w:rPr>
          <w:i/>
          <w:iCs/>
        </w:rPr>
        <w:t xml:space="preserve"> </w:t>
      </w:r>
      <w:r>
        <w:rPr>
          <w:i/>
          <w:iCs/>
        </w:rPr>
        <w:t xml:space="preserve">vs</w:t>
      </w:r>
      <w:r>
        <w:rPr>
          <w:i/>
          <w:iCs/>
        </w:rPr>
        <w:t xml:space="preserve"> </w:t>
      </w:r>
      <m:oMath>
        <m:r>
          <m:rPr>
            <m:nor/>
            <m:sty m:val="p"/>
          </m:rPr>
          <m:t>rev</m:t>
        </m:r>
        <m:r>
          <m:rPr>
            <m:sty m:val="p"/>
          </m:rPr>
          <m:t>=</m:t>
        </m:r>
        <m:r>
          <m:t>0.094</m:t>
        </m:r>
      </m:oMath>
      <w:r>
        <w:rPr>
          <w:i/>
          <w:iCs/>
        </w:rPr>
        <w:t xml:space="preserve"> </w:t>
      </w:r>
      <w:r>
        <w:rPr>
          <w:i/>
          <w:iCs/>
        </w:rPr>
        <w:t xml:space="preserve">pour H-DeepBandit) démontre que la connaissance linguistique seule est insuffisante pour maximiser des objectifs économiques quantifiés — ce qui justifie l’approche hybride bandit sémantique proposée.</w:t>
      </w:r>
    </w:p>
    <w:bookmarkEnd w:id="71"/>
    <w:bookmarkEnd w:id="72"/>
    <w:bookmarkEnd w:id="73"/>
    <w:bookmarkStart w:id="84" w:name="sec:politiques_moo"/>
    <w:p>
      <w:pPr>
        <w:pStyle w:val="Heading3"/>
      </w:pPr>
      <w:r>
        <w:t xml:space="preserve">2.2.2 Stratégies d’Optimisation (Politiques MOO)</w:t>
      </w:r>
    </w:p>
    <w:p>
      <w:pPr>
        <w:pStyle w:val="FirstParagraph"/>
      </w:pPr>
      <w:r>
        <w:t xml:space="preserve">Une fois les estimations</w:t>
      </w:r>
      <w:r>
        <w:t xml:space="preserve"> </w:t>
      </w:r>
      <m:oMath>
        <m:sSubSup>
          <m:e>
            <m:acc>
              <m:accPr>
                <m:chr m:val="̂"/>
              </m:accPr>
              <m:e>
                <m:r>
                  <m:t>μ</m:t>
                </m:r>
              </m:e>
            </m:acc>
          </m:e>
          <m:sub>
            <m:r>
              <m:t>t</m:t>
            </m:r>
            <m:r>
              <m:rPr>
                <m:sty m:val="p"/>
              </m:rPr>
              <m:t>,</m:t>
            </m:r>
            <m:r>
              <m:t>k</m:t>
            </m:r>
          </m:sub>
          <m:sup>
            <m:r>
              <m:rPr>
                <m:nor/>
                <m:sty m:val="p"/>
              </m:rPr>
              <m:t>CTR</m:t>
            </m:r>
          </m:sup>
        </m:sSubSup>
      </m:oMath>
      <w:r>
        <w:t xml:space="preserve"> </w:t>
      </w:r>
      <w:r>
        <w:t xml:space="preserve">et</w:t>
      </w:r>
      <w:r>
        <w:t xml:space="preserve"> </w:t>
      </w:r>
      <m:oMath>
        <m:sSubSup>
          <m:e>
            <m:acc>
              <m:accPr>
                <m:chr m:val="̂"/>
              </m:accPr>
              <m:e>
                <m:r>
                  <m:t>μ</m:t>
                </m:r>
              </m:e>
            </m:acc>
          </m:e>
          <m:sub>
            <m:r>
              <m:t>t</m:t>
            </m:r>
            <m:r>
              <m:rPr>
                <m:sty m:val="p"/>
              </m:rPr>
              <m:t>,</m:t>
            </m:r>
            <m:r>
              <m:t>k</m:t>
            </m:r>
          </m:sub>
          <m:sup>
            <m:r>
              <m:rPr>
                <m:nor/>
                <m:sty m:val="p"/>
              </m:rPr>
              <m:t>VAL</m:t>
            </m:r>
          </m:sup>
        </m:sSubSup>
      </m:oMath>
      <w:r>
        <w:t xml:space="preserve"> </w:t>
      </w:r>
      <w:r>
        <w:t xml:space="preserve">obtenues par l’agent, une</w:t>
      </w:r>
      <w:r>
        <w:t xml:space="preserve"> </w:t>
      </w:r>
      <w:r>
        <w:rPr>
          <w:i/>
          <w:iCs/>
        </w:rPr>
        <w:t xml:space="preserve">politique MOO</w:t>
      </w:r>
      <w:r>
        <w:t xml:space="preserve"> </w:t>
      </w:r>
      <w:r>
        <w:t xml:space="preserve">sélectionne l’annonce qui réalise le meilleur compromis entre les objectifs. Nous présentons les dix politiques étudiées, regroupées en trois catégories.</w:t>
      </w:r>
    </w:p>
    <w:bookmarkStart w:id="77" w:name="méthodes-exactes-classiques"/>
    <w:p>
      <w:pPr>
        <w:pStyle w:val="Heading4"/>
      </w:pPr>
      <w:r>
        <w:t xml:space="preserve">Méthodes Exactes Classiques</w:t>
      </w:r>
    </w:p>
    <w:bookmarkStart w:id="74" w:name="scalarisation-linéaire."/>
    <w:p>
      <w:pPr>
        <w:pStyle w:val="Heading5"/>
      </w:pPr>
      <w:r>
        <w:t xml:space="preserve">Scalarisation Linéaire.</w:t>
      </w:r>
    </w:p>
    <w:p>
      <w:pPr>
        <w:pStyle w:val="FirstParagraph"/>
      </w:pPr>
      <w:r>
        <w:t xml:space="preserve">La méthode la plus intuitive agrège les objectifs en un score scalaire unique :</w:t>
      </w:r>
    </w:p>
    <w:p>
      <w:pPr>
        <w:pStyle w:val="BodyText"/>
      </w:pPr>
      <m:oMathPara>
        <m:oMathParaPr>
          <m:jc m:val="center"/>
        </m:oMathParaPr>
        <m:oMath>
          <m:sSup>
            <m:e>
              <m:r>
                <m:t>a</m:t>
              </m:r>
            </m:e>
            <m:sup>
              <m:r>
                <m:rPr>
                  <m:sty m:val="p"/>
                </m:rPr>
                <m:t>*</m:t>
              </m:r>
            </m:sup>
          </m:sSup>
          <m:r>
            <m:rPr>
              <m:sty m:val="p"/>
            </m:rPr>
            <m:t>=</m:t>
          </m:r>
          <m:r>
            <m:rPr>
              <m:sty m:val="p"/>
            </m:rPr>
            <m:t>arg</m:t>
          </m:r>
          <m:limLow>
            <m:e>
              <m:r>
                <m:rPr>
                  <m:sty m:val="p"/>
                </m:rPr>
                <m:t>max</m:t>
              </m:r>
            </m:e>
            <m:lim>
              <m:r>
                <m:t>a</m:t>
              </m:r>
              <m:r>
                <m:rPr>
                  <m:sty m:val="p"/>
                </m:rPr>
                <m:t>∈</m:t>
              </m:r>
              <m:r>
                <m:rPr>
                  <m:sty m:val="p"/>
                </m:rPr>
                <m:t>{</m:t>
              </m:r>
              <m:r>
                <m:t>1</m:t>
              </m:r>
              <m:r>
                <m:rPr>
                  <m:sty m:val="p"/>
                </m:rPr>
                <m:t>,</m:t>
              </m:r>
              <m:r>
                <m:rPr>
                  <m:sty m:val="p"/>
                </m:rPr>
                <m:t>…</m:t>
              </m:r>
              <m:r>
                <m:rPr>
                  <m:sty m:val="p"/>
                </m:rPr>
                <m:t>,</m:t>
              </m:r>
              <m:r>
                <m:t>K</m:t>
              </m:r>
              <m:r>
                <m:rPr>
                  <m:sty m:val="p"/>
                </m:rPr>
                <m:t>}</m:t>
              </m:r>
            </m:lim>
          </m:limLow>
          <m:nary>
            <m:naryPr>
              <m:chr m:val="∑"/>
              <m:limLoc m:val="undOvr"/>
              <m:subHide m:val="off"/>
              <m:supHide m:val="off"/>
            </m:naryPr>
            <m:sub>
              <m:r>
                <m:t>i</m:t>
              </m:r>
              <m:r>
                <m:rPr>
                  <m:sty m:val="p"/>
                </m:rPr>
                <m:t>=</m:t>
              </m:r>
              <m:r>
                <m:t>1</m:t>
              </m:r>
            </m:sub>
            <m:sup>
              <m:r>
                <m:t>m</m:t>
              </m:r>
            </m:sup>
            <m:e>
              <m:sSub>
                <m:e>
                  <m:r>
                    <m:t>w</m:t>
                  </m:r>
                </m:e>
                <m:sub>
                  <m:r>
                    <m:t>i</m:t>
                  </m:r>
                </m:sub>
              </m:sSub>
            </m:e>
          </m:nary>
          <m:r>
            <m:rPr>
              <m:sty m:val="p"/>
            </m:rPr>
            <m:t>⋅</m:t>
          </m:r>
          <m:sSub>
            <m:e>
              <m:r>
                <m:t>f</m:t>
              </m:r>
            </m:e>
            <m:sub>
              <m:r>
                <m:t>i</m:t>
              </m:r>
            </m:sub>
          </m:sSub>
          <m:r>
            <m:rPr>
              <m:sty m:val="p"/>
            </m:rPr>
            <m:t>(</m:t>
          </m:r>
          <m:r>
            <m:t>a</m:t>
          </m:r>
          <m:r>
            <m:rPr>
              <m:sty m:val="p"/>
            </m:rPr>
            <m:t>∣</m:t>
          </m:r>
          <m:sSub>
            <m:e>
              <m:r>
                <m:rPr>
                  <m:sty m:val="b"/>
                </m:rPr>
                <m:t>x</m:t>
              </m:r>
            </m:e>
            <m:sub>
              <m:r>
                <m:t>u</m:t>
              </m:r>
            </m:sub>
          </m:sSub>
          <m:r>
            <m:rPr>
              <m:sty m:val="p"/>
            </m:rPr>
            <m:t>)</m:t>
          </m:r>
          <m:r>
            <m:t>  </m:t>
          </m:r>
          <m:r>
            <m:t>  </m:t>
          </m:r>
          <m:r>
            <m:t>  </m:t>
          </m:r>
          <m:r>
            <m:rPr>
              <m:nor/>
              <m:sty m:val="p"/>
            </m:rPr>
            <m:t>(2.8)</m:t>
          </m:r>
        </m:oMath>
      </m:oMathPara>
    </w:p>
    <w:p>
      <w:pPr>
        <w:pStyle w:val="FirstParagraph"/>
      </w:pPr>
      <w:r>
        <w:t xml:space="preserve"> </w:t>
      </w:r>
      <w:r>
        <w:t xml:space="preserve">où</w:t>
      </w:r>
      <w:r>
        <w:t xml:space="preserve"> </w:t>
      </w:r>
      <m:oMath>
        <m:r>
          <m:rPr>
            <m:sty m:val="b"/>
          </m:rPr>
          <m:t>w</m:t>
        </m:r>
        <m:r>
          <m:rPr>
            <m:sty m:val="p"/>
          </m:rPr>
          <m:t>=</m:t>
        </m:r>
        <m:r>
          <m:rPr>
            <m:sty m:val="p"/>
          </m:rPr>
          <m:t>(</m:t>
        </m:r>
        <m:sSub>
          <m:e>
            <m:r>
              <m:t>w</m:t>
            </m:r>
          </m:e>
          <m:sub>
            <m:r>
              <m:t>1</m:t>
            </m:r>
          </m:sub>
        </m:sSub>
        <m:r>
          <m:rPr>
            <m:sty m:val="p"/>
          </m:rPr>
          <m:t>,</m:t>
        </m:r>
        <m:sSub>
          <m:e>
            <m:r>
              <m:t>w</m:t>
            </m:r>
          </m:e>
          <m:sub>
            <m:r>
              <m:t>2</m:t>
            </m:r>
          </m:sub>
        </m:sSub>
        <m:r>
          <m:rPr>
            <m:sty m:val="p"/>
          </m:rPr>
          <m:t>)</m:t>
        </m:r>
      </m:oMath>
      <w:r>
        <w:t xml:space="preserve"> </w:t>
      </w:r>
      <w:r>
        <w:t xml:space="preserve">est un vecteur de poids défini par les priorités métier. Cette méthode est simple et rapide (</w:t>
      </w:r>
      <m:oMath>
        <m:r>
          <m:t>O</m:t>
        </m:r>
        <m:r>
          <m:rPr>
            <m:sty m:val="p"/>
          </m:rPr>
          <m:t>(</m:t>
        </m:r>
        <m:r>
          <m:t>K</m:t>
        </m:r>
        <m:r>
          <m:rPr>
            <m:sty m:val="p"/>
          </m:rPr>
          <m:t>)</m:t>
        </m:r>
      </m:oMath>
      <w:r>
        <w:t xml:space="preserve">) mais ne peut atteindre que les solutions Pareto situées sur la partie convexe du front</w:t>
      </w:r>
      <w:r>
        <w:t xml:space="preserve"> </w:t>
      </w:r>
      <w:r>
        <w:t xml:space="preserve">[</w:t>
      </w:r>
      <w:hyperlink w:anchor="ref-marler2004survey">
        <w:r>
          <w:rPr>
            <w:rStyle w:val="Hyperlink"/>
          </w:rPr>
          <w:t xml:space="preserve">Marler and Arora 2004</w:t>
        </w:r>
      </w:hyperlink>
      <w:r>
        <w:t xml:space="preserve">]</w:t>
      </w:r>
      <w:r>
        <w:t xml:space="preserve">.</w:t>
      </w:r>
    </w:p>
    <w:bookmarkEnd w:id="74"/>
    <w:bookmarkStart w:id="75" w:name="varepsilon-contrainte."/>
    <w:p>
      <w:pPr>
        <w:pStyle w:val="Heading5"/>
      </w:pPr>
      <m:oMath>
        <m:r>
          <m:t>ε</m:t>
        </m:r>
      </m:oMath>
      <w:r>
        <w:t xml:space="preserve">-Contrainte.</w:t>
      </w:r>
    </w:p>
    <w:p>
      <w:pPr>
        <w:pStyle w:val="FirstParagraph"/>
      </w:pPr>
      <w:r>
        <w:t xml:space="preserve">Cette méthode maximise un objectif principal sous contrainte de satisfaction d’un seuil minimal pour les autres objectifs :</w:t>
      </w:r>
    </w:p>
    <w:p>
      <w:pPr>
        <w:pStyle w:val="BodyText"/>
      </w:pPr>
      <m:oMathPara>
        <m:oMathParaPr>
          <m:jc m:val="center"/>
        </m:oMathParaPr>
        <m:oMath>
          <m:limLow>
            <m:e>
              <m:r>
                <m:rPr>
                  <m:sty m:val="p"/>
                </m:rPr>
                <m:t>max</m:t>
              </m:r>
            </m:e>
            <m:lim>
              <m:r>
                <m:t>a</m:t>
              </m:r>
            </m:lim>
          </m:limLow>
          <m:r>
            <m:t> </m:t>
          </m:r>
          <m:sSub>
            <m:e>
              <m:r>
                <m:t>f</m:t>
              </m:r>
            </m:e>
            <m:sub>
              <m:r>
                <m:t>1</m:t>
              </m:r>
            </m:sub>
          </m:sSub>
          <m:r>
            <m:rPr>
              <m:sty m:val="p"/>
            </m:rPr>
            <m:t>(</m:t>
          </m:r>
          <m:r>
            <m:t>a</m:t>
          </m:r>
          <m:r>
            <m:rPr>
              <m:sty m:val="p"/>
            </m:rPr>
            <m:t>∣</m:t>
          </m:r>
          <m:sSub>
            <m:e>
              <m:r>
                <m:rPr>
                  <m:sty m:val="b"/>
                </m:rPr>
                <m:t>x</m:t>
              </m:r>
            </m:e>
            <m:sub>
              <m:r>
                <m:t>u</m:t>
              </m:r>
            </m:sub>
          </m:sSub>
          <m:r>
            <m:rPr>
              <m:sty m:val="p"/>
            </m:rPr>
            <m:t>)</m:t>
          </m:r>
          <m:r>
            <m:t> </m:t>
          </m:r>
          <m:r>
            <m:rPr>
              <m:nor/>
              <m:sty m:val="p"/>
            </m:rPr>
            <m:t>sous contrainte</m:t>
          </m:r>
          <m:r>
            <m:t> </m:t>
          </m:r>
          <m:sSub>
            <m:e>
              <m:r>
                <m:t>f</m:t>
              </m:r>
            </m:e>
            <m:sub>
              <m:r>
                <m:t>2</m:t>
              </m:r>
            </m:sub>
          </m:sSub>
          <m:r>
            <m:rPr>
              <m:sty m:val="p"/>
            </m:rPr>
            <m:t>(</m:t>
          </m:r>
          <m:r>
            <m:t>a</m:t>
          </m:r>
          <m:r>
            <m:rPr>
              <m:sty m:val="p"/>
            </m:rPr>
            <m:t>∣</m:t>
          </m:r>
          <m:sSub>
            <m:e>
              <m:r>
                <m:rPr>
                  <m:sty m:val="b"/>
                </m:rPr>
                <m:t>x</m:t>
              </m:r>
            </m:e>
            <m:sub>
              <m:r>
                <m:t>u</m:t>
              </m:r>
            </m:sub>
          </m:sSub>
          <m:r>
            <m:rPr>
              <m:sty m:val="p"/>
            </m:rPr>
            <m:t>)</m:t>
          </m:r>
          <m:r>
            <m:rPr>
              <m:sty m:val="p"/>
            </m:rPr>
            <m:t>≥</m:t>
          </m:r>
          <m:r>
            <m:t>ε</m:t>
          </m:r>
          <m:r>
            <m:t>  </m:t>
          </m:r>
          <m:r>
            <m:t>  </m:t>
          </m:r>
          <m:r>
            <m:t>  </m:t>
          </m:r>
          <m:r>
            <m:rPr>
              <m:nor/>
              <m:sty m:val="p"/>
            </m:rPr>
            <m:t>(2.9)</m:t>
          </m:r>
        </m:oMath>
      </m:oMathPara>
    </w:p>
    <w:p>
      <w:pPr>
        <w:pStyle w:val="FirstParagraph"/>
      </w:pPr>
      <w:r>
        <w:t xml:space="preserve"> </w:t>
      </w:r>
      <w:r>
        <w:t xml:space="preserve">Contrairement à la scalarisation, cette approche est capable d’atteindre</w:t>
      </w:r>
      <w:r>
        <w:t xml:space="preserve"> </w:t>
      </w:r>
      <w:r>
        <w:rPr>
          <w:i/>
          <w:iCs/>
        </w:rPr>
        <w:t xml:space="preserve">toutes</w:t>
      </w:r>
      <w:r>
        <w:t xml:space="preserve"> </w:t>
      </w:r>
      <w:r>
        <w:t xml:space="preserve">les solutions Pareto, y compris dans les régions non-convexes du front</w:t>
      </w:r>
      <w:r>
        <w:t xml:space="preserve"> </w:t>
      </w:r>
      <w:r>
        <w:t xml:space="preserve">[</w:t>
      </w:r>
      <w:hyperlink w:anchor="ref-ehrgott2005multicriteria">
        <w:r>
          <w:rPr>
            <w:rStyle w:val="Hyperlink"/>
          </w:rPr>
          <w:t xml:space="preserve">Ehrgott 2005</w:t>
        </w:r>
      </w:hyperlink>
      <w:r>
        <w:t xml:space="preserve">]</w:t>
      </w:r>
      <w:r>
        <w:t xml:space="preserve">.</w:t>
      </w:r>
    </w:p>
    <w:bookmarkEnd w:id="75"/>
    <w:bookmarkStart w:id="76" w:name="pareto-chebyshev."/>
    <w:p>
      <w:pPr>
        <w:pStyle w:val="Heading5"/>
      </w:pPr>
      <w:r>
        <w:t xml:space="preserve">Pareto-Chebyshev.</w:t>
      </w:r>
    </w:p>
    <w:p>
      <w:pPr>
        <w:pStyle w:val="FirstParagraph"/>
      </w:pPr>
      <w:r>
        <w:t xml:space="preserve">Cette méthode minimise la distance de Chebyshev (distance</w:t>
      </w:r>
      <w:r>
        <w:t xml:space="preserve"> </w:t>
      </w:r>
      <m:oMath>
        <m:sSub>
          <m:e>
            <m:r>
              <m:t>L</m:t>
            </m:r>
          </m:e>
          <m:sub>
            <m:r>
              <m:rPr>
                <m:sty m:val="p"/>
              </m:rPr>
              <m:t>∞</m:t>
            </m:r>
          </m:sub>
        </m:sSub>
      </m:oMath>
      <w:r>
        <w:t xml:space="preserve">) au point idéal</w:t>
      </w:r>
      <w:r>
        <w:t xml:space="preserve"> </w:t>
      </w:r>
      <m:oMath>
        <m:sSup>
          <m:e>
            <m:r>
              <m:rPr>
                <m:sty m:val="b"/>
              </m:rPr>
              <m:t>z</m:t>
            </m:r>
          </m:e>
          <m:sup>
            <m:r>
              <m:rPr>
                <m:sty m:val="p"/>
              </m:rPr>
              <m:t>*</m:t>
            </m:r>
          </m:sup>
        </m:sSup>
      </m:oMath>
      <w:r>
        <w:t xml:space="preserve">, en se restreignant aux solutions non-dominées :</w:t>
      </w:r>
    </w:p>
    <w:p>
      <w:pPr>
        <w:pStyle w:val="BodyText"/>
      </w:pPr>
      <m:oMathPara>
        <m:oMathParaPr>
          <m:jc m:val="center"/>
        </m:oMathParaPr>
        <m:oMath>
          <m:sSup>
            <m:e>
              <m:r>
                <m:t>a</m:t>
              </m:r>
            </m:e>
            <m:sup>
              <m:r>
                <m:rPr>
                  <m:sty m:val="p"/>
                </m:rPr>
                <m:t>*</m:t>
              </m:r>
            </m:sup>
          </m:sSup>
          <m:r>
            <m:rPr>
              <m:sty m:val="p"/>
            </m:rPr>
            <m:t>=</m:t>
          </m:r>
          <m:r>
            <m:rPr>
              <m:sty m:val="p"/>
            </m:rPr>
            <m:t>arg</m:t>
          </m:r>
          <m:limLow>
            <m:e>
              <m:r>
                <m:rPr>
                  <m:sty m:val="p"/>
                </m:rPr>
                <m:t>min</m:t>
              </m:r>
            </m:e>
            <m:lim>
              <m:r>
                <m:t>a</m:t>
              </m:r>
              <m:r>
                <m:rPr>
                  <m:sty m:val="p"/>
                </m:rPr>
                <m:t>∈</m:t>
              </m:r>
              <m:r>
                <m:rPr>
                  <m:scr m:val="script"/>
                  <m:sty m:val="p"/>
                </m:rPr>
                <m:t>P</m:t>
              </m:r>
            </m:lim>
          </m:limLow>
          <m:r>
            <m:t> </m:t>
          </m:r>
          <m:limLow>
            <m:e>
              <m:r>
                <m:rPr>
                  <m:sty m:val="p"/>
                </m:rPr>
                <m:t>max</m:t>
              </m:r>
            </m:e>
            <m:lim>
              <m:r>
                <m:t>i</m:t>
              </m:r>
            </m:lim>
          </m:limLow>
          <m:d>
            <m:dPr>
              <m:begChr m:val="|"/>
              <m:sepChr m:val=""/>
              <m:endChr m:val="|"/>
              <m:grow/>
            </m:dPr>
            <m:e>
              <m:f>
                <m:fPr>
                  <m:type m:val="bar"/>
                </m:fPr>
                <m:num>
                  <m:sSub>
                    <m:e>
                      <m:r>
                        <m:t>f</m:t>
                      </m:r>
                    </m:e>
                    <m:sub>
                      <m:r>
                        <m:t>i</m:t>
                      </m:r>
                    </m:sub>
                  </m:sSub>
                  <m:r>
                    <m:rPr>
                      <m:sty m:val="p"/>
                    </m:rPr>
                    <m:t>(</m:t>
                  </m:r>
                  <m:r>
                    <m:t>a</m:t>
                  </m:r>
                  <m:r>
                    <m:rPr>
                      <m:sty m:val="p"/>
                    </m:rPr>
                    <m:t>)</m:t>
                  </m:r>
                  <m:r>
                    <m:rPr>
                      <m:sty m:val="p"/>
                    </m:rPr>
                    <m:t>−</m:t>
                  </m:r>
                  <m:sSubSup>
                    <m:e>
                      <m:r>
                        <m:t>z</m:t>
                      </m:r>
                    </m:e>
                    <m:sub>
                      <m:r>
                        <m:t>i</m:t>
                      </m:r>
                    </m:sub>
                    <m:sup>
                      <m:r>
                        <m:rPr>
                          <m:sty m:val="p"/>
                        </m:rPr>
                        <m:t>*</m:t>
                      </m:r>
                    </m:sup>
                  </m:sSubSup>
                </m:num>
                <m:den>
                  <m:sSubSup>
                    <m:e>
                      <m:r>
                        <m:t>z</m:t>
                      </m:r>
                    </m:e>
                    <m:sub>
                      <m:r>
                        <m:t>i</m:t>
                      </m:r>
                    </m:sub>
                    <m:sup>
                      <m:r>
                        <m:rPr>
                          <m:sty m:val="p"/>
                        </m:rPr>
                        <m:t>*</m:t>
                      </m:r>
                    </m:sup>
                  </m:sSubSup>
                  <m:r>
                    <m:rPr>
                      <m:sty m:val="p"/>
                    </m:rPr>
                    <m:t>−</m:t>
                  </m:r>
                  <m:sSubSup>
                    <m:e>
                      <m:r>
                        <m:t>z</m:t>
                      </m:r>
                    </m:e>
                    <m:sub>
                      <m:r>
                        <m:t>i</m:t>
                      </m:r>
                    </m:sub>
                    <m:sup>
                      <m:r>
                        <m:rPr>
                          <m:nor/>
                          <m:sty m:val="p"/>
                        </m:rPr>
                        <m:t>nadir</m:t>
                      </m:r>
                    </m:sup>
                  </m:sSubSup>
                </m:den>
              </m:f>
            </m:e>
          </m:d>
          <m:r>
            <m:t>  </m:t>
          </m:r>
          <m:r>
            <m:t>  </m:t>
          </m:r>
          <m:r>
            <m:t>  </m:t>
          </m:r>
          <m:r>
            <m:rPr>
              <m:nor/>
              <m:sty m:val="p"/>
            </m:rPr>
            <m:t>(2.10)</m:t>
          </m:r>
        </m:oMath>
      </m:oMathPara>
    </w:p>
    <w:p>
      <w:pPr>
        <w:pStyle w:val="FirstParagraph"/>
      </w:pPr>
      <w:r>
        <w:t xml:space="preserve"> </w:t>
      </w:r>
      <w:r>
        <w:t xml:space="preserve">où</w:t>
      </w:r>
      <w:r>
        <w:t xml:space="preserve"> </w:t>
      </w:r>
      <m:oMath>
        <m:r>
          <m:rPr>
            <m:scr m:val="script"/>
            <m:sty m:val="p"/>
          </m:rPr>
          <m:t>P</m:t>
        </m:r>
      </m:oMath>
      <w:r>
        <w:t xml:space="preserve"> </w:t>
      </w:r>
      <w:r>
        <w:t xml:space="preserve">est l’ensemble des solutions Pareto-optimales.</w:t>
      </w:r>
    </w:p>
    <w:bookmarkEnd w:id="76"/>
    <w:bookmarkEnd w:id="77"/>
    <w:bookmarkStart w:id="79" w:name="méthodes-exactes-avancées"/>
    <w:p>
      <w:pPr>
        <w:pStyle w:val="Heading4"/>
      </w:pPr>
      <w:r>
        <w:t xml:space="preserve">Méthodes Exactes Avancées</w:t>
      </w:r>
    </w:p>
    <w:p>
      <w:pPr>
        <w:pStyle w:val="FirstParagraph"/>
      </w:pPr>
      <w:r>
        <w:t xml:space="preserve">Cinq méthodes exactes avancées complètent l’arsenal d’optimisation :</w:t>
      </w:r>
    </w:p>
    <w:bookmarkStart w:id="78" w:name="tab:exact_moo"/>
    <w:p>
      <w:pPr>
        <w:pStyle w:val="TableCaption"/>
      </w:pPr>
      <w:r>
        <w:t xml:space="preserve">TABLEAU 2.3  MéTHODES EXACTES AVANCéES POUR L’OPTIMISATION MULTI-OBJECTIF</w:t>
      </w:r>
    </w:p>
    <w:tbl>
      <w:tblPr>
        <w:tblStyle w:val="Table"/>
        <w:tblW w:type="auto" w:w="0"/>
        <w:tblLook w:firstRow="1" w:lastRow="0" w:firstColumn="0" w:lastColumn="0" w:noHBand="0" w:noVBand="0" w:val="0020"/>
        <w:tblCaption w:val="TABLEAU 2.3  MéTHODES EXACTES AVANCéES POUR L’OPTIMISATION MULTI-OBJECTIF"/>
      </w:tblPr>
      <w:tblGrid>
        <w:gridCol w:w="3960"/>
        <w:gridCol w:w="3960"/>
      </w:tblGrid>
      <w:tr>
        <w:trPr>
          <w:tblHeader w:val="on"/>
        </w:trPr>
        <w:tc>
          <w:tcPr/>
          <w:p>
            <w:pPr>
              <w:pStyle w:val="Compact"/>
              <w:jc w:val="left"/>
            </w:pPr>
            <w:r>
              <w:rPr>
                <w:b/>
                <w:bCs/>
              </w:rPr>
              <w:t xml:space="preserve">Méthode</w:t>
            </w:r>
          </w:p>
        </w:tc>
        <w:tc>
          <w:tcPr/>
          <w:p>
            <w:pPr>
              <w:pStyle w:val="Compact"/>
              <w:jc w:val="left"/>
            </w:pPr>
            <w:r>
              <w:rPr>
                <w:b/>
                <w:bCs/>
              </w:rPr>
              <w:t xml:space="preserve">Principe</w:t>
            </w:r>
          </w:p>
        </w:tc>
      </w:tr>
      <w:tr>
        <w:tc>
          <w:tcPr/>
          <w:p>
            <w:pPr>
              <w:pStyle w:val="Compact"/>
              <w:jc w:val="left"/>
            </w:pPr>
            <w:r>
              <w:t xml:space="preserve">MOBB</w:t>
            </w:r>
          </w:p>
        </w:tc>
        <w:tc>
          <w:tcPr/>
          <w:p>
            <w:pPr>
              <w:pStyle w:val="Compact"/>
              <w:jc w:val="left"/>
            </w:pPr>
            <w:r>
              <w:rPr>
                <w:i/>
                <w:iCs/>
              </w:rPr>
              <w:t xml:space="preserve">Multi-Objective Branch and Bound</w:t>
            </w:r>
            <w:r>
              <w:t xml:space="preserve"> </w:t>
            </w:r>
            <w:r>
              <w:t xml:space="preserve">: exploration de l’arbre de décision avec élagage des branches dominées.</w:t>
            </w:r>
          </w:p>
        </w:tc>
      </w:tr>
      <w:tr>
        <w:tc>
          <w:tcPr/>
          <w:p>
            <w:pPr>
              <w:pStyle w:val="Compact"/>
              <w:jc w:val="left"/>
            </w:pPr>
            <w:r>
              <w:t xml:space="preserve">TwoPhase</w:t>
            </w:r>
          </w:p>
        </w:tc>
        <w:tc>
          <w:tcPr/>
          <w:p>
            <w:pPr>
              <w:pStyle w:val="Compact"/>
              <w:jc w:val="left"/>
            </w:pPr>
            <w:r>
              <w:t xml:space="preserve">Phase 1 : identification du front de Pareto complet. Phase 2 : sélection de la solution préférée.</w:t>
            </w:r>
          </w:p>
        </w:tc>
      </w:tr>
      <w:tr>
        <w:tc>
          <w:tcPr/>
          <w:p>
            <w:pPr>
              <w:pStyle w:val="Compact"/>
              <w:jc w:val="left"/>
            </w:pPr>
            <w:r>
              <w:t xml:space="preserve">OSS</w:t>
            </w:r>
          </w:p>
        </w:tc>
        <w:tc>
          <w:tcPr/>
          <w:p>
            <w:pPr>
              <w:pStyle w:val="Compact"/>
              <w:jc w:val="left"/>
            </w:pPr>
            <w:r>
              <w:rPr>
                <w:i/>
                <w:iCs/>
              </w:rPr>
              <w:t xml:space="preserve">Optimal Scalarization Search</w:t>
            </w:r>
            <w:r>
              <w:t xml:space="preserve"> </w:t>
            </w:r>
            <w:r>
              <w:t xml:space="preserve">: recherche de la pondération optimale dans l’espace des poids.</w:t>
            </w:r>
          </w:p>
        </w:tc>
      </w:tr>
      <w:tr>
        <w:tc>
          <w:tcPr/>
          <w:p>
            <w:pPr>
              <w:pStyle w:val="Compact"/>
              <w:jc w:val="left"/>
            </w:pPr>
            <w:r>
              <w:t xml:space="preserve">MODP</w:t>
            </w:r>
          </w:p>
        </w:tc>
        <w:tc>
          <w:tcPr/>
          <w:p>
            <w:pPr>
              <w:pStyle w:val="Compact"/>
              <w:jc w:val="left"/>
            </w:pPr>
            <w:r>
              <w:rPr>
                <w:i/>
                <w:iCs/>
              </w:rPr>
              <w:t xml:space="preserve">Multi-Objective Dynamic Programming</w:t>
            </w:r>
            <w:r>
              <w:t xml:space="preserve"> </w:t>
            </w:r>
            <w:r>
              <w:t xml:space="preserve">: programmation dynamique adaptée au cas multi-objectif.</w:t>
            </w:r>
          </w:p>
        </w:tc>
      </w:tr>
      <w:tr>
        <w:tc>
          <w:tcPr/>
          <w:p>
            <w:pPr>
              <w:pStyle w:val="Compact"/>
              <w:jc w:val="left"/>
            </w:pPr>
            <w:r>
              <w:t xml:space="preserve">MOA*</w:t>
            </w:r>
          </w:p>
        </w:tc>
        <w:tc>
          <w:tcPr/>
          <w:p>
            <w:pPr>
              <w:pStyle w:val="Compact"/>
              <w:jc w:val="left"/>
            </w:pPr>
            <w:r>
              <w:t xml:space="preserve">Extension de l’algorithme A* pour la navigation multi-objectif dans l’espace des solutions.</w:t>
            </w:r>
          </w:p>
        </w:tc>
      </w:tr>
    </w:tbl>
    <w:bookmarkEnd w:id="78"/>
    <w:p>
      <w:pPr>
        <w:pStyle w:val="BodyText"/>
      </w:pPr>
      <w:r>
        <w:t xml:space="preserve">Ces méthodes garantissent l’optimalité de la solution mais présentent une complexité temporelle exponentielle dans le pire des cas</w:t>
      </w:r>
      <w:r>
        <w:t xml:space="preserve"> </w:t>
      </w:r>
      <w:r>
        <w:t xml:space="preserve">[</w:t>
      </w:r>
      <w:hyperlink w:anchor="ref-ehrgott2000survey">
        <w:r>
          <w:rPr>
            <w:rStyle w:val="Hyperlink"/>
          </w:rPr>
          <w:t xml:space="preserve">Ehrgott and Gandibleux 2000</w:t>
        </w:r>
      </w:hyperlink>
      <w:r>
        <w:t xml:space="preserve">]</w:t>
      </w:r>
      <w:r>
        <w:t xml:space="preserve">. Elles sont principalement utiles comme</w:t>
      </w:r>
      <w:r>
        <w:t xml:space="preserve"> </w:t>
      </w:r>
      <w:r>
        <w:rPr>
          <w:i/>
          <w:iCs/>
        </w:rPr>
        <w:t xml:space="preserve">vérité terrain</w:t>
      </w:r>
      <w:r>
        <w:t xml:space="preserve"> </w:t>
      </w:r>
      <w:r>
        <w:t xml:space="preserve">pour évaluer la qualité des méthodes approximatives.</w:t>
      </w:r>
    </w:p>
    <w:bookmarkEnd w:id="79"/>
    <w:bookmarkStart w:id="83" w:name="métaheuristiques"/>
    <w:p>
      <w:pPr>
        <w:pStyle w:val="Heading4"/>
      </w:pPr>
      <w:r>
        <w:t xml:space="preserve">Métaheuristiques</w:t>
      </w:r>
    </w:p>
    <w:bookmarkStart w:id="80" w:name="nsga-ii"/>
    <w:p>
      <w:pPr>
        <w:pStyle w:val="Heading5"/>
      </w:pPr>
      <w:r>
        <w:t xml:space="preserve">NSGA-II</w:t>
      </w:r>
    </w:p>
    <w:p>
      <w:pPr>
        <w:pStyle w:val="FirstParagraph"/>
      </w:pPr>
      <w:r>
        <w:t xml:space="preserve">[</w:t>
      </w:r>
      <w:hyperlink w:anchor="ref-deb2002fast">
        <w:r>
          <w:rPr>
            <w:rStyle w:val="Hyperlink"/>
          </w:rPr>
          <w:t xml:space="preserve">Deb et al. 2002</w:t>
        </w:r>
      </w:hyperlink>
      <w:r>
        <w:t xml:space="preserve">]</w:t>
      </w:r>
      <w:r>
        <w:t xml:space="preserve"> </w:t>
      </w:r>
      <w:r>
        <w:t xml:space="preserve">: l’algorithme génétique multi-objectif le plus utilisé. Il maintient une population de solutions candidates et applique :</w:t>
      </w:r>
    </w:p>
    <w:p>
      <w:pPr>
        <w:numPr>
          <w:ilvl w:val="0"/>
          <w:numId w:val="1021"/>
        </w:numPr>
      </w:pPr>
      <w:r>
        <w:rPr>
          <w:b/>
          <w:bCs/>
        </w:rPr>
        <w:t xml:space="preserve">Tri par non-dominance</w:t>
      </w:r>
      <w:r>
        <w:t xml:space="preserve"> </w:t>
      </w:r>
      <w:r>
        <w:t xml:space="preserve">: classement des solutions par rang de Pareto (Front 1, Front 2, etc.).</w:t>
      </w:r>
    </w:p>
    <w:p>
      <w:pPr>
        <w:numPr>
          <w:ilvl w:val="0"/>
          <w:numId w:val="1021"/>
        </w:numPr>
      </w:pPr>
      <w:r>
        <w:rPr>
          <w:b/>
          <w:bCs/>
        </w:rPr>
        <w:t xml:space="preserve">Distance de crowding</w:t>
      </w:r>
      <w:r>
        <w:t xml:space="preserve"> </w:t>
      </w:r>
      <w:r>
        <w:t xml:space="preserve">: favorise la diversité des solutions sur le front pour éviter le regroupement.</w:t>
      </w:r>
    </w:p>
    <w:bookmarkEnd w:id="80"/>
    <w:bookmarkStart w:id="82" w:name="moead"/>
    <w:p>
      <w:pPr>
        <w:pStyle w:val="Heading5"/>
      </w:pPr>
      <w:r>
        <w:t xml:space="preserve">MOEA/D</w:t>
      </w:r>
    </w:p>
    <w:p>
      <w:pPr>
        <w:pStyle w:val="FirstParagraph"/>
      </w:pPr>
      <w:r>
        <w:t xml:space="preserve">[</w:t>
      </w:r>
      <w:hyperlink w:anchor="ref-zhang2007moead">
        <w:r>
          <w:rPr>
            <w:rStyle w:val="Hyperlink"/>
          </w:rPr>
          <w:t xml:space="preserve">Q. Zhang and Li 2007</w:t>
        </w:r>
      </w:hyperlink>
      <w:r>
        <w:t xml:space="preserve">]</w:t>
      </w:r>
      <w:r>
        <w:t xml:space="preserve"> </w:t>
      </w:r>
      <w:r>
        <w:t xml:space="preserve">: décompose le problème multi-objectif en un ensemble de sous-problèmes scalaires résolus simultanément par une population d’agents coopératifs. Chaque sous-problème utilise un vecteur de poids différent, permettant d’approximer l’ensemble du front de Pareto.</w:t>
      </w:r>
    </w:p>
    <w:bookmarkStart w:id="81" w:name="tab:politiques_moo"/>
    <w:p>
      <w:pPr>
        <w:pStyle w:val="TableCaption"/>
      </w:pPr>
      <w:r>
        <w:t xml:space="preserve">TABLEAU 2.4  SYNTHèSE DES 10 POLITIQUES D’OPTIMISATION MULTI-OBJECTIF</w:t>
      </w:r>
    </w:p>
    <w:tbl>
      <w:tblPr>
        <w:tblStyle w:val="Table"/>
        <w:tblW w:type="auto" w:w="0"/>
        <w:tblLook w:firstRow="1" w:lastRow="0" w:firstColumn="0" w:lastColumn="0" w:noHBand="0" w:noVBand="0" w:val="0020"/>
        <w:tblCaption w:val="TABLEAU 2.4  SYNTHèSE DES 10 POLITIQUES D’OPTIMISATION MULTI-OBJECTIF"/>
      </w:tblPr>
      <w:tblGrid>
        <w:gridCol w:w="1980"/>
        <w:gridCol w:w="1980"/>
        <w:gridCol w:w="1980"/>
        <w:gridCol w:w="1980"/>
      </w:tblGrid>
      <w:tr>
        <w:trPr>
          <w:tblHeader w:val="on"/>
        </w:trPr>
        <w:tc>
          <w:tcPr/>
          <w:p>
            <w:pPr>
              <w:pStyle w:val="Compact"/>
              <w:jc w:val="left"/>
            </w:pPr>
            <w:r>
              <w:rPr>
                <w:b/>
                <w:bCs/>
              </w:rPr>
              <w:t xml:space="preserve">Catégorie</w:t>
            </w:r>
          </w:p>
        </w:tc>
        <w:tc>
          <w:tcPr/>
          <w:p>
            <w:pPr>
              <w:pStyle w:val="Compact"/>
              <w:jc w:val="left"/>
            </w:pPr>
            <w:r>
              <w:rPr>
                <w:b/>
                <w:bCs/>
              </w:rPr>
              <w:t xml:space="preserve">Politique</w:t>
            </w:r>
          </w:p>
        </w:tc>
        <w:tc>
          <w:tcPr/>
          <w:p>
            <w:pPr>
              <w:pStyle w:val="Compact"/>
              <w:jc w:val="left"/>
            </w:pPr>
            <w:r>
              <w:rPr>
                <w:b/>
                <w:bCs/>
              </w:rPr>
              <w:t xml:space="preserve">Principe</w:t>
            </w:r>
          </w:p>
        </w:tc>
        <w:tc>
          <w:tcPr/>
          <w:p>
            <w:pPr>
              <w:pStyle w:val="Compact"/>
              <w:jc w:val="center"/>
            </w:pPr>
            <w:r>
              <w:rPr>
                <w:b/>
                <w:bCs/>
              </w:rPr>
              <w:t xml:space="preserve">Optimalité</w:t>
            </w:r>
          </w:p>
        </w:tc>
      </w:tr>
      <w:tr>
        <w:tc>
          <w:tcPr>
            <w:vMerge w:val="restart"/>
          </w:tcPr>
          <w:p>
            <w:pPr>
              <w:pStyle w:val="Compact"/>
              <w:jc w:val="left"/>
            </w:pPr>
            <w:r>
              <w:t xml:space="preserve">Classiques</w:t>
            </w:r>
          </w:p>
        </w:tc>
        <w:tc>
          <w:tcPr/>
          <w:p>
            <w:pPr>
              <w:pStyle w:val="Compact"/>
              <w:jc w:val="left"/>
            </w:pPr>
            <w:r>
              <w:t xml:space="preserve">Scalarisation</w:t>
            </w:r>
          </w:p>
        </w:tc>
        <w:tc>
          <w:tcPr/>
          <w:p>
            <w:pPr>
              <w:pStyle w:val="Compact"/>
              <w:jc w:val="left"/>
            </w:pPr>
            <w:r>
              <w:t xml:space="preserve">Somme pondérée</w:t>
            </w:r>
          </w:p>
        </w:tc>
        <w:tc>
          <w:tcPr/>
          <w:p>
            <w:pPr>
              <w:pStyle w:val="Compact"/>
              <w:jc w:val="center"/>
            </w:pPr>
            <w:r>
              <w:t xml:space="preserve">Convexe seulement</w:t>
            </w:r>
          </w:p>
        </w:tc>
      </w:tr>
      <w:tr>
        <w:tc>
          <w:tcPr>
            <w:gridSpan w:val="1"/>
            <w:vMerge w:val="continue"/>
          </w:tcPr>
          <w:p>
            <w:pPr/>
          </w:p>
        </w:tc>
        <w:tc>
          <w:tcPr/>
          <w:p>
            <w:pPr>
              <w:pStyle w:val="Compact"/>
              <w:jc w:val="left"/>
            </w:pPr>
            <m:oMath>
              <m:r>
                <m:t>ε</m:t>
              </m:r>
            </m:oMath>
            <w:r>
              <w:t xml:space="preserve">-Contrainte</w:t>
            </w:r>
          </w:p>
        </w:tc>
        <w:tc>
          <w:tcPr/>
          <w:p>
            <w:pPr>
              <w:pStyle w:val="Compact"/>
              <w:jc w:val="left"/>
            </w:pPr>
            <w:r>
              <w:t xml:space="preserve">Objectif + seuil</w:t>
            </w:r>
          </w:p>
        </w:tc>
        <w:tc>
          <w:tcPr/>
          <w:p>
            <w:pPr>
              <w:pStyle w:val="Compact"/>
              <w:jc w:val="center"/>
            </w:pPr>
            <w:r>
              <w:t xml:space="preserve">Complète</w:t>
            </w:r>
          </w:p>
        </w:tc>
      </w:tr>
      <w:tr>
        <w:tc>
          <w:tcPr>
            <w:gridSpan w:val="1"/>
            <w:vMerge w:val="continue"/>
          </w:tcPr>
          <w:p>
            <w:pPr/>
          </w:p>
        </w:tc>
        <w:tc>
          <w:tcPr/>
          <w:p>
            <w:pPr>
              <w:pStyle w:val="Compact"/>
              <w:jc w:val="left"/>
            </w:pPr>
            <w:r>
              <w:t xml:space="preserve">Pareto-Chebyshev</w:t>
            </w:r>
          </w:p>
        </w:tc>
        <w:tc>
          <w:tcPr/>
          <w:p>
            <w:pPr>
              <w:pStyle w:val="Compact"/>
              <w:jc w:val="left"/>
            </w:pPr>
            <w:r>
              <w:t xml:space="preserve">Distance</w:t>
            </w:r>
            <w:r>
              <w:t xml:space="preserve"> </w:t>
            </w:r>
            <m:oMath>
              <m:sSub>
                <m:e>
                  <m:r>
                    <m:t>L</m:t>
                  </m:r>
                </m:e>
                <m:sub>
                  <m:r>
                    <m:rPr>
                      <m:sty m:val="p"/>
                    </m:rPr>
                    <m:t>∞</m:t>
                  </m:r>
                </m:sub>
              </m:sSub>
            </m:oMath>
          </w:p>
        </w:tc>
        <w:tc>
          <w:tcPr/>
          <w:p>
            <w:pPr>
              <w:pStyle w:val="Compact"/>
              <w:jc w:val="center"/>
            </w:pPr>
            <w:r>
              <w:t xml:space="preserve">Complète</w:t>
            </w:r>
          </w:p>
        </w:tc>
      </w:tr>
      <w:tr>
        <w:tc>
          <w:tcPr>
            <w:vMerge w:val="restart"/>
          </w:tcPr>
          <w:p>
            <w:pPr>
              <w:pStyle w:val="Compact"/>
              <w:jc w:val="left"/>
            </w:pPr>
            <w:r>
              <w:t xml:space="preserve">Exactes</w:t>
            </w:r>
          </w:p>
        </w:tc>
        <w:tc>
          <w:tcPr/>
          <w:p>
            <w:pPr>
              <w:pStyle w:val="Compact"/>
              <w:jc w:val="left"/>
            </w:pPr>
            <w:r>
              <w:t xml:space="preserve">MOBB</w:t>
            </w:r>
          </w:p>
        </w:tc>
        <w:tc>
          <w:tcPr/>
          <w:p>
            <w:pPr>
              <w:pStyle w:val="Compact"/>
              <w:jc w:val="left"/>
            </w:pPr>
            <w:r>
              <w:t xml:space="preserve">Branch-and-Bound</w:t>
            </w:r>
          </w:p>
        </w:tc>
        <w:tc>
          <w:tcPr/>
          <w:p>
            <w:pPr>
              <w:pStyle w:val="Compact"/>
              <w:jc w:val="center"/>
            </w:pPr>
            <w:r>
              <w:t xml:space="preserve">Exacte</w:t>
            </w:r>
          </w:p>
        </w:tc>
      </w:tr>
      <w:tr>
        <w:tc>
          <w:tcPr>
            <w:gridSpan w:val="1"/>
            <w:vMerge w:val="continue"/>
          </w:tcPr>
          <w:p>
            <w:pPr/>
          </w:p>
        </w:tc>
        <w:tc>
          <w:tcPr/>
          <w:p>
            <w:pPr>
              <w:pStyle w:val="Compact"/>
              <w:jc w:val="left"/>
            </w:pPr>
            <w:r>
              <w:t xml:space="preserve">TwoPhase</w:t>
            </w:r>
          </w:p>
        </w:tc>
        <w:tc>
          <w:tcPr/>
          <w:p>
            <w:pPr>
              <w:pStyle w:val="Compact"/>
              <w:jc w:val="left"/>
            </w:pPr>
            <w:r>
              <w:t xml:space="preserve">Bi-phasique</w:t>
            </w:r>
          </w:p>
        </w:tc>
        <w:tc>
          <w:tcPr/>
          <w:p>
            <w:pPr>
              <w:pStyle w:val="Compact"/>
              <w:jc w:val="center"/>
            </w:pPr>
            <w:r>
              <w:t xml:space="preserve">Exacte</w:t>
            </w:r>
          </w:p>
        </w:tc>
      </w:tr>
      <w:tr>
        <w:tc>
          <w:tcPr>
            <w:gridSpan w:val="1"/>
            <w:vMerge w:val="continue"/>
          </w:tcPr>
          <w:p>
            <w:pPr/>
          </w:p>
        </w:tc>
        <w:tc>
          <w:tcPr/>
          <w:p>
            <w:pPr>
              <w:pStyle w:val="Compact"/>
              <w:jc w:val="left"/>
            </w:pPr>
            <w:r>
              <w:t xml:space="preserve">OSS</w:t>
            </w:r>
          </w:p>
        </w:tc>
        <w:tc>
          <w:tcPr/>
          <w:p>
            <w:pPr>
              <w:pStyle w:val="Compact"/>
              <w:jc w:val="left"/>
            </w:pPr>
            <w:r>
              <w:t xml:space="preserve">Recherche de poids</w:t>
            </w:r>
          </w:p>
        </w:tc>
        <w:tc>
          <w:tcPr/>
          <w:p>
            <w:pPr>
              <w:pStyle w:val="Compact"/>
              <w:jc w:val="center"/>
            </w:pPr>
            <w:r>
              <w:t xml:space="preserve">Exacte</w:t>
            </w:r>
          </w:p>
        </w:tc>
      </w:tr>
      <w:tr>
        <w:tc>
          <w:tcPr>
            <w:gridSpan w:val="1"/>
            <w:vMerge w:val="continue"/>
          </w:tcPr>
          <w:p>
            <w:pPr/>
          </w:p>
        </w:tc>
        <w:tc>
          <w:tcPr/>
          <w:p>
            <w:pPr>
              <w:pStyle w:val="Compact"/>
              <w:jc w:val="left"/>
            </w:pPr>
            <w:r>
              <w:t xml:space="preserve">MODP</w:t>
            </w:r>
          </w:p>
        </w:tc>
        <w:tc>
          <w:tcPr/>
          <w:p>
            <w:pPr>
              <w:pStyle w:val="Compact"/>
              <w:jc w:val="left"/>
            </w:pPr>
            <w:r>
              <w:t xml:space="preserve">Prog. dynamique</w:t>
            </w:r>
          </w:p>
        </w:tc>
        <w:tc>
          <w:tcPr/>
          <w:p>
            <w:pPr>
              <w:pStyle w:val="Compact"/>
              <w:jc w:val="center"/>
            </w:pPr>
            <w:r>
              <w:t xml:space="preserve">Exacte</w:t>
            </w:r>
          </w:p>
        </w:tc>
      </w:tr>
      <w:tr>
        <w:tc>
          <w:tcPr>
            <w:gridSpan w:val="1"/>
            <w:vMerge w:val="continue"/>
          </w:tcPr>
          <w:p>
            <w:pPr/>
          </w:p>
        </w:tc>
        <w:tc>
          <w:tcPr/>
          <w:p>
            <w:pPr>
              <w:pStyle w:val="Compact"/>
              <w:jc w:val="left"/>
            </w:pPr>
            <w:r>
              <w:t xml:space="preserve">MOA*</w:t>
            </w:r>
          </w:p>
        </w:tc>
        <w:tc>
          <w:tcPr/>
          <w:p>
            <w:pPr>
              <w:pStyle w:val="Compact"/>
              <w:jc w:val="left"/>
            </w:pPr>
            <w:r>
              <w:t xml:space="preserve">A* multi-objectif</w:t>
            </w:r>
          </w:p>
        </w:tc>
        <w:tc>
          <w:tcPr/>
          <w:p>
            <w:pPr>
              <w:pStyle w:val="Compact"/>
              <w:jc w:val="center"/>
            </w:pPr>
            <w:r>
              <w:t xml:space="preserve">Exacte</w:t>
            </w:r>
          </w:p>
        </w:tc>
      </w:tr>
      <w:tr>
        <w:tc>
          <w:tcPr>
            <w:vMerge w:val="restart"/>
          </w:tcPr>
          <w:p>
            <w:pPr>
              <w:pStyle w:val="Compact"/>
              <w:jc w:val="left"/>
            </w:pPr>
            <w:r>
              <w:t xml:space="preserve">Méta.</w:t>
            </w:r>
          </w:p>
        </w:tc>
        <w:tc>
          <w:tcPr/>
          <w:p>
            <w:pPr>
              <w:pStyle w:val="Compact"/>
              <w:jc w:val="left"/>
            </w:pPr>
            <w:r>
              <w:t xml:space="preserve">NSGA-II</w:t>
            </w:r>
          </w:p>
        </w:tc>
        <w:tc>
          <w:tcPr/>
          <w:p>
            <w:pPr>
              <w:pStyle w:val="Compact"/>
              <w:jc w:val="left"/>
            </w:pPr>
            <w:r>
              <w:t xml:space="preserve">Algo. génétique</w:t>
            </w:r>
          </w:p>
        </w:tc>
        <w:tc>
          <w:tcPr/>
          <w:p>
            <w:pPr>
              <w:pStyle w:val="Compact"/>
              <w:jc w:val="center"/>
            </w:pPr>
            <w:r>
              <w:t xml:space="preserve">Approximée</w:t>
            </w:r>
          </w:p>
        </w:tc>
      </w:tr>
      <w:tr>
        <w:tc>
          <w:tcPr>
            <w:gridSpan w:val="1"/>
            <w:vMerge w:val="continue"/>
          </w:tcPr>
          <w:p>
            <w:pPr/>
          </w:p>
        </w:tc>
        <w:tc>
          <w:tcPr/>
          <w:p>
            <w:pPr>
              <w:pStyle w:val="Compact"/>
              <w:jc w:val="left"/>
            </w:pPr>
            <w:r>
              <w:t xml:space="preserve">MOEA/D</w:t>
            </w:r>
          </w:p>
        </w:tc>
        <w:tc>
          <w:tcPr/>
          <w:p>
            <w:pPr>
              <w:pStyle w:val="Compact"/>
              <w:jc w:val="left"/>
            </w:pPr>
            <w:r>
              <w:t xml:space="preserve">Décomposition</w:t>
            </w:r>
          </w:p>
        </w:tc>
        <w:tc>
          <w:tcPr/>
          <w:p>
            <w:pPr>
              <w:pStyle w:val="Compact"/>
              <w:jc w:val="center"/>
            </w:pPr>
            <w:r>
              <w:t xml:space="preserve">Approximée</w:t>
            </w:r>
          </w:p>
        </w:tc>
      </w:tr>
    </w:tbl>
    <w:bookmarkEnd w:id="81"/>
    <w:bookmarkEnd w:id="82"/>
    <w:bookmarkEnd w:id="83"/>
    <w:bookmarkEnd w:id="84"/>
    <w:bookmarkEnd w:id="85"/>
    <w:bookmarkStart w:id="95" w:name="sec:approche_hybride"/>
    <w:p>
      <w:pPr>
        <w:pStyle w:val="Heading2"/>
      </w:pPr>
      <w:r>
        <w:t xml:space="preserve">2.3 Modélisation de la solution : Approche Hybride</w:t>
      </w:r>
    </w:p>
    <w:bookmarkStart w:id="88" w:name="sec:architecture"/>
    <w:p>
      <w:pPr>
        <w:pStyle w:val="Heading3"/>
      </w:pPr>
      <w:r>
        <w:t xml:space="preserve">2.3.1 Architecture de Décision</w:t>
      </w:r>
    </w:p>
    <w:p>
      <w:pPr>
        <w:pStyle w:val="FirstParagraph"/>
      </w:pPr>
      <w:r>
        <w:t xml:space="preserve">Le pipeline de décision complet du système se décompose en cinq étapes séquentielles :</w:t>
      </w:r>
    </w:p>
    <w:bookmarkStart w:id="86" w:name="fig:pipeline"/>
    <w:tbl>
      <w:tblPr>
        <w:tblStyle w:val="FigureTable"/>
        <w:tblW w:type="auto" w:w="0"/>
        <w:jc w:val="center"/>
        <w:tblLook w:firstRow="0" w:lastRow="0" w:firstColumn="0" w:lastColumn="0"/>
      </w:tblPr>
      <w:tblGrid>
        <w:gridCol w:w="7920"/>
      </w:tblGrid>
      <w:tr>
        <w:tc>
          <w:tcPr/>
          <w:p/>
        </w:tc>
      </w:tr>
    </w:tbl>
    <w:p>
      <w:pPr>
        <w:pStyle w:val="ImageCaption"/>
      </w:pPr>
      <w:r>
        <w:t xml:space="preserve">Figure 2.2  Pipeline de décision du système de recommandation</w:t>
      </w:r>
    </w:p>
    <w:bookmarkEnd w:id="86"/>
    <w:p>
      <w:pPr>
        <w:pStyle w:val="BodyText"/>
      </w:pPr>
      <w:r>
        <w:t xml:space="preserve">Le choix architectural fondamental de ce projet est la comparaison entre deux architectures de modélisation :</w:t>
      </w:r>
    </w:p>
    <w:bookmarkStart w:id="87" w:name="tab:architectures"/>
    <w:p>
      <w:pPr>
        <w:pStyle w:val="TableCaption"/>
      </w:pPr>
      <w:r>
        <w:t xml:space="preserve">TABLEAU 2.5  COMPARAISON DES ARCHITECTURES CLASSIQUE ET HYBRIDE</w:t>
      </w:r>
    </w:p>
    <w:tbl>
      <w:tblPr>
        <w:tblStyle w:val="Table"/>
        <w:tblW w:type="auto" w:w="0"/>
        <w:tblLook w:firstRow="1" w:lastRow="0" w:firstColumn="0" w:lastColumn="0" w:noHBand="0" w:noVBand="0" w:val="0020"/>
        <w:tblCaption w:val="TABLEAU 2.5  COMPARAISON DES ARCHITECTURES CLASSIQUE ET HYBRIDE"/>
      </w:tblPr>
      <w:tblGrid>
        <w:gridCol w:w="2640"/>
        <w:gridCol w:w="2640"/>
        <w:gridCol w:w="2640"/>
      </w:tblGrid>
      <w:tr>
        <w:trPr>
          <w:tblHeader w:val="on"/>
        </w:trPr>
        <w:tc>
          <w:tcPr/>
          <w:p>
            <w:pPr>
              <w:pStyle w:val="Compact"/>
            </w:pPr>
          </w:p>
        </w:tc>
        <w:tc>
          <w:tcPr/>
          <w:p>
            <w:pPr>
              <w:pStyle w:val="Compact"/>
              <w:jc w:val="left"/>
            </w:pPr>
            <w:r>
              <w:rPr>
                <w:b/>
                <w:bCs/>
              </w:rPr>
              <w:t xml:space="preserve">Classique (Disjoint)</w:t>
            </w:r>
          </w:p>
        </w:tc>
        <w:tc>
          <w:tcPr/>
          <w:p>
            <w:pPr>
              <w:pStyle w:val="Compact"/>
              <w:jc w:val="left"/>
            </w:pPr>
            <w:r>
              <w:rPr>
                <w:b/>
                <w:bCs/>
              </w:rPr>
              <w:t xml:space="preserve">Hybride (Global Semantic)</w:t>
            </w:r>
          </w:p>
        </w:tc>
      </w:tr>
      <w:tr>
        <w:tc>
          <w:tcPr/>
          <w:p>
            <w:pPr>
              <w:pStyle w:val="Compact"/>
              <w:jc w:val="left"/>
            </w:pPr>
            <w:r>
              <w:t xml:space="preserve">Modèle</w:t>
            </w:r>
          </w:p>
        </w:tc>
        <w:tc>
          <w:tcPr/>
          <w:p>
            <w:pPr>
              <w:pStyle w:val="Compact"/>
              <w:jc w:val="left"/>
            </w:pPr>
            <m:oMath>
              <m:r>
                <m:t>K</m:t>
              </m:r>
            </m:oMath>
            <w:r>
              <w:t xml:space="preserve"> </w:t>
            </w:r>
            <w:r>
              <w:t xml:space="preserve">modèles indépendants (un par bras)</w:t>
            </w:r>
          </w:p>
        </w:tc>
        <w:tc>
          <w:tcPr/>
          <w:p>
            <w:pPr>
              <w:pStyle w:val="Compact"/>
              <w:jc w:val="left"/>
            </w:pPr>
            <w:r>
              <w:t xml:space="preserve">Un seul modèle global partagé</w:t>
            </w:r>
          </w:p>
        </w:tc>
      </w:tr>
      <w:tr>
        <w:tc>
          <w:tcPr/>
          <w:p>
            <w:pPr>
              <w:pStyle w:val="Compact"/>
              <w:jc w:val="left"/>
            </w:pPr>
            <w:r>
              <w:t xml:space="preserve">Contexte</w:t>
            </w:r>
          </w:p>
        </w:tc>
        <w:tc>
          <w:tcPr/>
          <w:p>
            <w:pPr>
              <w:pStyle w:val="Compact"/>
              <w:jc w:val="left"/>
            </w:pPr>
            <m:oMath>
              <m:sSub>
                <m:e>
                  <m:r>
                    <m:rPr>
                      <m:sty m:val="b"/>
                    </m:rPr>
                    <m:t>x</m:t>
                  </m:r>
                </m:e>
                <m:sub>
                  <m:r>
                    <m:t>u</m:t>
                  </m:r>
                </m:sub>
              </m:sSub>
            </m:oMath>
            <w:r>
              <w:t xml:space="preserve"> </w:t>
            </w:r>
            <w:r>
              <w:t xml:space="preserve">(embedding utilisateur seul)</w:t>
            </w:r>
          </w:p>
        </w:tc>
        <w:tc>
          <w:tcPr/>
          <w:p>
            <w:pPr>
              <w:pStyle w:val="Compact"/>
              <w:jc w:val="left"/>
            </w:pPr>
            <m:oMath>
              <m:r>
                <m:rPr>
                  <m:sty m:val="p"/>
                </m:rPr>
                <m:t>[</m:t>
              </m:r>
              <m:sSub>
                <m:e>
                  <m:r>
                    <m:rPr>
                      <m:sty m:val="b"/>
                    </m:rPr>
                    <m:t>x</m:t>
                  </m:r>
                </m:e>
                <m:sub>
                  <m:r>
                    <m:t>u</m:t>
                  </m:r>
                </m:sub>
              </m:sSub>
              <m:r>
                <m:rPr>
                  <m:sty m:val="p"/>
                </m:rPr>
                <m:t>∥</m:t>
              </m:r>
              <m:sSub>
                <m:e>
                  <m:r>
                    <m:rPr>
                      <m:sty m:val="b"/>
                    </m:rPr>
                    <m:t>x</m:t>
                  </m:r>
                </m:e>
                <m:sub>
                  <m:r>
                    <m:t>a</m:t>
                  </m:r>
                </m:sub>
              </m:sSub>
              <m:r>
                <m:rPr>
                  <m:sty m:val="p"/>
                </m:rPr>
                <m:t>]</m:t>
              </m:r>
            </m:oMath>
            <w:r>
              <w:t xml:space="preserve"> </w:t>
            </w:r>
            <w:r>
              <w:t xml:space="preserve">(user + ad embedding)</w:t>
            </w:r>
          </w:p>
        </w:tc>
      </w:tr>
      <w:tr>
        <w:tc>
          <w:tcPr/>
          <w:p>
            <w:pPr>
              <w:pStyle w:val="Compact"/>
              <w:jc w:val="left"/>
            </w:pPr>
            <w:r>
              <w:t xml:space="preserve">Cold-start</w:t>
            </w:r>
          </w:p>
        </w:tc>
        <w:tc>
          <w:tcPr/>
          <w:p>
            <w:pPr>
              <w:pStyle w:val="Compact"/>
              <w:jc w:val="left"/>
            </w:pPr>
            <w:r>
              <w:t xml:space="preserve">Impossible (nouveau bras = pas de modèle)</w:t>
            </w:r>
          </w:p>
        </w:tc>
        <w:tc>
          <w:tcPr/>
          <w:p>
            <w:pPr>
              <w:pStyle w:val="Compact"/>
              <w:jc w:val="left"/>
            </w:pPr>
            <w:r>
              <w:t xml:space="preserve">Immédiat (embedding de la nouvelle annonce)</w:t>
            </w:r>
          </w:p>
        </w:tc>
      </w:tr>
      <w:tr>
        <w:tc>
          <w:tcPr/>
          <w:p>
            <w:pPr>
              <w:pStyle w:val="Compact"/>
              <w:jc w:val="left"/>
            </w:pPr>
            <w:r>
              <w:t xml:space="preserve">Paramètres</w:t>
            </w:r>
          </w:p>
        </w:tc>
        <w:tc>
          <w:tcPr/>
          <w:p>
            <w:pPr>
              <w:pStyle w:val="Compact"/>
              <w:jc w:val="left"/>
            </w:pPr>
            <m:oMath>
              <m:r>
                <m:t>K</m:t>
              </m:r>
              <m:r>
                <m:rPr>
                  <m:sty m:val="p"/>
                </m:rPr>
                <m:t>×</m:t>
              </m:r>
              <m:sSup>
                <m:e>
                  <m:r>
                    <m:t>d</m:t>
                  </m:r>
                </m:e>
                <m:sup>
                  <m:r>
                    <m:t>2</m:t>
                  </m:r>
                </m:sup>
              </m:sSup>
            </m:oMath>
            <w:r>
              <w:t xml:space="preserve"> </w:t>
            </w:r>
            <w:r>
              <w:t xml:space="preserve">(une matrice</w:t>
            </w:r>
            <w:r>
              <w:t xml:space="preserve"> </w:t>
            </w:r>
            <m:oMath>
              <m:r>
                <m:t>A</m:t>
              </m:r>
            </m:oMath>
            <w:r>
              <w:t xml:space="preserve"> </w:t>
            </w:r>
            <w:r>
              <w:t xml:space="preserve">par bras)</w:t>
            </w:r>
          </w:p>
        </w:tc>
        <w:tc>
          <w:tcPr/>
          <w:p>
            <w:pPr>
              <w:pStyle w:val="Compact"/>
              <w:jc w:val="left"/>
            </w:pPr>
            <m:oMath>
              <m:r>
                <m:t>1</m:t>
              </m:r>
              <m:r>
                <m:rPr>
                  <m:sty m:val="p"/>
                </m:rPr>
                <m:t>×</m:t>
              </m:r>
              <m:r>
                <m:rPr>
                  <m:sty m:val="p"/>
                </m:rPr>
                <m:t>(</m:t>
              </m:r>
              <m:r>
                <m:t>2</m:t>
              </m:r>
              <m:r>
                <m:t>d</m:t>
              </m:r>
              <m:sSup>
                <m:e>
                  <m:r>
                    <m:rPr>
                      <m:sty m:val="p"/>
                    </m:rPr>
                    <m:t>)</m:t>
                  </m:r>
                </m:e>
                <m:sup>
                  <m:r>
                    <m:t>2</m:t>
                  </m:r>
                </m:sup>
              </m:sSup>
            </m:oMath>
            <w:r>
              <w:t xml:space="preserve"> </w:t>
            </w:r>
            <w:r>
              <w:t xml:space="preserve">(une seule matrice</w:t>
            </w:r>
            <w:r>
              <w:t xml:space="preserve"> </w:t>
            </w:r>
            <m:oMath>
              <m:r>
                <m:t>A</m:t>
              </m:r>
            </m:oMath>
            <w:r>
              <w:t xml:space="preserve">)</w:t>
            </w:r>
          </w:p>
        </w:tc>
      </w:tr>
    </w:tbl>
    <w:bookmarkEnd w:id="87"/>
    <w:bookmarkEnd w:id="88"/>
    <w:bookmarkStart w:id="94" w:name="sec:approche_candidate"/>
    <w:p>
      <w:pPr>
        <w:pStyle w:val="Heading3"/>
      </w:pPr>
      <w:r>
        <w:t xml:space="preserve">2.3.2 Approche Candidate : le Bandit Contextuel Sémantique Hybride</w:t>
      </w:r>
    </w:p>
    <w:p>
      <w:pPr>
        <w:pStyle w:val="FirstParagraph"/>
      </w:pPr>
      <w:r>
        <w:t xml:space="preserve">L’approche hybride sémantique proposée dans ce projet constitue une contribution originale qui s’inspire de deux travaux fondateurs, sans toutefois disposer d’un équivalent direct dans la littérature :</w:t>
      </w:r>
    </w:p>
    <w:p>
      <w:pPr>
        <w:numPr>
          <w:ilvl w:val="0"/>
          <w:numId w:val="1022"/>
        </w:numPr>
      </w:pPr>
      <w:r>
        <w:rPr>
          <w:b/>
          <w:bCs/>
        </w:rPr>
        <w:t xml:space="preserve">LinUCB-Hybrid</w:t>
      </w:r>
      <w:r>
        <w:t xml:space="preserve"> </w:t>
      </w:r>
      <w:r>
        <w:t xml:space="preserve">[</w:t>
      </w:r>
      <w:hyperlink w:anchor="ref-li2010contextual">
        <w:r>
          <w:rPr>
            <w:rStyle w:val="Hyperlink"/>
          </w:rPr>
          <w:t xml:space="preserve">Li et al. 2010</w:t>
        </w:r>
      </w:hyperlink>
      <w:r>
        <w:t xml:space="preserve">]</w:t>
      </w:r>
      <w:r>
        <w:t xml:space="preserve"> </w:t>
      </w:r>
      <w:r>
        <w:t xml:space="preserve">(2010) : a introduit la notion de paramètres partagés entre bras pour un bandit contextuel linéaire, mais avec des features artisanales.</w:t>
      </w:r>
    </w:p>
    <w:p>
      <w:pPr>
        <w:numPr>
          <w:ilvl w:val="0"/>
          <w:numId w:val="1022"/>
        </w:numPr>
      </w:pPr>
      <w:r>
        <w:rPr>
          <w:b/>
          <w:bCs/>
        </w:rPr>
        <w:t xml:space="preserve">SentenceTransformer</w:t>
      </w:r>
      <w:r>
        <w:t xml:space="preserve"> </w:t>
      </w:r>
      <w:r>
        <w:t xml:space="preserve">[</w:t>
      </w:r>
      <w:hyperlink w:anchor="ref-reimers2019sentence">
        <w:r>
          <w:rPr>
            <w:rStyle w:val="Hyperlink"/>
          </w:rPr>
          <w:t xml:space="preserve">Reimers and Gurevych 2019</w:t>
        </w:r>
      </w:hyperlink>
      <w:r>
        <w:t xml:space="preserve">]</w:t>
      </w:r>
      <w:r>
        <w:t xml:space="preserve"> </w:t>
      </w:r>
      <w:r>
        <w:t xml:space="preserve">(2019) : a rendu possible la représentation sémantique dense de textes arbitraires en vecteurs comparables.</w:t>
      </w:r>
    </w:p>
    <w:p>
      <w:pPr>
        <w:pStyle w:val="FirstParagraph"/>
      </w:pPr>
      <w:r>
        <w:rPr>
          <w:b/>
          <w:bCs/>
        </w:rPr>
        <w:t xml:space="preserve">La nouveauté introduite ici</w:t>
      </w:r>
      <w:r>
        <w:t xml:space="preserve"> </w:t>
      </w:r>
      <w:r>
        <w:t xml:space="preserve">est leur combinaison dans un cadre publicitaire bi-objectif avec mécanisme de transfert zéro-shot : un seul modèle global LinUCB opère sur le contexte concaténé</w:t>
      </w:r>
      <w:r>
        <w:t xml:space="preserve"> </w:t>
      </w:r>
      <m:oMath>
        <m:r>
          <m:rPr>
            <m:sty m:val="p"/>
          </m:rPr>
          <m:t>[</m:t>
        </m:r>
        <m:sSub>
          <m:e>
            <m:r>
              <m:rPr>
                <m:sty m:val="b"/>
              </m:rPr>
              <m:t>x</m:t>
            </m:r>
          </m:e>
          <m:sub>
            <m:r>
              <m:t>u</m:t>
            </m:r>
          </m:sub>
        </m:sSub>
        <m:r>
          <m:rPr>
            <m:sty m:val="p"/>
          </m:rPr>
          <m:t>∥</m:t>
        </m:r>
        <m:sSub>
          <m:e>
            <m:r>
              <m:rPr>
                <m:sty m:val="b"/>
              </m:rPr>
              <m:t>x</m:t>
            </m:r>
          </m:e>
          <m:sub>
            <m:r>
              <m:t>a</m:t>
            </m:r>
          </m:sub>
        </m:sSub>
        <m:r>
          <m:rPr>
            <m:sty m:val="p"/>
          </m:rPr>
          <m:t>]</m:t>
        </m:r>
      </m:oMath>
      <w:r>
        <w:t xml:space="preserve"> </w:t>
      </w:r>
      <w:r>
        <w:t xml:space="preserve">où les deux vecteurs sont des embeddings sémantiques, permettant de prédire immédiatement la performance de toute nouvelle annonce sans exploration préalable</w:t>
      </w:r>
      <w:r>
        <w:t xml:space="preserve"> </w:t>
      </w:r>
      <w:r>
        <w:t xml:space="preserve">[</w:t>
      </w:r>
      <w:hyperlink w:anchor="ref-hou2024zeroshot">
        <w:r>
          <w:rPr>
            <w:rStyle w:val="Hyperlink"/>
          </w:rPr>
          <w:t xml:space="preserve">Yuansheng Hou et al. 2024</w:t>
        </w:r>
      </w:hyperlink>
      <w:r>
        <w:t xml:space="preserve">]</w:t>
      </w:r>
      <w:r>
        <w:t xml:space="preserve">.</w:t>
      </w:r>
    </w:p>
    <w:p>
      <w:pPr>
        <w:pStyle w:val="BodyText"/>
      </w:pPr>
      <w:r>
        <w:t xml:space="preserve">L’approche proposée repose sur quatre piliers :</w:t>
      </w:r>
    </w:p>
    <w:bookmarkStart w:id="89" w:name="encodage-sémantique"/>
    <w:p>
      <w:pPr>
        <w:pStyle w:val="Heading4"/>
      </w:pPr>
      <w:r>
        <w:t xml:space="preserve">1. Encodage Sémantique</w:t>
      </w:r>
    </w:p>
    <w:p>
      <w:pPr>
        <w:pStyle w:val="FirstParagraph"/>
      </w:pPr>
      <w:r>
        <w:t xml:space="preserve">Les profils utilisateurs et les descriptions d’annonces sont encodés en vecteurs denses de dimension</w:t>
      </w:r>
      <w:r>
        <w:t xml:space="preserve"> </w:t>
      </w:r>
      <m:oMath>
        <m:r>
          <m:t>d</m:t>
        </m:r>
        <m:r>
          <m:rPr>
            <m:sty m:val="p"/>
          </m:rPr>
          <m:t>=</m:t>
        </m:r>
        <m:r>
          <m:t>384</m:t>
        </m:r>
      </m:oMath>
      <w:r>
        <w:t xml:space="preserve"> </w:t>
      </w:r>
      <w:r>
        <w:t xml:space="preserve">par le modèle</w:t>
      </w:r>
      <w:r>
        <w:t xml:space="preserve"> </w:t>
      </w:r>
      <w:r>
        <w:rPr>
          <w:rStyle w:val="VerbatimChar"/>
        </w:rPr>
        <w:t xml:space="preserve">all-MiniLM-L6-v2</w:t>
      </w:r>
      <w:r>
        <w:t xml:space="preserve"> </w:t>
      </w:r>
      <w:r>
        <w:t xml:space="preserve">[</w:t>
      </w:r>
      <w:hyperlink w:anchor="ref-reimers2019sentence">
        <w:r>
          <w:rPr>
            <w:rStyle w:val="Hyperlink"/>
          </w:rPr>
          <w:t xml:space="preserve">Reimers and Gurevych 2019</w:t>
        </w:r>
      </w:hyperlink>
      <w:r>
        <w:t xml:space="preserve">]</w:t>
      </w:r>
      <w:r>
        <w:t xml:space="preserve">. Ce modèle pré-entraîné sur plus d’un milliard de paires de phrases capture la similarité sémantique entre textes via la similarité cosinus.</w:t>
      </w:r>
    </w:p>
    <w:bookmarkEnd w:id="89"/>
    <w:bookmarkStart w:id="90" w:name="modèle-global-partagé"/>
    <w:p>
      <w:pPr>
        <w:pStyle w:val="Heading4"/>
      </w:pPr>
      <w:r>
        <w:t xml:space="preserve">2. Modèle Global Partagé</w:t>
      </w:r>
    </w:p>
    <w:p>
      <w:pPr>
        <w:pStyle w:val="FirstParagraph"/>
      </w:pPr>
      <w:r>
        <w:t xml:space="preserve">Au lieu de maintenir</w:t>
      </w:r>
      <w:r>
        <w:t xml:space="preserve"> </w:t>
      </w:r>
      <m:oMath>
        <m:r>
          <m:t>K</m:t>
        </m:r>
      </m:oMath>
      <w:r>
        <w:t xml:space="preserve"> </w:t>
      </w:r>
      <w:r>
        <w:t xml:space="preserve">modèles per-arm indépendants, un seul modèle LinUCB opère sur le contexte concaténé</w:t>
      </w:r>
      <w:r>
        <w:t xml:space="preserve"> </w:t>
      </w:r>
      <m:oMath>
        <m:r>
          <m:rPr>
            <m:sty m:val="b"/>
          </m:rPr>
          <m:t>x</m:t>
        </m:r>
        <m:r>
          <m:rPr>
            <m:sty m:val="p"/>
          </m:rPr>
          <m:t>=</m:t>
        </m:r>
        <m:r>
          <m:rPr>
            <m:sty m:val="p"/>
          </m:rPr>
          <m:t>[</m:t>
        </m:r>
        <m:sSub>
          <m:e>
            <m:r>
              <m:rPr>
                <m:sty m:val="b"/>
              </m:rPr>
              <m:t>x</m:t>
            </m:r>
          </m:e>
          <m:sub>
            <m:r>
              <m:t>u</m:t>
            </m:r>
          </m:sub>
        </m:sSub>
        <m:r>
          <m:rPr>
            <m:sty m:val="p"/>
          </m:rPr>
          <m:t>∥</m:t>
        </m:r>
        <m:sSub>
          <m:e>
            <m:r>
              <m:rPr>
                <m:sty m:val="b"/>
              </m:rPr>
              <m:t>x</m:t>
            </m:r>
          </m:e>
          <m:sub>
            <m:r>
              <m:t>a</m:t>
            </m:r>
          </m:sub>
        </m:sSub>
        <m:r>
          <m:rPr>
            <m:sty m:val="p"/>
          </m:rPr>
          <m:t>]</m:t>
        </m:r>
        <m:r>
          <m:rPr>
            <m:sty m:val="p"/>
          </m:rPr>
          <m:t>∈</m:t>
        </m:r>
        <m:sSup>
          <m:e>
            <m:r>
              <m:rPr>
                <m:scr m:val="double-struck"/>
                <m:sty m:val="p"/>
              </m:rPr>
              <m:t>R</m:t>
            </m:r>
          </m:e>
          <m:sup>
            <m:r>
              <m:t>768</m:t>
            </m:r>
          </m:sup>
        </m:sSup>
      </m:oMath>
      <w:r>
        <w:t xml:space="preserve"> </w:t>
      </w:r>
      <w:r>
        <w:t xml:space="preserve">:</w:t>
      </w:r>
    </w:p>
    <w:p>
      <w:pPr>
        <w:numPr>
          <w:ilvl w:val="0"/>
          <w:numId w:val="1023"/>
        </w:numPr>
      </w:pPr>
      <w:r>
        <w:t xml:space="preserve">La matrice de covariance inverse</w:t>
      </w:r>
      <w:r>
        <w:t xml:space="preserve"> </w:t>
      </w:r>
      <m:oMath>
        <m:sSup>
          <m:e>
            <m:r>
              <m:t>A</m:t>
            </m:r>
          </m:e>
          <m:sup>
            <m:r>
              <m:rPr>
                <m:sty m:val="p"/>
              </m:rPr>
              <m:t>−</m:t>
            </m:r>
            <m:r>
              <m:t>1</m:t>
            </m:r>
          </m:sup>
        </m:sSup>
        <m:r>
          <m:rPr>
            <m:sty m:val="p"/>
          </m:rPr>
          <m:t>∈</m:t>
        </m:r>
        <m:sSup>
          <m:e>
            <m:r>
              <m:rPr>
                <m:scr m:val="double-struck"/>
                <m:sty m:val="p"/>
              </m:rPr>
              <m:t>R</m:t>
            </m:r>
          </m:e>
          <m:sup>
            <m:r>
              <m:t>768</m:t>
            </m:r>
            <m:r>
              <m:rPr>
                <m:sty m:val="p"/>
              </m:rPr>
              <m:t>×</m:t>
            </m:r>
            <m:r>
              <m:t>768</m:t>
            </m:r>
          </m:sup>
        </m:sSup>
      </m:oMath>
      <w:r>
        <w:t xml:space="preserve"> </w:t>
      </w:r>
      <w:r>
        <w:t xml:space="preserve">est</w:t>
      </w:r>
      <w:r>
        <w:t xml:space="preserve"> </w:t>
      </w:r>
      <w:r>
        <w:rPr>
          <w:b/>
          <w:bCs/>
        </w:rPr>
        <w:t xml:space="preserve">partagée</w:t>
      </w:r>
      <w:r>
        <w:t xml:space="preserve"> </w:t>
      </w:r>
      <w:r>
        <w:t xml:space="preserve">entre tous les bras.</w:t>
      </w:r>
    </w:p>
    <w:p>
      <w:pPr>
        <w:numPr>
          <w:ilvl w:val="0"/>
          <w:numId w:val="1023"/>
        </w:numPr>
      </w:pPr>
      <w:r>
        <w:t xml:space="preserve">Les vecteurs</w:t>
      </w:r>
      <w:r>
        <w:t xml:space="preserve"> </w:t>
      </w:r>
      <m:oMath>
        <m:sSub>
          <m:e>
            <m:r>
              <m:rPr>
                <m:sty m:val="b"/>
              </m:rPr>
              <m:t>b</m:t>
            </m:r>
          </m:e>
          <m:sub>
            <m:r>
              <m:rPr>
                <m:nor/>
                <m:sty m:val="p"/>
              </m:rPr>
              <m:t>obj</m:t>
            </m:r>
          </m:sub>
        </m:sSub>
        <m:r>
          <m:rPr>
            <m:sty m:val="p"/>
          </m:rPr>
          <m:t>∈</m:t>
        </m:r>
        <m:sSup>
          <m:e>
            <m:r>
              <m:rPr>
                <m:scr m:val="double-struck"/>
                <m:sty m:val="p"/>
              </m:rPr>
              <m:t>R</m:t>
            </m:r>
          </m:e>
          <m:sup>
            <m:r>
              <m:t>768</m:t>
            </m:r>
          </m:sup>
        </m:sSup>
      </m:oMath>
      <w:r>
        <w:t xml:space="preserve"> </w:t>
      </w:r>
      <w:r>
        <w:t xml:space="preserve">sont partagés par objectif.</w:t>
      </w:r>
    </w:p>
    <w:p>
      <w:pPr>
        <w:numPr>
          <w:ilvl w:val="0"/>
          <w:numId w:val="1023"/>
        </w:numPr>
      </w:pPr>
      <w:r>
        <w:t xml:space="preserve">La mise à jour via Sherman-Morrison reste en</w:t>
      </w:r>
      <w:r>
        <w:t xml:space="preserve"> </w:t>
      </w:r>
      <m:oMath>
        <m:r>
          <m:t>O</m:t>
        </m:r>
        <m:r>
          <m:rPr>
            <m:sty m:val="p"/>
          </m:rPr>
          <m:t>(</m:t>
        </m:r>
        <m:sSup>
          <m:e>
            <m:r>
              <m:t>d</m:t>
            </m:r>
          </m:e>
          <m:sup>
            <m:r>
              <m:t>2</m:t>
            </m:r>
          </m:sup>
        </m:sSup>
        <m:r>
          <m:rPr>
            <m:sty m:val="p"/>
          </m:rPr>
          <m:t>)</m:t>
        </m:r>
      </m:oMath>
      <w:r>
        <w:t xml:space="preserve">.</w:t>
      </w:r>
    </w:p>
    <w:bookmarkEnd w:id="90"/>
    <w:bookmarkStart w:id="92" w:name="transfert-zéro-shot-zero-shot-transfer"/>
    <w:p>
      <w:pPr>
        <w:pStyle w:val="Heading4"/>
      </w:pPr>
      <w:r>
        <w:t xml:space="preserve">3. Transfert Zéro-Shot (Zero-Shot Transfer)</w:t>
      </w:r>
    </w:p>
    <w:p>
      <w:pPr>
        <w:pStyle w:val="FirstParagraph"/>
      </w:pPr>
      <w:r>
        <w:t xml:space="preserve">C’est l’avantage déterminant de l’architecture globale. Quand une nouvelle annonce apparaît dans le système :</w:t>
      </w:r>
    </w:p>
    <w:bookmarkStart w:id="91" w:name="mécanisme-zero-shot"/>
    <w:p>
      <w:pPr>
        <w:pStyle w:val="Heading5"/>
      </w:pPr>
      <w:r>
        <w:t xml:space="preserve">Mécanisme Zero-Shot</w:t>
      </w:r>
    </w:p>
    <w:p>
      <w:pPr>
        <w:numPr>
          <w:ilvl w:val="0"/>
          <w:numId w:val="1024"/>
        </w:numPr>
      </w:pPr>
      <w:r>
        <w:t xml:space="preserve">Son embedding</w:t>
      </w:r>
      <w:r>
        <w:t xml:space="preserve"> </w:t>
      </w:r>
      <m:oMath>
        <m:sSub>
          <m:e>
            <m:r>
              <m:rPr>
                <m:sty m:val="b"/>
              </m:rPr>
              <m:t>x</m:t>
            </m:r>
          </m:e>
          <m:sub>
            <m:sSub>
              <m:e>
                <m:r>
                  <m:t>a</m:t>
                </m:r>
              </m:e>
              <m:sub>
                <m:r>
                  <m:rPr>
                    <m:nor/>
                    <m:sty m:val="p"/>
                  </m:rPr>
                  <m:t>new</m:t>
                </m:r>
              </m:sub>
            </m:sSub>
          </m:sub>
        </m:sSub>
      </m:oMath>
      <w:r>
        <w:t xml:space="preserve"> </w:t>
      </w:r>
      <w:r>
        <w:t xml:space="preserve">est calculé par SentenceTransformer (opération offline,</w:t>
      </w:r>
      <w:r>
        <w:t xml:space="preserve"> </w:t>
      </w:r>
      <m:oMath>
        <m:r>
          <m:rPr>
            <m:sty m:val="p"/>
          </m:rPr>
          <m:t>≈</m:t>
        </m:r>
        <m:r>
          <m:t>10</m:t>
        </m:r>
      </m:oMath>
      <w:r>
        <w:t xml:space="preserve"> ms).</w:t>
      </w:r>
    </w:p>
    <w:p>
      <w:pPr>
        <w:numPr>
          <w:ilvl w:val="0"/>
          <w:numId w:val="1024"/>
        </w:numPr>
      </w:pPr>
      <w:r>
        <w:t xml:space="preserve">Le modèle global peut</w:t>
      </w:r>
      <w:r>
        <w:t xml:space="preserve"> </w:t>
      </w:r>
      <w:r>
        <w:rPr>
          <w:b/>
          <w:bCs/>
        </w:rPr>
        <w:t xml:space="preserve">immédiatement</w:t>
      </w:r>
      <w:r>
        <w:t xml:space="preserve"> </w:t>
      </w:r>
      <w:r>
        <w:t xml:space="preserve">estimer sa récompense en utilisant les paramètres</w:t>
      </w:r>
      <w:r>
        <w:t xml:space="preserve"> </w:t>
      </w:r>
      <m:oMath>
        <m:acc>
          <m:accPr>
            <m:chr m:val="̂"/>
          </m:accPr>
          <m:e>
            <m:r>
              <m:rPr>
                <m:sty m:val="b"/>
              </m:rPr>
              <m:t>θ</m:t>
            </m:r>
          </m:e>
        </m:acc>
        <m:r>
          <m:rPr>
            <m:sty m:val="p"/>
          </m:rPr>
          <m:t>=</m:t>
        </m:r>
        <m:sSup>
          <m:e>
            <m:r>
              <m:t>A</m:t>
            </m:r>
          </m:e>
          <m:sup>
            <m:r>
              <m:rPr>
                <m:sty m:val="p"/>
              </m:rPr>
              <m:t>−</m:t>
            </m:r>
            <m:r>
              <m:t>1</m:t>
            </m:r>
          </m:sup>
        </m:sSup>
        <m:r>
          <m:rPr>
            <m:sty m:val="b"/>
          </m:rPr>
          <m:t>b</m:t>
        </m:r>
      </m:oMath>
      <w:r>
        <w:t xml:space="preserve"> </w:t>
      </w:r>
      <w:r>
        <w:t xml:space="preserve">appris sur les annonces existantes.</w:t>
      </w:r>
    </w:p>
    <w:p>
      <w:pPr>
        <w:numPr>
          <w:ilvl w:val="0"/>
          <w:numId w:val="1024"/>
        </w:numPr>
      </w:pPr>
      <w:r>
        <w:t xml:space="preserve">Aucune phase d’exploration n’est nécessaire pour les premières prédictions.</w:t>
      </w:r>
    </w:p>
    <w:p>
      <w:pPr>
        <w:pStyle w:val="FirstParagraph"/>
      </w:pPr>
      <w:r>
        <w:t xml:space="preserve">Ce mécanisme est fondamentalement différent du modèle classique (disjoint), où chaque nouveau bras nécessite la construction d’une matrice</w:t>
      </w:r>
      <w:r>
        <w:t xml:space="preserve"> </w:t>
      </w:r>
      <m:oMath>
        <m:sSub>
          <m:e>
            <m:r>
              <m:t>A</m:t>
            </m:r>
          </m:e>
          <m:sub>
            <m:r>
              <m:t>k</m:t>
            </m:r>
          </m:sub>
        </m:sSub>
      </m:oMath>
      <w:r>
        <w:t xml:space="preserve"> </w:t>
      </w:r>
      <w:r>
        <w:t xml:space="preserve">et d’un vecteur</w:t>
      </w:r>
      <w:r>
        <w:t xml:space="preserve"> </w:t>
      </w:r>
      <m:oMath>
        <m:sSub>
          <m:e>
            <m:r>
              <m:rPr>
                <m:sty m:val="b"/>
              </m:rPr>
              <m:t>b</m:t>
            </m:r>
          </m:e>
          <m:sub>
            <m:r>
              <m:t>k</m:t>
            </m:r>
          </m:sub>
        </m:sSub>
      </m:oMath>
      <w:r>
        <w:t xml:space="preserve"> </w:t>
      </w:r>
      <w:r>
        <w:t xml:space="preserve">depuis zéro</w:t>
      </w:r>
      <w:r>
        <w:t xml:space="preserve"> </w:t>
      </w:r>
      <w:r>
        <w:t xml:space="preserve">[</w:t>
      </w:r>
      <w:hyperlink w:anchor="ref-gentile2014online">
        <w:r>
          <w:rPr>
            <w:rStyle w:val="Hyperlink"/>
          </w:rPr>
          <w:t xml:space="preserve">Gentile et al. 2014</w:t>
        </w:r>
      </w:hyperlink>
      <w:r>
        <w:t xml:space="preserve">]</w:t>
      </w:r>
      <w:r>
        <w:t xml:space="preserve">.</w:t>
      </w:r>
    </w:p>
    <w:bookmarkEnd w:id="91"/>
    <w:bookmarkEnd w:id="92"/>
    <w:bookmarkStart w:id="93" w:name="extension-aux-agents-non-linéaires"/>
    <w:p>
      <w:pPr>
        <w:pStyle w:val="Heading4"/>
      </w:pPr>
      <w:r>
        <w:t xml:space="preserve">4. Extension aux Agents Non-Linéaires</w:t>
      </w:r>
    </w:p>
    <w:p>
      <w:pPr>
        <w:pStyle w:val="FirstParagraph"/>
      </w:pPr>
      <w:r>
        <w:t xml:space="preserve">Le même principe d’hybridation s’applique aux agents neuronaux (NeuralUCB, NeuralTS, DeepBandit) : les embeddings concaténés</w:t>
      </w:r>
      <w:r>
        <w:t xml:space="preserve"> </w:t>
      </w:r>
      <m:oMath>
        <m:r>
          <m:rPr>
            <m:sty m:val="p"/>
          </m:rPr>
          <m:t>[</m:t>
        </m:r>
        <m:sSub>
          <m:e>
            <m:r>
              <m:rPr>
                <m:sty m:val="b"/>
              </m:rPr>
              <m:t>x</m:t>
            </m:r>
          </m:e>
          <m:sub>
            <m:r>
              <m:t>u</m:t>
            </m:r>
          </m:sub>
        </m:sSub>
        <m:r>
          <m:rPr>
            <m:sty m:val="p"/>
          </m:rPr>
          <m:t>∥</m:t>
        </m:r>
        <m:sSub>
          <m:e>
            <m:r>
              <m:rPr>
                <m:sty m:val="b"/>
              </m:rPr>
              <m:t>x</m:t>
            </m:r>
          </m:e>
          <m:sub>
            <m:r>
              <m:t>a</m:t>
            </m:r>
          </m:sub>
        </m:sSub>
        <m:r>
          <m:rPr>
            <m:sty m:val="p"/>
          </m:rPr>
          <m:t>]</m:t>
        </m:r>
      </m:oMath>
      <w:r>
        <w:t xml:space="preserve"> </w:t>
      </w:r>
      <w:r>
        <w:t xml:space="preserve">sont passés en entrée du réseau de neurones. Cette généralisation bénéficie des avancées récentes sur les bandits neuronaux</w:t>
      </w:r>
      <w:r>
        <w:t xml:space="preserve"> </w:t>
      </w:r>
      <w:r>
        <w:t xml:space="preserve">[</w:t>
      </w:r>
      <w:hyperlink w:anchor="ref-xuneural2024">
        <w:r>
          <w:rPr>
            <w:rStyle w:val="Hyperlink"/>
          </w:rPr>
          <w:t xml:space="preserve">Xu et al. 2023</w:t>
        </w:r>
      </w:hyperlink>
      <w:r>
        <w:t xml:space="preserve">]</w:t>
      </w:r>
      <w:r>
        <w:t xml:space="preserve"> </w:t>
      </w:r>
      <w:r>
        <w:t xml:space="preserve">et s’aligne avec les approches LLM pour la recommandation sémantique</w:t>
      </w:r>
      <w:r>
        <w:t xml:space="preserve"> </w:t>
      </w:r>
      <w:r>
        <w:t xml:space="preserve">[</w:t>
      </w:r>
      <w:hyperlink w:anchor="ref-lin2024rella">
        <w:r>
          <w:rPr>
            <w:rStyle w:val="Hyperlink"/>
          </w:rPr>
          <w:t xml:space="preserve">Lin et al. 2024</w:t>
        </w:r>
      </w:hyperlink>
      <w:r>
        <w:t xml:space="preserve">]</w:t>
      </w:r>
      <w:r>
        <w:t xml:space="preserve">.</w:t>
      </w:r>
    </w:p>
    <w:bookmarkEnd w:id="93"/>
    <w:bookmarkEnd w:id="94"/>
    <w:bookmarkEnd w:id="95"/>
    <w:bookmarkStart w:id="96" w:name="conclusion-1"/>
    <w:p>
      <w:pPr>
        <w:pStyle w:val="Heading2"/>
      </w:pPr>
      <w:r>
        <w:t xml:space="preserve">Conclusion</w:t>
      </w:r>
    </w:p>
    <w:p>
      <w:pPr>
        <w:pStyle w:val="FirstParagraph"/>
      </w:pPr>
      <w:r>
        <w:t xml:space="preserve">Ce chapitre a établi les fondations théoriques de notre système :</w:t>
      </w:r>
    </w:p>
    <w:p>
      <w:pPr>
        <w:numPr>
          <w:ilvl w:val="0"/>
          <w:numId w:val="1025"/>
        </w:numPr>
      </w:pPr>
      <w:r>
        <w:rPr>
          <w:b/>
          <w:bCs/>
        </w:rPr>
        <w:t xml:space="preserve">Modélisation</w:t>
      </w:r>
      <w:r>
        <w:t xml:space="preserve"> </w:t>
      </w:r>
      <w:r>
        <w:t xml:space="preserve">: le problème de sélection publicitaire a été formalisé comme un Programme en Nombres Entiers Multi-Objectifs (</w:t>
      </w:r>
      <m:oMath>
        <m:sSub>
          <m:e>
            <m:r>
              <m:t>P</m:t>
            </m:r>
          </m:e>
          <m:sub>
            <m:r>
              <m:rPr>
                <m:nor/>
                <m:sty m:val="p"/>
              </m:rPr>
              <m:t>MOIP</m:t>
            </m:r>
          </m:sub>
        </m:sSub>
      </m:oMath>
      <w:r>
        <w:t xml:space="preserve">), avec deux objectifs conflictuels (engagement et revenue) sous contraintes de temps réel et de feedback partiel.</w:t>
      </w:r>
    </w:p>
    <w:p>
      <w:pPr>
        <w:numPr>
          <w:ilvl w:val="0"/>
          <w:numId w:val="1025"/>
        </w:numPr>
      </w:pPr>
      <w:r>
        <w:rPr>
          <w:b/>
          <w:bCs/>
        </w:rPr>
        <w:t xml:space="preserve">État de l’art</w:t>
      </w:r>
      <w:r>
        <w:t xml:space="preserve"> </w:t>
      </w:r>
      <w:r>
        <w:t xml:space="preserve">: sept familles d’agents d’estimation et dix politiques d’optimisation multi-objectif ont été présentées et caractérisées.</w:t>
      </w:r>
    </w:p>
    <w:p>
      <w:pPr>
        <w:numPr>
          <w:ilvl w:val="0"/>
          <w:numId w:val="1025"/>
        </w:numPr>
      </w:pPr>
      <w:r>
        <w:rPr>
          <w:b/>
          <w:bCs/>
        </w:rPr>
        <w:t xml:space="preserve">Approche hybride</w:t>
      </w:r>
      <w:r>
        <w:t xml:space="preserve"> </w:t>
      </w:r>
      <w:r>
        <w:t xml:space="preserve">: l’architecture du Bandit Contextuel Sémantique Hybride a été détaillée, fondée sur l’encodage SentenceTransformer et le modèle global partagé permettant le transfert zéro-shot.</w:t>
      </w:r>
    </w:p>
    <w:p>
      <w:pPr>
        <w:pStyle w:val="FirstParagraph"/>
      </w:pPr>
      <w:r>
        <w:t xml:space="preserve">Le chapitre suivant présentera l’expérimentation et la validation de cette approche hybride, ainsi que l’implémentation technique du système complet.</w:t>
      </w:r>
    </w:p>
    <w:bookmarkEnd w:id="96"/>
    <w:bookmarkEnd w:id="97"/>
    <w:bookmarkStart w:id="143" w:name="chap:experimentation"/>
    <w:p>
      <w:pPr>
        <w:pStyle w:val="Heading1"/>
      </w:pPr>
      <w:r>
        <w:t xml:space="preserve">Chapitre 3 : Expérimentation et Implémentation</w:t>
      </w:r>
    </w:p>
    <w:bookmarkStart w:id="98" w:name="introduction-2"/>
    <w:p>
      <w:pPr>
        <w:pStyle w:val="Heading2"/>
      </w:pPr>
      <w:r>
        <w:t xml:space="preserve">Introduction</w:t>
      </w:r>
    </w:p>
    <w:p>
      <w:pPr>
        <w:pStyle w:val="FirstParagraph"/>
      </w:pPr>
      <w:r>
        <w:t xml:space="preserve">Ce chapitre concrétise les fondements théoriques posés au Chapitre 2. Il se structure en deux volets complémentaires : d’une part, la</w:t>
      </w:r>
      <w:r>
        <w:t xml:space="preserve"> </w:t>
      </w:r>
      <w:r>
        <w:rPr>
          <w:b/>
          <w:bCs/>
        </w:rPr>
        <w:t xml:space="preserve">validation expérimentale</w:t>
      </w:r>
      <w:r>
        <w:t xml:space="preserve"> </w:t>
      </w:r>
      <w:r>
        <w:t xml:space="preserve">de l’approche hybride sémantique à travers un benchmark exhaustif de 142 configurations ; d’autre part, la description de l’</w:t>
      </w:r>
      <w:r>
        <w:rPr>
          <w:b/>
          <w:bCs/>
        </w:rPr>
        <w:t xml:space="preserve">environnement technique</w:t>
      </w:r>
      <w:r>
        <w:t xml:space="preserve"> </w:t>
      </w:r>
      <w:r>
        <w:t xml:space="preserve">mis en place pour supporter ces expérimentations.</w:t>
      </w:r>
    </w:p>
    <w:bookmarkEnd w:id="98"/>
    <w:bookmarkStart w:id="100" w:name="sec:env_technique"/>
    <w:p>
      <w:pPr>
        <w:pStyle w:val="Heading2"/>
      </w:pPr>
      <w:r>
        <w:t xml:space="preserve">3.1 Environnement Technique</w:t>
      </w:r>
    </w:p>
    <w:p>
      <w:pPr>
        <w:pStyle w:val="FirstParagraph"/>
      </w:pPr>
      <w:r>
        <w:t xml:space="preserve">L’ensemble des expérimentations de ce projet a été conduit dans un environnement contrôlé, reproductible et représentatif des conditions de déploiement cibles.</w:t>
      </w:r>
    </w:p>
    <w:bookmarkStart w:id="99" w:name="tab:env_technique"/>
    <w:p>
      <w:pPr>
        <w:pStyle w:val="TableCaption"/>
      </w:pPr>
      <w:r>
        <w:t xml:space="preserve">TABLEAU 3.1  ENVIRONNEMENT TECHNIQUE DES EXPéRIMENTATIONS</w:t>
      </w:r>
    </w:p>
    <w:tbl>
      <w:tblPr>
        <w:tblStyle w:val="Table"/>
        <w:tblW w:type="auto" w:w="0"/>
        <w:tblLook w:firstRow="1" w:lastRow="0" w:firstColumn="0" w:lastColumn="0" w:noHBand="0" w:noVBand="0" w:val="0020"/>
        <w:tblCaption w:val="TABLEAU 3.1  ENVIRONNEMENT TECHNIQUE DES EXPéRIMENTATIONS"/>
      </w:tblPr>
      <w:tblGrid>
        <w:gridCol w:w="3960"/>
        <w:gridCol w:w="3960"/>
      </w:tblGrid>
      <w:tr>
        <w:trPr>
          <w:tblHeader w:val="on"/>
        </w:trPr>
        <w:tc>
          <w:tcPr/>
          <w:p>
            <w:pPr>
              <w:pStyle w:val="Compact"/>
              <w:jc w:val="left"/>
            </w:pPr>
            <w:r>
              <w:rPr>
                <w:b/>
                <w:bCs/>
              </w:rPr>
              <w:t xml:space="preserve">Composant</w:t>
            </w:r>
          </w:p>
        </w:tc>
        <w:tc>
          <w:tcPr/>
          <w:p>
            <w:pPr>
              <w:pStyle w:val="Compact"/>
              <w:jc w:val="left"/>
            </w:pPr>
            <w:r>
              <w:rPr>
                <w:b/>
                <w:bCs/>
              </w:rPr>
              <w:t xml:space="preserve">Spécification</w:t>
            </w:r>
          </w:p>
        </w:tc>
      </w:tr>
      <w:tr>
        <w:tc>
          <w:tcPr/>
          <w:p>
            <w:pPr>
              <w:pStyle w:val="Compact"/>
              <w:jc w:val="left"/>
            </w:pPr>
            <w:r>
              <w:t xml:space="preserve">Langage</w:t>
            </w:r>
          </w:p>
        </w:tc>
        <w:tc>
          <w:tcPr/>
          <w:p>
            <w:pPr>
              <w:pStyle w:val="Compact"/>
              <w:jc w:val="left"/>
            </w:pPr>
            <w:r>
              <w:t xml:space="preserve">Python 3.12</w:t>
            </w:r>
          </w:p>
        </w:tc>
      </w:tr>
      <w:tr>
        <w:tc>
          <w:tcPr/>
          <w:p>
            <w:pPr>
              <w:pStyle w:val="Compact"/>
              <w:jc w:val="left"/>
            </w:pPr>
            <w:r>
              <w:t xml:space="preserve">Framework ML</w:t>
            </w:r>
          </w:p>
        </w:tc>
        <w:tc>
          <w:tcPr/>
          <w:p>
            <w:pPr>
              <w:pStyle w:val="Compact"/>
              <w:jc w:val="left"/>
            </w:pPr>
            <w:r>
              <w:t xml:space="preserve">PyTorch 2.x</w:t>
            </w:r>
            <w:r>
              <w:t xml:space="preserve"> </w:t>
            </w:r>
            <w:r>
              <w:t xml:space="preserve">[</w:t>
            </w:r>
            <w:hyperlink w:anchor="ref-paszke2019pytorch">
              <w:r>
                <w:rPr>
                  <w:rStyle w:val="Hyperlink"/>
                </w:rPr>
                <w:t xml:space="preserve">Paszke et al. 2019</w:t>
              </w:r>
            </w:hyperlink>
            <w:r>
              <w:t xml:space="preserve">]</w:t>
            </w:r>
            <w:r>
              <w:t xml:space="preserve"> </w:t>
            </w:r>
            <w:r>
              <w:t xml:space="preserve">(MLP ensemble, 5 réseaux)</w:t>
            </w:r>
          </w:p>
        </w:tc>
      </w:tr>
      <w:tr>
        <w:tc>
          <w:tcPr/>
          <w:p>
            <w:pPr>
              <w:pStyle w:val="Compact"/>
              <w:jc w:val="left"/>
            </w:pPr>
            <w:r>
              <w:t xml:space="preserve">Encodage sémantique</w:t>
            </w:r>
          </w:p>
        </w:tc>
        <w:tc>
          <w:tcPr/>
          <w:p>
            <w:pPr>
              <w:pStyle w:val="Compact"/>
              <w:jc w:val="left"/>
            </w:pPr>
            <w:r>
              <w:t xml:space="preserve">SentenceTransformer (</w:t>
            </w:r>
            <w:r>
              <w:rPr>
                <w:rStyle w:val="VerbatimChar"/>
              </w:rPr>
              <w:t xml:space="preserve">all-MiniLM-L6-v2</w:t>
            </w:r>
            <w:r>
              <w:t xml:space="preserve">)</w:t>
            </w:r>
            <w:r>
              <w:t xml:space="preserve"> </w:t>
            </w:r>
            <w:r>
              <w:t xml:space="preserve">[</w:t>
            </w:r>
            <w:hyperlink w:anchor="ref-reimers2019sentence">
              <w:r>
                <w:rPr>
                  <w:rStyle w:val="Hyperlink"/>
                </w:rPr>
                <w:t xml:space="preserve">Reimers and Gurevych 2019</w:t>
              </w:r>
            </w:hyperlink>
            <w:r>
              <w:t xml:space="preserve">]</w:t>
            </w:r>
            <w:r>
              <w:t xml:space="preserve">, dim = 384</w:t>
            </w:r>
          </w:p>
        </w:tc>
      </w:tr>
      <w:tr>
        <w:tc>
          <w:tcPr/>
          <w:p>
            <w:pPr>
              <w:pStyle w:val="Compact"/>
              <w:jc w:val="left"/>
            </w:pPr>
            <w:r>
              <w:t xml:space="preserve">Simulateur</w:t>
            </w:r>
          </w:p>
        </w:tc>
        <w:tc>
          <w:tcPr/>
          <w:p>
            <w:pPr>
              <w:pStyle w:val="Compact"/>
              <w:jc w:val="left"/>
            </w:pPr>
            <w:r>
              <w:rPr>
                <w:rStyle w:val="VerbatimChar"/>
              </w:rPr>
              <w:t xml:space="preserve">SemanticRewardSimulator</w:t>
            </w:r>
            <w:r>
              <w:t xml:space="preserve"> </w:t>
            </w:r>
            <w:r>
              <w:t xml:space="preserve">(récompenses déterministes par similarité cosinus)</w:t>
            </w:r>
          </w:p>
        </w:tc>
      </w:tr>
      <w:tr>
        <w:tc>
          <w:tcPr/>
          <w:p>
            <w:pPr>
              <w:pStyle w:val="Compact"/>
              <w:jc w:val="left"/>
            </w:pPr>
            <w:r>
              <w:t xml:space="preserve">Gestionnaire de dépendances</w:t>
            </w:r>
          </w:p>
        </w:tc>
        <w:tc>
          <w:tcPr/>
          <w:p>
            <w:pPr>
              <w:pStyle w:val="Compact"/>
              <w:jc w:val="left"/>
            </w:pPr>
            <w:r>
              <w:rPr>
                <w:rStyle w:val="VerbatimChar"/>
              </w:rPr>
              <w:t xml:space="preserve">uv</w:t>
            </w:r>
          </w:p>
        </w:tc>
      </w:tr>
      <w:tr>
        <w:tc>
          <w:tcPr/>
          <w:p>
            <w:pPr>
              <w:pStyle w:val="Compact"/>
              <w:jc w:val="left"/>
            </w:pPr>
            <w:r>
              <w:t xml:space="preserve">Matériel</w:t>
            </w:r>
          </w:p>
        </w:tc>
        <w:tc>
          <w:tcPr/>
          <w:p>
            <w:pPr>
              <w:pStyle w:val="Compact"/>
              <w:jc w:val="left"/>
            </w:pPr>
            <w:r>
              <w:t xml:space="preserve">CPU Intel, 16 Go RAM</w:t>
            </w:r>
          </w:p>
        </w:tc>
      </w:tr>
    </w:tbl>
    <w:bookmarkEnd w:id="99"/>
    <w:bookmarkEnd w:id="100"/>
    <w:bookmarkStart w:id="131" w:name="sec:validation"/>
    <w:p>
      <w:pPr>
        <w:pStyle w:val="Heading2"/>
      </w:pPr>
      <w:r>
        <w:t xml:space="preserve">3.2 Validation du Choix de l’Approche</w:t>
      </w:r>
    </w:p>
    <w:bookmarkStart w:id="102" w:name="protocole-expérimental"/>
    <w:p>
      <w:pPr>
        <w:pStyle w:val="Heading3"/>
      </w:pPr>
      <w:r>
        <w:t xml:space="preserve">3.2.1 Protocole Expérimental</w:t>
      </w:r>
    </w:p>
    <w:p>
      <w:pPr>
        <w:pStyle w:val="FirstParagraph"/>
      </w:pPr>
      <w:r>
        <w:t xml:space="preserve">Afin de valider rigoureusement l’approche hybride sémantique, un benchmark exhaustif a été mené avec le protocole suivant :</w:t>
      </w:r>
    </w:p>
    <w:bookmarkStart w:id="101" w:name="tab:benchmark_config"/>
    <w:p>
      <w:pPr>
        <w:pStyle w:val="TableCaption"/>
      </w:pPr>
      <w:r>
        <w:t xml:space="preserve">TABLEAU 3.2  CONFIGURATION DU BENCHMARK DE VALIDATION</w:t>
      </w:r>
    </w:p>
    <w:tbl>
      <w:tblPr>
        <w:tblStyle w:val="Table"/>
        <w:tblW w:type="auto" w:w="0"/>
        <w:tblLook w:firstRow="1" w:lastRow="0" w:firstColumn="0" w:lastColumn="0" w:noHBand="0" w:noVBand="0" w:val="0020"/>
        <w:tblCaption w:val="TABLEAU 3.2  CONFIGURATION DU BENCHMARK DE VALIDATION"/>
      </w:tblPr>
      <w:tblGrid>
        <w:gridCol w:w="3960"/>
        <w:gridCol w:w="3960"/>
      </w:tblGrid>
      <w:tr>
        <w:trPr>
          <w:tblHeader w:val="on"/>
        </w:trPr>
        <w:tc>
          <w:tcPr/>
          <w:p>
            <w:pPr>
              <w:pStyle w:val="Compact"/>
              <w:jc w:val="left"/>
            </w:pPr>
            <w:r>
              <w:rPr>
                <w:b/>
                <w:bCs/>
              </w:rPr>
              <w:t xml:space="preserve">Paramètre</w:t>
            </w:r>
          </w:p>
        </w:tc>
        <w:tc>
          <w:tcPr/>
          <w:p>
            <w:pPr>
              <w:pStyle w:val="Compact"/>
              <w:jc w:val="left"/>
            </w:pPr>
            <w:r>
              <w:rPr>
                <w:b/>
                <w:bCs/>
              </w:rPr>
              <w:t xml:space="preserve">Valeur</w:t>
            </w:r>
          </w:p>
        </w:tc>
      </w:tr>
      <w:tr>
        <w:tc>
          <w:tcPr/>
          <w:p>
            <w:pPr>
              <w:pStyle w:val="Compact"/>
              <w:jc w:val="left"/>
            </w:pPr>
            <w:r>
              <w:t xml:space="preserve">Agents bandit/déploiement</w:t>
            </w:r>
          </w:p>
        </w:tc>
        <w:tc>
          <w:tcPr/>
          <w:p>
            <w:pPr>
              <w:pStyle w:val="Compact"/>
              <w:jc w:val="left"/>
            </w:pPr>
            <w:r>
              <w:t xml:space="preserve">14 agents</w:t>
            </w:r>
            <w:r>
              <w:t xml:space="preserve"> </w:t>
            </w:r>
            <m:oMath>
              <m:r>
                <m:rPr>
                  <m:sty m:val="p"/>
                </m:rPr>
                <m:t>×</m:t>
              </m:r>
            </m:oMath>
            <w:r>
              <w:t xml:space="preserve"> </w:t>
            </w:r>
            <w:r>
              <w:t xml:space="preserve">10 politiques MOO =</w:t>
            </w:r>
            <w:r>
              <w:t xml:space="preserve"> </w:t>
            </w:r>
            <w:r>
              <w:rPr>
                <w:b/>
                <w:bCs/>
              </w:rPr>
              <w:t xml:space="preserve">140 configurations</w:t>
            </w:r>
          </w:p>
        </w:tc>
      </w:tr>
      <w:tr>
        <w:tc>
          <w:tcPr/>
          <w:p>
            <w:pPr>
              <w:pStyle w:val="Compact"/>
              <w:jc w:val="left"/>
            </w:pPr>
            <w:r>
              <w:t xml:space="preserve">Agents LLM</w:t>
            </w:r>
          </w:p>
        </w:tc>
        <w:tc>
          <w:tcPr/>
          <w:p>
            <w:pPr>
              <w:pStyle w:val="Compact"/>
              <w:jc w:val="left"/>
            </w:pPr>
            <w:r>
              <w:t xml:space="preserve">2 agents LLM</w:t>
            </w:r>
            <w:r>
              <w:t xml:space="preserve"> </w:t>
            </w:r>
            <m:oMath>
              <m:r>
                <m:rPr>
                  <m:sty m:val="p"/>
                </m:rPr>
                <m:t>×</m:t>
              </m:r>
            </m:oMath>
            <w:r>
              <w:t xml:space="preserve"> </w:t>
            </w:r>
            <w:r>
              <w:t xml:space="preserve">1 simulation (politique interne) =</w:t>
            </w:r>
            <w:r>
              <w:t xml:space="preserve"> </w:t>
            </w:r>
            <w:r>
              <w:rPr>
                <w:b/>
                <w:bCs/>
              </w:rPr>
              <w:t xml:space="preserve">2 évaluations</w:t>
            </w:r>
          </w:p>
        </w:tc>
      </w:tr>
      <w:tr>
        <w:tc>
          <w:tcPr/>
          <w:p>
            <w:pPr>
              <w:pStyle w:val="Compact"/>
              <w:jc w:val="left"/>
            </w:pPr>
            <w:r>
              <w:t xml:space="preserve">Total</w:t>
            </w:r>
          </w:p>
        </w:tc>
        <w:tc>
          <w:tcPr/>
          <w:p>
            <w:pPr>
              <w:pStyle w:val="Compact"/>
              <w:jc w:val="left"/>
            </w:pPr>
            <w:r>
              <w:rPr>
                <w:b/>
                <w:bCs/>
              </w:rPr>
              <w:t xml:space="preserve">142 évaluations</w:t>
            </w:r>
          </w:p>
        </w:tc>
      </w:tr>
      <w:tr>
        <w:tc>
          <w:tcPr/>
          <w:p>
            <w:pPr>
              <w:pStyle w:val="Compact"/>
              <w:jc w:val="left"/>
            </w:pPr>
            <w:r>
              <w:t xml:space="preserve">Itérations</w:t>
            </w:r>
          </w:p>
        </w:tc>
        <w:tc>
          <w:tcPr/>
          <w:p>
            <w:pPr>
              <w:pStyle w:val="Compact"/>
              <w:jc w:val="left"/>
            </w:pPr>
            <m:oMath>
              <m:r>
                <m:t>N</m:t>
              </m:r>
              <m:r>
                <m:rPr>
                  <m:sty m:val="p"/>
                </m:rPr>
                <m:t>=</m:t>
              </m:r>
              <m:r>
                <m:t>5</m:t>
              </m:r>
              <m:r>
                <m:t> </m:t>
              </m:r>
              <m:r>
                <m:t>000</m:t>
              </m:r>
            </m:oMath>
            <w:r>
              <w:t xml:space="preserve"> </w:t>
            </w:r>
            <w:r>
              <w:t xml:space="preserve">par configuration</w:t>
            </w:r>
          </w:p>
        </w:tc>
      </w:tr>
      <w:tr>
        <w:tc>
          <w:tcPr/>
          <w:p>
            <w:pPr>
              <w:pStyle w:val="Compact"/>
              <w:jc w:val="left"/>
            </w:pPr>
            <w:r>
              <w:t xml:space="preserve">Cold-Start Shock</w:t>
            </w:r>
          </w:p>
        </w:tc>
        <w:tc>
          <w:tcPr/>
          <w:p>
            <w:pPr>
              <w:pStyle w:val="Compact"/>
              <w:jc w:val="left"/>
            </w:pPr>
            <w:r>
              <w:t xml:space="preserve">12 nouvelles annonces injectées à</w:t>
            </w:r>
            <w:r>
              <w:t xml:space="preserve"> </w:t>
            </w:r>
            <m:oMath>
              <m:r>
                <m:t>t</m:t>
              </m:r>
              <m:r>
                <m:rPr>
                  <m:sty m:val="p"/>
                </m:rPr>
                <m:t>=</m:t>
              </m:r>
              <m:r>
                <m:t>2</m:t>
              </m:r>
              <m:r>
                <m:t> </m:t>
              </m:r>
              <m:r>
                <m:t>500</m:t>
              </m:r>
            </m:oMath>
            <w:r>
              <w:t xml:space="preserve"> </w:t>
            </w:r>
            <w:r>
              <w:t xml:space="preserve">(</w:t>
            </w:r>
            <m:oMath>
              <m:r>
                <m:rPr>
                  <m:sty m:val="p"/>
                </m:rPr>
                <m:t>+</m:t>
              </m:r>
              <m:r>
                <m:t>20</m:t>
              </m:r>
              <m:r>
                <m:rPr>
                  <m:sty m:val="p"/>
                </m:rPr>
                <m:t>%</m:t>
              </m:r>
            </m:oMath>
            <w:r>
              <w:t xml:space="preserve"> </w:t>
            </w:r>
            <w:r>
              <w:t xml:space="preserve">du catalogue)</w:t>
            </w:r>
          </w:p>
        </w:tc>
      </w:tr>
      <w:tr>
        <w:tc>
          <w:tcPr/>
          <w:p>
            <w:pPr>
              <w:pStyle w:val="Compact"/>
              <w:jc w:val="left"/>
            </w:pPr>
            <w:r>
              <w:t xml:space="preserve">Environnement</w:t>
            </w:r>
          </w:p>
        </w:tc>
        <w:tc>
          <w:tcPr/>
          <w:p>
            <w:pPr>
              <w:pStyle w:val="Compact"/>
              <w:jc w:val="left"/>
            </w:pPr>
            <w:r>
              <w:rPr>
                <w:rStyle w:val="VerbatimChar"/>
              </w:rPr>
              <w:t xml:space="preserve">SemanticRewardSimulator</w:t>
            </w:r>
            <w:r>
              <w:t xml:space="preserve">, récompenses déterministes (similarité cosinus)</w:t>
            </w:r>
          </w:p>
        </w:tc>
      </w:tr>
      <w:tr>
        <w:tc>
          <w:tcPr/>
          <w:p>
            <w:pPr>
              <w:pStyle w:val="Compact"/>
              <w:jc w:val="left"/>
            </w:pPr>
            <w:r>
              <w:t xml:space="preserve">Métriques</w:t>
            </w:r>
          </w:p>
        </w:tc>
        <w:tc>
          <w:tcPr/>
          <w:p>
            <w:pPr>
              <w:pStyle w:val="Compact"/>
              <w:jc w:val="left"/>
            </w:pPr>
            <w:r>
              <w:t xml:space="preserve">Engagement moyen, revenue moyen, temps d’exécution moyen</w:t>
            </w:r>
          </w:p>
        </w:tc>
      </w:tr>
    </w:tbl>
    <w:bookmarkEnd w:id="101"/>
    <w:bookmarkEnd w:id="102"/>
    <w:bookmarkStart w:id="129" w:name="résultats"/>
    <w:p>
      <w:pPr>
        <w:pStyle w:val="Heading3"/>
      </w:pPr>
      <w:r>
        <w:t xml:space="preserve">3.2.2 Résultats</w:t>
      </w:r>
    </w:p>
    <w:bookmarkStart w:id="107" w:name="résultat-1-zero-shot-transfer"/>
    <w:p>
      <w:pPr>
        <w:pStyle w:val="Heading4"/>
      </w:pPr>
      <w:r>
        <w:t xml:space="preserve">Résultat 1 — Zero-Shot Transfer</w:t>
      </w:r>
    </w:p>
    <w:p>
      <w:pPr>
        <w:pStyle w:val="FirstParagraph"/>
      </w:pPr>
      <w:r>
        <w:t xml:space="preserve">La figure </w:t>
      </w:r>
      <w:r>
        <w:t xml:space="preserve"> </w:t>
      </w:r>
      <w:r>
        <w:t xml:space="preserve">illustre l’avantage fondamental du modèle global sur le modèle classique lors de l’introduction de nouvelles annonces.</w:t>
      </w:r>
    </w:p>
    <w:bookmarkStart w:id="106" w:name="fig:zero_shot"/>
    <w:p>
      <w:pPr>
        <w:pStyle w:val="CaptionedFigure"/>
      </w:pPr>
      <w:r>
        <w:drawing>
          <wp:inline>
            <wp:extent cx="4533900" cy="3238500"/>
            <wp:effectExtent b="0" l="0" r="0" t="0"/>
            <wp:docPr descr="" title="" id="104" name="Picture"/>
            <a:graphic>
              <a:graphicData uri="http://schemas.openxmlformats.org/drawingml/2006/picture">
                <pic:pic>
                  <pic:nvPicPr>
                    <pic:cNvPr descr="./docx_media/zero_shot_transfer_demo.png" id="105" name="Picture"/>
                    <pic:cNvPicPr>
                      <a:picLocks noChangeArrowheads="1" noChangeAspect="1"/>
                    </pic:cNvPicPr>
                  </pic:nvPicPr>
                  <pic:blipFill>
                    <a:blip r:embed="rId103"/>
                    <a:stretch>
                      <a:fillRect/>
                    </a:stretch>
                  </pic:blipFill>
                  <pic:spPr bwMode="auto">
                    <a:xfrm>
                      <a:off x="0" y="0"/>
                      <a:ext cx="4533900" cy="3238500"/>
                    </a:xfrm>
                    <a:prstGeom prst="rect">
                      <a:avLst/>
                    </a:prstGeom>
                    <a:noFill/>
                    <a:ln w="9525">
                      <a:noFill/>
                      <a:headEnd/>
                      <a:tailEnd/>
                    </a:ln>
                  </pic:spPr>
                </pic:pic>
              </a:graphicData>
            </a:graphic>
          </wp:inline>
        </w:drawing>
      </w:r>
    </w:p>
    <w:p>
      <w:pPr>
        <w:pStyle w:val="ImageCaption"/>
      </w:pPr>
      <w:r>
        <w:t xml:space="preserve">Figure 3.1  Démonstration du transfert zéro-shot : LinUCB classique vs H-LinUCB hybride (politique Scalar). Le choc cold-start à</w:t>
      </w:r>
      <w:r>
        <w:t xml:space="preserve"> </w:t>
      </w:r>
      <m:oMath>
        <m:r>
          <m:t>t</m:t>
        </m:r>
        <m:r>
          <m:rPr>
            <m:sty m:val="p"/>
          </m:rPr>
          <m:t>=</m:t>
        </m:r>
        <m:r>
          <m:t>2</m:t>
        </m:r>
        <m:r>
          <m:t> </m:t>
        </m:r>
        <m:r>
          <m:t>500</m:t>
        </m:r>
      </m:oMath>
      <w:r>
        <w:t xml:space="preserve"> </w:t>
      </w:r>
      <w:r>
        <w:t xml:space="preserve">provoque une chute de performance pour LinUCB classique, tandis que H-LinUCB maintient sa trajectoire grâce à l’exploitation des embeddings sémantiques des nouvelles annonces.</w:t>
      </w:r>
    </w:p>
    <w:bookmarkEnd w:id="106"/>
    <w:p>
      <w:pPr>
        <w:pStyle w:val="BodyText"/>
      </w:pPr>
      <w:r>
        <w:rPr>
          <w:b/>
          <w:bCs/>
        </w:rPr>
        <w:t xml:space="preserve">Interprétation</w:t>
      </w:r>
      <w:r>
        <w:t xml:space="preserve"> </w:t>
      </w:r>
      <w:r>
        <w:t xml:space="preserve">: 200 itérations après le choc cold-start, H-LinUCB affiche un gap de</w:t>
      </w:r>
      <w:r>
        <w:t xml:space="preserve"> </w:t>
      </w:r>
      <w:r>
        <w:rPr>
          <w:b/>
          <w:bCs/>
        </w:rPr>
        <w:t xml:space="preserve">+0.132</w:t>
      </w:r>
      <w:r>
        <w:t xml:space="preserve"> </w:t>
      </w:r>
      <w:r>
        <w:t xml:space="preserve">en engagement par rapport à LinUCB classique</w:t>
      </w:r>
      <w:r>
        <w:t xml:space="preserve"> </w:t>
      </w:r>
      <w:r>
        <w:t xml:space="preserve">[</w:t>
      </w:r>
      <w:hyperlink w:anchor="ref-li2010contextual">
        <w:r>
          <w:rPr>
            <w:rStyle w:val="Hyperlink"/>
          </w:rPr>
          <w:t xml:space="preserve">Li et al. 2010</w:t>
        </w:r>
      </w:hyperlink>
      <w:r>
        <w:t xml:space="preserve">]</w:t>
      </w:r>
      <w:r>
        <w:t xml:space="preserve">. Ce résultat démontre que l’architecture globale sémantique utilise la similarité cosinus entre les embeddings des nouvelles annonces et ceux des annonces existantes pour prédire leur performance</w:t>
      </w:r>
      <w:r>
        <w:t xml:space="preserve"> </w:t>
      </w:r>
      <w:r>
        <w:rPr>
          <w:i/>
          <w:iCs/>
        </w:rPr>
        <w:t xml:space="preserve">sans exploration préalable</w:t>
      </w:r>
      <w:r>
        <w:t xml:space="preserve">.</w:t>
      </w:r>
    </w:p>
    <w:bookmarkEnd w:id="107"/>
    <w:bookmarkStart w:id="113" w:name="X9bc69a5a1a8352c4812cbae4e951698b9d86ad4"/>
    <w:p>
      <w:pPr>
        <w:pStyle w:val="Heading4"/>
      </w:pPr>
      <w:r>
        <w:t xml:space="preserve">Résultat 2 — Delta d’Hybridation (Score Conjoint)</w:t>
      </w:r>
    </w:p>
    <w:p>
      <w:pPr>
        <w:pStyle w:val="FirstParagraph"/>
      </w:pPr>
      <w:r>
        <w:t xml:space="preserve">Pour évaluer correctement l’apport de l’hybridation, chaque agent est évalué sur son</w:t>
      </w:r>
      <w:r>
        <w:t xml:space="preserve"> </w:t>
      </w:r>
      <w:r>
        <w:rPr>
          <w:b/>
          <w:bCs/>
        </w:rPr>
        <w:t xml:space="preserve">score conjoint</w:t>
      </w:r>
      <w:r>
        <w:t xml:space="preserve"> </w:t>
      </w:r>
      <w:r>
        <w:t xml:space="preserve">: pour chaque combinaison (agent</w:t>
      </w:r>
      <w:r>
        <w:t xml:space="preserve"> </w:t>
      </w:r>
      <m:oMath>
        <m:r>
          <m:rPr>
            <m:sty m:val="p"/>
          </m:rPr>
          <m:t>×</m:t>
        </m:r>
      </m:oMath>
      <w:r>
        <w:t xml:space="preserve"> </w:t>
      </w:r>
      <w:r>
        <w:t xml:space="preserve">politique), on dispose d’un point</w:t>
      </w:r>
      <w:r>
        <w:t xml:space="preserve"> </w:t>
      </w:r>
      <m:oMath>
        <m:r>
          <m:rPr>
            <m:sty m:val="p"/>
          </m:rPr>
          <m:t>(</m:t>
        </m:r>
        <m:r>
          <m:rPr>
            <m:nor/>
            <m:sty m:val="p"/>
          </m:rPr>
          <m:t>engagement</m:t>
        </m:r>
        <m:r>
          <m:rPr>
            <m:sty m:val="p"/>
          </m:rPr>
          <m:t>,</m:t>
        </m:r>
        <m:r>
          <m:rPr>
            <m:nor/>
            <m:sty m:val="p"/>
          </m:rPr>
          <m:t>revenue</m:t>
        </m:r>
        <m:r>
          <m:rPr>
            <m:sty m:val="p"/>
          </m:rPr>
          <m:t>)</m:t>
        </m:r>
      </m:oMath>
      <w:r>
        <w:t xml:space="preserve">. On sélectionne la politique qui maximise le score conjoint normalisé :</w:t>
      </w:r>
    </w:p>
    <w:p>
      <w:pPr>
        <w:pStyle w:val="BodyText"/>
      </w:pPr>
      <m:oMathPara>
        <m:oMathParaPr>
          <m:jc m:val="center"/>
        </m:oMathParaPr>
        <m:oMath>
          <m:sSub>
            <m:e>
              <m:r>
                <m:t>S</m:t>
              </m:r>
            </m:e>
            <m:sub>
              <m:r>
                <m:rPr>
                  <m:nor/>
                  <m:sty m:val="p"/>
                </m:rPr>
                <m:t>joint</m:t>
              </m:r>
            </m:sub>
          </m:sSub>
          <m:r>
            <m:rPr>
              <m:sty m:val="p"/>
            </m:rPr>
            <m:t>=</m:t>
          </m:r>
          <m:r>
            <m:rPr>
              <m:nor/>
              <m:sty m:val="p"/>
            </m:rPr>
            <m:t>engagement</m:t>
          </m:r>
          <m:r>
            <m:rPr>
              <m:sty m:val="p"/>
            </m:rPr>
            <m:t>+</m:t>
          </m:r>
          <m:f>
            <m:fPr>
              <m:type m:val="bar"/>
            </m:fPr>
            <m:num>
              <m:r>
                <m:rPr>
                  <m:nor/>
                  <m:sty m:val="p"/>
                </m:rPr>
                <m:t>revenue</m:t>
              </m:r>
              <m:r>
                <m:rPr>
                  <m:sty m:val="p"/>
                </m:rPr>
                <m:t>−</m:t>
              </m:r>
              <m:sSub>
                <m:e>
                  <m:r>
                    <m:rPr>
                      <m:nor/>
                      <m:sty m:val="p"/>
                    </m:rPr>
                    <m:t>rev</m:t>
                  </m:r>
                </m:e>
                <m:sub>
                  <m:r>
                    <m:rPr>
                      <m:sty m:val="p"/>
                    </m:rPr>
                    <m:t>min</m:t>
                  </m:r>
                </m:sub>
              </m:sSub>
            </m:num>
            <m:den>
              <m:sSub>
                <m:e>
                  <m:r>
                    <m:rPr>
                      <m:nor/>
                      <m:sty m:val="p"/>
                    </m:rPr>
                    <m:t>rev</m:t>
                  </m:r>
                </m:e>
                <m:sub>
                  <m:r>
                    <m:rPr>
                      <m:sty m:val="p"/>
                    </m:rPr>
                    <m:t>max</m:t>
                  </m:r>
                </m:sub>
              </m:sSub>
              <m:r>
                <m:rPr>
                  <m:sty m:val="p"/>
                </m:rPr>
                <m:t>−</m:t>
              </m:r>
              <m:sSub>
                <m:e>
                  <m:r>
                    <m:rPr>
                      <m:nor/>
                      <m:sty m:val="p"/>
                    </m:rPr>
                    <m:t>rev</m:t>
                  </m:r>
                </m:e>
                <m:sub>
                  <m:r>
                    <m:rPr>
                      <m:sty m:val="p"/>
                    </m:rPr>
                    <m:t>min</m:t>
                  </m:r>
                </m:sub>
              </m:sSub>
            </m:den>
          </m:f>
          <m:r>
            <m:t>  </m:t>
          </m:r>
          <m:r>
            <m:t>  </m:t>
          </m:r>
          <m:r>
            <m:t>  </m:t>
          </m:r>
          <m:r>
            <m:rPr>
              <m:nor/>
              <m:sty m:val="p"/>
            </m:rPr>
            <m:t>(3.1)</m:t>
          </m:r>
        </m:oMath>
      </m:oMathPara>
    </w:p>
    <w:p>
      <w:pPr>
        <w:pStyle w:val="FirstParagraph"/>
      </w:pPr>
      <w:r>
        <w:t xml:space="preserve"> </w:t>
      </w:r>
      <w:r>
        <w:t xml:space="preserve">Cette approche garantit que le même (agent, politique) est évalué simultanément sur les deux objectifs — tel que la politique MOO le fait réellement en production.</w:t>
      </w:r>
    </w:p>
    <w:bookmarkStart w:id="111" w:name="fig:delta_hybrid"/>
    <w:p>
      <w:pPr>
        <w:pStyle w:val="CaptionedFigure"/>
      </w:pPr>
      <w:r>
        <w:drawing>
          <wp:inline>
            <wp:extent cx="4533900" cy="3633267"/>
            <wp:effectExtent b="0" l="0" r="0" t="0"/>
            <wp:docPr descr="" title="" id="109" name="Picture"/>
            <a:graphic>
              <a:graphicData uri="http://schemas.openxmlformats.org/drawingml/2006/picture">
                <pic:pic>
                  <pic:nvPicPr>
                    <pic:cNvPr descr="./docx_media/hybridization_delta_joint.png" id="110" name="Picture"/>
                    <pic:cNvPicPr>
                      <a:picLocks noChangeArrowheads="1" noChangeAspect="1"/>
                    </pic:cNvPicPr>
                  </pic:nvPicPr>
                  <pic:blipFill>
                    <a:blip r:embed="rId108"/>
                    <a:stretch>
                      <a:fillRect/>
                    </a:stretch>
                  </pic:blipFill>
                  <pic:spPr bwMode="auto">
                    <a:xfrm>
                      <a:off x="0" y="0"/>
                      <a:ext cx="4533900" cy="3633267"/>
                    </a:xfrm>
                    <a:prstGeom prst="rect">
                      <a:avLst/>
                    </a:prstGeom>
                    <a:noFill/>
                    <a:ln w="9525">
                      <a:noFill/>
                      <a:headEnd/>
                      <a:tailEnd/>
                    </a:ln>
                  </pic:spPr>
                </pic:pic>
              </a:graphicData>
            </a:graphic>
          </wp:inline>
        </w:drawing>
      </w:r>
    </w:p>
    <w:p>
      <w:pPr>
        <w:pStyle w:val="ImageCaption"/>
      </w:pPr>
      <w:r>
        <w:t xml:space="preserve">Figure 3.2  </w:t>
      </w:r>
      <m:oMath>
        <m:r>
          <m:rPr>
            <m:sty m:val="p"/>
          </m:rPr>
          <m:t>Δ</m:t>
        </m:r>
        <m:sSub>
          <m:e>
            <m:r>
              <m:t>S</m:t>
            </m:r>
          </m:e>
          <m:sub>
            <m:r>
              <m:rPr>
                <m:nor/>
                <m:sty m:val="p"/>
              </m:rPr>
              <m:t>joint</m:t>
            </m:r>
          </m:sub>
        </m:sSub>
      </m:oMath>
      <w:r>
        <w:t xml:space="preserve"> </w:t>
      </w:r>
      <w:r>
        <w:t xml:space="preserve">par famille d’agents : gain apporté par le passage de l’agent classique à son homologue hybride sémantique, mesuré sur le score conjoint</w:t>
      </w:r>
      <w:r>
        <w:t xml:space="preserve"> </w:t>
      </w:r>
      <m:oMath>
        <m:sSub>
          <m:e>
            <m:r>
              <m:t>S</m:t>
            </m:r>
          </m:e>
          <m:sub>
            <m:r>
              <m:rPr>
                <m:nor/>
                <m:sty m:val="p"/>
              </m:rPr>
              <m:t>joint</m:t>
            </m:r>
          </m:sub>
        </m:sSub>
        <m:r>
          <m:rPr>
            <m:sty m:val="p"/>
          </m:rPr>
          <m:t>=</m:t>
        </m:r>
        <m:r>
          <m:rPr>
            <m:nor/>
            <m:sty m:val="p"/>
          </m:rPr>
          <m:t>eng</m:t>
        </m:r>
        <m:r>
          <m:rPr>
            <m:sty m:val="p"/>
          </m:rPr>
          <m:t>+</m:t>
        </m:r>
        <m:sSub>
          <m:e>
            <m:r>
              <m:rPr>
                <m:nor/>
                <m:sty m:val="p"/>
              </m:rPr>
              <m:t>rev</m:t>
            </m:r>
          </m:e>
          <m:sub>
            <m:r>
              <m:rPr>
                <m:nor/>
                <m:sty m:val="p"/>
              </m:rPr>
              <m:t>norm</m:t>
            </m:r>
          </m:sub>
        </m:sSub>
      </m:oMath>
      <w:r>
        <w:t xml:space="preserve"> </w:t>
      </w:r>
      <w:r>
        <w:t xml:space="preserve">sous la meilleure politique de chacun. L’annotation</w:t>
      </w:r>
      <w:r>
        <w:t xml:space="preserve"> </w:t>
      </w:r>
      <w:r>
        <w:rPr>
          <w:i/>
          <w:iCs/>
        </w:rPr>
        <w:t xml:space="preserve">(Politique</w:t>
      </w:r>
      <w:r>
        <w:rPr>
          <w:i/>
          <w:iCs/>
          <w:vertAlign w:val="subscript"/>
        </w:rPr>
        <w:t xml:space="preserve">classique</w:t>
      </w:r>
      <w:r>
        <w:rPr>
          <w:i/>
          <w:iCs/>
        </w:rPr>
        <w:t xml:space="preserve"> </w:t>
      </w:r>
      <m:oMath>
        <m:r>
          <m:rPr>
            <m:sty m:val="p"/>
          </m:rPr>
          <m:t>→</m:t>
        </m:r>
      </m:oMath>
      <w:r>
        <w:rPr>
          <w:i/>
          <w:iCs/>
        </w:rPr>
        <w:t xml:space="preserve"> </w:t>
      </w:r>
      <w:r>
        <w:rPr>
          <w:i/>
          <w:iCs/>
        </w:rPr>
        <w:t xml:space="preserve">Politique</w:t>
      </w:r>
      <w:r>
        <w:rPr>
          <w:i/>
          <w:iCs/>
          <w:vertAlign w:val="subscript"/>
        </w:rPr>
        <w:t xml:space="preserve">hybride</w:t>
      </w:r>
      <w:r>
        <w:rPr>
          <w:i/>
          <w:iCs/>
        </w:rPr>
        <w:t xml:space="preserve">)</w:t>
      </w:r>
      <w:r>
        <w:t xml:space="preserve"> </w:t>
      </w:r>
      <w:r>
        <w:t xml:space="preserve">indique quelle politique MOO a produit le meilleur score conjoint pour la version classique (à gauche de la flèche) et pour la version hybride (à droite). Barres vertes = l’hybride domine ; barres rouges = dégradation.</w:t>
      </w:r>
    </w:p>
    <w:bookmarkEnd w:id="111"/>
    <w:bookmarkStart w:id="112" w:name="tab:delta_engagement"/>
    <w:p>
      <w:pPr>
        <w:pStyle w:val="TableCaption"/>
      </w:pPr>
      <w:r>
        <w:t xml:space="preserve">TABLEAU 3.3  COMPARAISON BI-OBJECTIF CLASSIC VS HYBRID : CHAQUE AGENT EST éVALUé SOUS SA . LA COLONNE POLITIQUE INDIQUE LA POLITIQUE OPTIMALE POUR LE CLASSIQUE (GAUCHE) ET L’HYBRIDE (DROITE).</w:t>
      </w:r>
    </w:p>
    <w:tbl>
      <w:tblPr>
        <w:tblStyle w:val="Table"/>
        <w:tblW w:type="auto" w:w="0"/>
        <w:tblLook w:firstRow="1" w:lastRow="0" w:firstColumn="0" w:lastColumn="0" w:noHBand="0" w:noVBand="0" w:val="0020"/>
        <w:tblCaption w:val="TABLEAU 3.3  COMPARAISON BI-OBJECTIF CLASSIC VS HYBRID : CHAQUE AGENT EST éVALUé SOUS SA . LA COLONNE POLITIQUE INDIQUE LA POLITIQUE OPTIMALE POUR LE CLASSIQUE (GAUCHE) ET L’HYBRIDE (DROITE)."/>
      </w:tblPr>
      <w:tblGrid>
        <w:gridCol w:w="1131"/>
        <w:gridCol w:w="1131"/>
        <w:gridCol w:w="1131"/>
        <w:gridCol w:w="1131"/>
        <w:gridCol w:w="1131"/>
        <w:gridCol w:w="1131"/>
        <w:gridCol w:w="1131"/>
      </w:tblGrid>
      <w:tr>
        <w:trPr>
          <w:tblHeader w:val="on"/>
        </w:trPr>
        <w:tc>
          <w:tcPr/>
          <w:p>
            <w:pPr>
              <w:pStyle w:val="Compact"/>
              <w:jc w:val="left"/>
            </w:pPr>
            <w:r>
              <w:rPr>
                <w:b/>
                <w:bCs/>
              </w:rPr>
              <w:t xml:space="preserve">Agent</w:t>
            </w:r>
          </w:p>
        </w:tc>
        <w:tc>
          <w:tcPr/>
          <w:p>
            <w:pPr>
              <w:pStyle w:val="Compact"/>
              <w:jc w:val="left"/>
            </w:pPr>
            <w:r>
              <w:rPr>
                <w:b/>
                <w:bCs/>
              </w:rPr>
              <w:t xml:space="preserve">Politique</w:t>
            </w:r>
          </w:p>
        </w:tc>
        <w:tc>
          <w:tcPr/>
          <w:p>
            <w:pPr>
              <w:pStyle w:val="Compact"/>
              <w:jc w:val="center"/>
            </w:pPr>
            <w:r>
              <w:rPr>
                <w:b/>
                <w:bCs/>
              </w:rPr>
              <w:t xml:space="preserve">Eng. Class.</w:t>
            </w:r>
          </w:p>
        </w:tc>
        <w:tc>
          <w:tcPr/>
          <w:p>
            <w:pPr>
              <w:pStyle w:val="Compact"/>
              <w:jc w:val="center"/>
            </w:pPr>
            <w:r>
              <w:rPr>
                <w:b/>
                <w:bCs/>
              </w:rPr>
              <w:t xml:space="preserve">Rev. Class.</w:t>
            </w:r>
          </w:p>
        </w:tc>
        <w:tc>
          <w:tcPr/>
          <w:p>
            <w:pPr>
              <w:pStyle w:val="Compact"/>
              <w:jc w:val="center"/>
            </w:pPr>
            <w:r>
              <w:rPr>
                <w:b/>
                <w:bCs/>
              </w:rPr>
              <w:t xml:space="preserve">Eng. Hybrid.</w:t>
            </w:r>
          </w:p>
        </w:tc>
        <w:tc>
          <w:tcPr/>
          <w:p>
            <w:pPr>
              <w:pStyle w:val="Compact"/>
              <w:jc w:val="center"/>
            </w:pPr>
            <w:r>
              <w:rPr>
                <w:b/>
                <w:bCs/>
              </w:rPr>
              <w:t xml:space="preserve">Rev. Hybrid.</w:t>
            </w:r>
          </w:p>
        </w:tc>
        <w:tc>
          <w:tcPr/>
          <w:p>
            <w:pPr>
              <w:pStyle w:val="Compact"/>
              <w:jc w:val="center"/>
            </w:pPr>
            <w:r>
              <w:rPr>
                <w:b/>
                <w:bCs/>
              </w:rPr>
              <w:t xml:space="preserve">Verdict</w:t>
            </w:r>
          </w:p>
        </w:tc>
      </w:tr>
      <w:tr>
        <w:tc>
          <w:tcPr/>
          <w:p>
            <w:pPr>
              <w:pStyle w:val="Compact"/>
              <w:jc w:val="left"/>
            </w:pPr>
            <w:r>
              <w:t xml:space="preserve">LinUCB</w:t>
            </w:r>
          </w:p>
        </w:tc>
        <w:tc>
          <w:tcPr/>
          <w:p>
            <w:pPr>
              <w:pStyle w:val="Compact"/>
              <w:jc w:val="left"/>
            </w:pPr>
            <w:r>
              <w:t xml:space="preserve">MOBB / MOEA/D</w:t>
            </w:r>
          </w:p>
        </w:tc>
        <w:tc>
          <w:tcPr/>
          <w:p>
            <w:pPr>
              <w:pStyle w:val="Compact"/>
              <w:jc w:val="center"/>
            </w:pPr>
            <w:r>
              <w:t xml:space="preserve">0.619</w:t>
            </w:r>
          </w:p>
        </w:tc>
        <w:tc>
          <w:tcPr/>
          <w:p>
            <w:pPr>
              <w:pStyle w:val="Compact"/>
              <w:jc w:val="center"/>
            </w:pPr>
            <w:r>
              <w:t xml:space="preserve">0.0638</w:t>
            </w:r>
          </w:p>
        </w:tc>
        <w:tc>
          <w:tcPr/>
          <w:p>
            <w:pPr>
              <w:pStyle w:val="Compact"/>
              <w:jc w:val="center"/>
            </w:pPr>
            <w:r>
              <w:t xml:space="preserve">0.599</w:t>
            </w:r>
          </w:p>
        </w:tc>
        <w:tc>
          <w:tcPr/>
          <w:p>
            <w:pPr>
              <w:pStyle w:val="Compact"/>
              <w:jc w:val="center"/>
            </w:pPr>
            <w:r>
              <w:t xml:space="preserve">0.0744</w:t>
            </w:r>
          </w:p>
        </w:tc>
        <w:tc>
          <w:tcPr/>
          <w:p>
            <w:pPr>
              <w:pStyle w:val="Compact"/>
              <w:jc w:val="center"/>
            </w:pPr>
            <w:r>
              <w:rPr>
                <w:b/>
                <w:bCs/>
              </w:rPr>
              <w:t xml:space="preserve">Trade-off</w:t>
            </w:r>
          </w:p>
        </w:tc>
      </w:tr>
      <w:tr>
        <w:tc>
          <w:tcPr/>
          <w:p>
            <w:pPr>
              <w:pStyle w:val="Compact"/>
              <w:jc w:val="left"/>
            </w:pPr>
            <w:r>
              <w:t xml:space="preserve">Thompson</w:t>
            </w:r>
          </w:p>
        </w:tc>
        <w:tc>
          <w:tcPr/>
          <w:p>
            <w:pPr>
              <w:pStyle w:val="Compact"/>
              <w:jc w:val="left"/>
            </w:pPr>
            <w:r>
              <w:t xml:space="preserve">OSS /</w:t>
            </w:r>
            <w:r>
              <w:t xml:space="preserve"> </w:t>
            </w:r>
            <m:oMath>
              <m:r>
                <m:t>ε</m:t>
              </m:r>
            </m:oMath>
            <w:r>
              <w:t xml:space="preserve">-C.</w:t>
            </w:r>
          </w:p>
        </w:tc>
        <w:tc>
          <w:tcPr/>
          <w:p>
            <w:pPr>
              <w:pStyle w:val="Compact"/>
              <w:jc w:val="center"/>
            </w:pPr>
            <w:r>
              <w:t xml:space="preserve">0.779</w:t>
            </w:r>
          </w:p>
        </w:tc>
        <w:tc>
          <w:tcPr/>
          <w:p>
            <w:pPr>
              <w:pStyle w:val="Compact"/>
              <w:jc w:val="center"/>
            </w:pPr>
            <w:r>
              <w:t xml:space="preserve">0.0508</w:t>
            </w:r>
          </w:p>
        </w:tc>
        <w:tc>
          <w:tcPr/>
          <w:p>
            <w:pPr>
              <w:pStyle w:val="Compact"/>
              <w:jc w:val="center"/>
            </w:pPr>
            <w:r>
              <w:t xml:space="preserve">0.631</w:t>
            </w:r>
          </w:p>
        </w:tc>
        <w:tc>
          <w:tcPr/>
          <w:p>
            <w:pPr>
              <w:pStyle w:val="Compact"/>
              <w:jc w:val="center"/>
            </w:pPr>
            <w:r>
              <w:t xml:space="preserve">0.0569</w:t>
            </w:r>
          </w:p>
        </w:tc>
        <w:tc>
          <w:tcPr/>
          <w:p>
            <w:pPr>
              <w:pStyle w:val="Compact"/>
              <w:jc w:val="center"/>
            </w:pPr>
          </w:p>
        </w:tc>
      </w:tr>
      <w:tr>
        <w:tc>
          <w:tcPr/>
          <w:p>
            <w:pPr>
              <w:pStyle w:val="Compact"/>
              <w:jc w:val="left"/>
            </w:pPr>
            <w:r>
              <w:t xml:space="preserve">NeuralUCB</w:t>
            </w:r>
          </w:p>
        </w:tc>
        <w:tc>
          <w:tcPr/>
          <w:p>
            <w:pPr>
              <w:pStyle w:val="Compact"/>
              <w:jc w:val="left"/>
            </w:pPr>
            <w:r>
              <w:t xml:space="preserve">MOEA/D / OSS</w:t>
            </w:r>
          </w:p>
        </w:tc>
        <w:tc>
          <w:tcPr/>
          <w:p>
            <w:pPr>
              <w:pStyle w:val="Compact"/>
              <w:jc w:val="center"/>
            </w:pPr>
            <w:r>
              <w:t xml:space="preserve">0.595</w:t>
            </w:r>
          </w:p>
        </w:tc>
        <w:tc>
          <w:tcPr/>
          <w:p>
            <w:pPr>
              <w:pStyle w:val="Compact"/>
              <w:jc w:val="center"/>
            </w:pPr>
            <w:r>
              <w:t xml:space="preserve">0.0752</w:t>
            </w:r>
          </w:p>
        </w:tc>
        <w:tc>
          <w:tcPr/>
          <w:p>
            <w:pPr>
              <w:pStyle w:val="Compact"/>
              <w:jc w:val="center"/>
            </w:pPr>
            <w:r>
              <w:t xml:space="preserve">0.578</w:t>
            </w:r>
          </w:p>
        </w:tc>
        <w:tc>
          <w:tcPr/>
          <w:p>
            <w:pPr>
              <w:pStyle w:val="Compact"/>
              <w:jc w:val="center"/>
            </w:pPr>
            <w:r>
              <w:t xml:space="preserve">0.0859</w:t>
            </w:r>
          </w:p>
        </w:tc>
        <w:tc>
          <w:tcPr/>
          <w:p>
            <w:pPr>
              <w:pStyle w:val="Compact"/>
              <w:jc w:val="center"/>
            </w:pPr>
            <w:r>
              <w:rPr>
                <w:b/>
                <w:bCs/>
              </w:rPr>
              <w:t xml:space="preserve">Trade-off</w:t>
            </w:r>
          </w:p>
        </w:tc>
      </w:tr>
      <w:tr>
        <w:tc>
          <w:tcPr/>
          <w:p>
            <w:pPr>
              <w:pStyle w:val="Compact"/>
              <w:jc w:val="left"/>
            </w:pPr>
            <w:r>
              <w:t xml:space="preserve">NeuralTS</w:t>
            </w:r>
          </w:p>
        </w:tc>
        <w:tc>
          <w:tcPr/>
          <w:p>
            <w:pPr>
              <w:pStyle w:val="Compact"/>
              <w:jc w:val="left"/>
            </w:pPr>
            <w:r>
              <w:t xml:space="preserve">TwoPhase /</w:t>
            </w:r>
            <w:r>
              <w:t xml:space="preserve"> </w:t>
            </w:r>
            <m:oMath>
              <m:r>
                <m:t>ε</m:t>
              </m:r>
            </m:oMath>
            <w:r>
              <w:t xml:space="preserve">-C.</w:t>
            </w:r>
          </w:p>
        </w:tc>
        <w:tc>
          <w:tcPr/>
          <w:p>
            <w:pPr>
              <w:pStyle w:val="Compact"/>
              <w:jc w:val="center"/>
            </w:pPr>
            <w:r>
              <w:t xml:space="preserve">0.581</w:t>
            </w:r>
          </w:p>
        </w:tc>
        <w:tc>
          <w:tcPr/>
          <w:p>
            <w:pPr>
              <w:pStyle w:val="Compact"/>
              <w:jc w:val="center"/>
            </w:pPr>
            <w:r>
              <w:t xml:space="preserve">0.0861</w:t>
            </w:r>
          </w:p>
        </w:tc>
        <w:tc>
          <w:tcPr/>
          <w:p>
            <w:pPr>
              <w:pStyle w:val="Compact"/>
              <w:jc w:val="center"/>
            </w:pPr>
            <w:r>
              <w:t xml:space="preserve">0.636</w:t>
            </w:r>
          </w:p>
        </w:tc>
        <w:tc>
          <w:tcPr/>
          <w:p>
            <w:pPr>
              <w:pStyle w:val="Compact"/>
              <w:jc w:val="center"/>
            </w:pPr>
            <w:r>
              <w:t xml:space="preserve">0.0613</w:t>
            </w:r>
          </w:p>
        </w:tc>
        <w:tc>
          <w:tcPr/>
          <w:p>
            <w:pPr>
              <w:pStyle w:val="Compact"/>
              <w:jc w:val="center"/>
            </w:pPr>
            <w:r>
              <w:rPr>
                <w:b/>
                <w:bCs/>
              </w:rPr>
              <w:t xml:space="preserve">Trade-off</w:t>
            </w:r>
          </w:p>
        </w:tc>
      </w:tr>
      <w:tr>
        <w:tc>
          <w:tcPr/>
          <w:p>
            <w:pPr>
              <w:pStyle w:val="Compact"/>
              <w:jc w:val="left"/>
            </w:pPr>
            <w:r>
              <w:t xml:space="preserve">DeepBandit</w:t>
            </w:r>
          </w:p>
        </w:tc>
        <w:tc>
          <w:tcPr/>
          <w:p>
            <w:pPr>
              <w:pStyle w:val="Compact"/>
              <w:jc w:val="left"/>
            </w:pPr>
            <w:r>
              <w:t xml:space="preserve">NSGA-II /</w:t>
            </w:r>
            <w:r>
              <w:t xml:space="preserve"> </w:t>
            </w:r>
            <m:oMath>
              <m:r>
                <m:t>ε</m:t>
              </m:r>
            </m:oMath>
            <w:r>
              <w:t xml:space="preserve">-C.</w:t>
            </w:r>
          </w:p>
        </w:tc>
        <w:tc>
          <w:tcPr/>
          <w:p>
            <w:pPr>
              <w:pStyle w:val="Compact"/>
              <w:jc w:val="center"/>
            </w:pPr>
            <w:r>
              <w:t xml:space="preserve">0.593</w:t>
            </w:r>
          </w:p>
        </w:tc>
        <w:tc>
          <w:tcPr/>
          <w:p>
            <w:pPr>
              <w:pStyle w:val="Compact"/>
              <w:jc w:val="center"/>
            </w:pPr>
            <w:r>
              <w:t xml:space="preserve">0.0821</w:t>
            </w:r>
          </w:p>
        </w:tc>
        <w:tc>
          <w:tcPr/>
          <w:p>
            <w:pPr>
              <w:pStyle w:val="Compact"/>
              <w:jc w:val="center"/>
            </w:pPr>
            <w:r>
              <w:rPr>
                <w:b/>
                <w:bCs/>
              </w:rPr>
              <w:t xml:space="preserve">0.663</w:t>
            </w:r>
          </w:p>
        </w:tc>
        <w:tc>
          <w:tcPr/>
          <w:p>
            <w:pPr>
              <w:pStyle w:val="Compact"/>
              <w:jc w:val="center"/>
            </w:pPr>
            <w:r>
              <w:rPr>
                <w:b/>
                <w:bCs/>
              </w:rPr>
              <w:t xml:space="preserve">0.0944</w:t>
            </w:r>
          </w:p>
        </w:tc>
        <w:tc>
          <w:tcPr/>
          <w:p>
            <w:pPr>
              <w:pStyle w:val="Compact"/>
              <w:jc w:val="center"/>
            </w:pPr>
          </w:p>
        </w:tc>
      </w:tr>
      <w:tr>
        <w:tc>
          <w:tcPr/>
          <w:p>
            <w:pPr>
              <w:pStyle w:val="Compact"/>
              <w:jc w:val="left"/>
            </w:pPr>
            <w:r>
              <w:t xml:space="preserve">Offline2On</w:t>
            </w:r>
          </w:p>
        </w:tc>
        <w:tc>
          <w:tcPr/>
          <w:p>
            <w:pPr>
              <w:pStyle w:val="Compact"/>
              <w:jc w:val="left"/>
            </w:pPr>
            <w:r>
              <w:t xml:space="preserve">MOEA/D / MOEA/D</w:t>
            </w:r>
          </w:p>
        </w:tc>
        <w:tc>
          <w:tcPr/>
          <w:p>
            <w:pPr>
              <w:pStyle w:val="Compact"/>
              <w:jc w:val="center"/>
            </w:pPr>
            <w:r>
              <w:t xml:space="preserve">0.619</w:t>
            </w:r>
          </w:p>
        </w:tc>
        <w:tc>
          <w:tcPr/>
          <w:p>
            <w:pPr>
              <w:pStyle w:val="Compact"/>
              <w:jc w:val="center"/>
            </w:pPr>
            <w:r>
              <w:t xml:space="preserve">0.0637</w:t>
            </w:r>
          </w:p>
        </w:tc>
        <w:tc>
          <w:tcPr/>
          <w:p>
            <w:pPr>
              <w:pStyle w:val="Compact"/>
              <w:jc w:val="center"/>
            </w:pPr>
            <w:r>
              <w:t xml:space="preserve">0.598</w:t>
            </w:r>
          </w:p>
        </w:tc>
        <w:tc>
          <w:tcPr/>
          <w:p>
            <w:pPr>
              <w:pStyle w:val="Compact"/>
              <w:jc w:val="center"/>
            </w:pPr>
            <w:r>
              <w:t xml:space="preserve">0.0753</w:t>
            </w:r>
          </w:p>
        </w:tc>
        <w:tc>
          <w:tcPr/>
          <w:p>
            <w:pPr>
              <w:pStyle w:val="Compact"/>
              <w:jc w:val="center"/>
            </w:pPr>
            <w:r>
              <w:rPr>
                <w:b/>
                <w:bCs/>
              </w:rPr>
              <w:t xml:space="preserve">Trade-off</w:t>
            </w:r>
          </w:p>
        </w:tc>
      </w:tr>
      <w:tr>
        <w:tc>
          <w:tcPr/>
          <w:p>
            <w:pPr>
              <w:pStyle w:val="Compact"/>
              <w:jc w:val="left"/>
            </w:pPr>
            <w:r>
              <w:t xml:space="preserve">DelayedFB</w:t>
            </w:r>
          </w:p>
        </w:tc>
        <w:tc>
          <w:tcPr/>
          <w:p>
            <w:pPr>
              <w:pStyle w:val="Compact"/>
              <w:jc w:val="left"/>
            </w:pPr>
            <w:r>
              <w:t xml:space="preserve">MOA* / MODP</w:t>
            </w:r>
          </w:p>
        </w:tc>
        <w:tc>
          <w:tcPr/>
          <w:p>
            <w:pPr>
              <w:pStyle w:val="Compact"/>
              <w:jc w:val="center"/>
            </w:pPr>
            <w:r>
              <w:t xml:space="preserve">0.650</w:t>
            </w:r>
          </w:p>
        </w:tc>
        <w:tc>
          <w:tcPr/>
          <w:p>
            <w:pPr>
              <w:pStyle w:val="Compact"/>
              <w:jc w:val="center"/>
            </w:pPr>
            <w:r>
              <w:t xml:space="preserve">0.0623</w:t>
            </w:r>
          </w:p>
        </w:tc>
        <w:tc>
          <w:tcPr/>
          <w:p>
            <w:pPr>
              <w:pStyle w:val="Compact"/>
              <w:jc w:val="center"/>
            </w:pPr>
            <w:r>
              <w:t xml:space="preserve">0.596</w:t>
            </w:r>
          </w:p>
        </w:tc>
        <w:tc>
          <w:tcPr/>
          <w:p>
            <w:pPr>
              <w:pStyle w:val="Compact"/>
              <w:jc w:val="center"/>
            </w:pPr>
            <w:r>
              <w:t xml:space="preserve">0.0766</w:t>
            </w:r>
          </w:p>
        </w:tc>
        <w:tc>
          <w:tcPr/>
          <w:p>
            <w:pPr>
              <w:pStyle w:val="Compact"/>
              <w:jc w:val="center"/>
            </w:pPr>
            <w:r>
              <w:rPr>
                <w:b/>
                <w:bCs/>
              </w:rPr>
              <w:t xml:space="preserve">Trade-off</w:t>
            </w:r>
          </w:p>
        </w:tc>
      </w:tr>
    </w:tbl>
    <w:bookmarkEnd w:id="112"/>
    <w:p>
      <w:pPr>
        <w:pStyle w:val="BodyText"/>
      </w:pPr>
      <w:r>
        <w:rPr>
          <w:b/>
          <w:bCs/>
        </w:rPr>
        <w:t xml:space="preserve">Lecture du Tableau</w:t>
      </w:r>
      <w:r>
        <w:t xml:space="preserve"> </w:t>
      </w:r>
      <w:r>
        <w:t xml:space="preserve">:</w:t>
      </w:r>
    </w:p>
    <w:p>
      <w:pPr>
        <w:numPr>
          <w:ilvl w:val="0"/>
          <w:numId w:val="1026"/>
        </w:numPr>
      </w:pPr>
      <w:r>
        <w:rPr>
          <w:b/>
          <w:bCs/>
        </w:rPr>
        <w:t xml:space="preserve">1/7 Dominance stricte</w:t>
      </w:r>
      <w:r>
        <w:t xml:space="preserve"> </w:t>
      </w:r>
      <w:r>
        <w:t xml:space="preserve">: H-DeepBandit</w:t>
      </w:r>
      <w:r>
        <w:t xml:space="preserve"> </w:t>
      </w:r>
      <m:oMath>
        <m:r>
          <m:rPr>
            <m:sty m:val="p"/>
          </m:rPr>
          <m:t>×</m:t>
        </m:r>
      </m:oMath>
      <w:r>
        <w:t xml:space="preserve"> </w:t>
      </w:r>
      <m:oMath>
        <m:r>
          <m:t>ε</m:t>
        </m:r>
      </m:oMath>
      <w:r>
        <w:t xml:space="preserve">-Constraint améliore</w:t>
      </w:r>
      <w:r>
        <w:t xml:space="preserve"> </w:t>
      </w:r>
      <w:r>
        <w:rPr>
          <w:b/>
          <w:bCs/>
        </w:rPr>
        <w:t xml:space="preserve">simultanément</w:t>
      </w:r>
      <w:r>
        <w:t xml:space="preserve"> </w:t>
      </w:r>
      <w:r>
        <w:t xml:space="preserve">l’engagement (+0.070) et le revenue (+0.012) — c’est le seul agent hybride qui domine strictement son homologue classique sur les</w:t>
      </w:r>
      <w:r>
        <w:t xml:space="preserve"> </w:t>
      </w:r>
      <w:r>
        <w:rPr>
          <w:i/>
          <w:iCs/>
        </w:rPr>
        <w:t xml:space="preserve">deux</w:t>
      </w:r>
      <w:r>
        <w:t xml:space="preserve"> </w:t>
      </w:r>
      <w:r>
        <w:t xml:space="preserve">objectifs.</w:t>
      </w:r>
    </w:p>
    <w:p>
      <w:pPr>
        <w:numPr>
          <w:ilvl w:val="0"/>
          <w:numId w:val="1026"/>
        </w:numPr>
      </w:pPr>
      <w:r>
        <w:rPr>
          <w:b/>
          <w:bCs/>
        </w:rPr>
        <w:t xml:space="preserve">5/7 Trade-offs favorables au revenue</w:t>
      </w:r>
      <w:r>
        <w:t xml:space="preserve"> </w:t>
      </w:r>
      <w:r>
        <w:t xml:space="preserve">: les agents hybrides améliorent significativement le revenue avec une légère baisse engagement.</w:t>
      </w:r>
    </w:p>
    <w:p>
      <w:pPr>
        <w:numPr>
          <w:ilvl w:val="0"/>
          <w:numId w:val="1026"/>
        </w:numPr>
      </w:pPr>
      <w:r>
        <w:rPr>
          <w:b/>
          <w:bCs/>
        </w:rPr>
        <w:t xml:space="preserve">1/7 Dégradation nette</w:t>
      </w:r>
      <w:r>
        <w:t xml:space="preserve"> </w:t>
      </w:r>
      <w:r>
        <w:t xml:space="preserve">: Thompson — sa nature stochastique est perturbée par le lissage du modèle global.</w:t>
      </w:r>
    </w:p>
    <w:p>
      <w:pPr>
        <w:numPr>
          <w:ilvl w:val="0"/>
          <w:numId w:val="1026"/>
        </w:numPr>
      </w:pPr>
      <w:r>
        <w:rPr>
          <w:b/>
          <w:bCs/>
        </w:rPr>
        <w:t xml:space="preserve">Champion</w:t>
      </w:r>
      <w:r>
        <w:t xml:space="preserve"> </w:t>
      </w:r>
      <w:r>
        <w:t xml:space="preserve">: H-DeepBandit</w:t>
      </w:r>
      <w:r>
        <w:t xml:space="preserve"> </w:t>
      </w:r>
      <m:oMath>
        <m:r>
          <m:rPr>
            <m:sty m:val="p"/>
          </m:rPr>
          <m:t>×</m:t>
        </m:r>
      </m:oMath>
      <w:r>
        <w:t xml:space="preserve"> </w:t>
      </w:r>
      <m:oMath>
        <m:r>
          <m:t>ε</m:t>
        </m:r>
      </m:oMath>
      <w:r>
        <w:t xml:space="preserve">-Constraint</w:t>
      </w:r>
      <w:r>
        <w:t xml:space="preserve"> </w:t>
      </w:r>
      <m:oMath>
        <m:r>
          <m:rPr>
            <m:sty m:val="p"/>
          </m:rPr>
          <m:t>→</m:t>
        </m:r>
      </m:oMath>
      <w:r>
        <w:t xml:space="preserve"> </w:t>
      </w:r>
      <w:r>
        <w:t xml:space="preserve">le seul point conjoint (0.663, 0.094) dominant strictement son pair classique.</w:t>
      </w:r>
    </w:p>
    <w:bookmarkEnd w:id="113"/>
    <w:bookmarkStart w:id="118" w:name="Xe6619225f89763f6e538abc581e4cb332118c96"/>
    <w:p>
      <w:pPr>
        <w:pStyle w:val="Heading4"/>
      </w:pPr>
      <w:r>
        <w:t xml:space="preserve">Résultat 3 — Front de Pareto Multi-Objectif par Agent</w:t>
      </w:r>
    </w:p>
    <w:p>
      <w:pPr>
        <w:pStyle w:val="FirstParagraph"/>
      </w:pPr>
      <w:r>
        <w:t xml:space="preserve">La figure </w:t>
      </w:r>
      <w:r>
        <w:t xml:space="preserve"> </w:t>
      </w:r>
      <w:r>
        <w:t xml:space="preserve">illustre les scores conjoints (engagement, revenue) obtenus par chaque agent dans sa meilleure configuration (politique optimale).</w:t>
      </w:r>
    </w:p>
    <w:bookmarkStart w:id="117" w:name="fig:best_pareto"/>
    <w:p>
      <w:pPr>
        <w:pStyle w:val="CaptionedFigure"/>
      </w:pPr>
      <w:r>
        <w:drawing>
          <wp:inline>
            <wp:extent cx="4533900" cy="3400425"/>
            <wp:effectExtent b="0" l="0" r="0" t="0"/>
            <wp:docPr descr="" title="" id="115" name="Picture"/>
            <a:graphic>
              <a:graphicData uri="http://schemas.openxmlformats.org/drawingml/2006/picture">
                <pic:pic>
                  <pic:nvPicPr>
                    <pic:cNvPr descr="./docx_media/best_of_class_pareto.png" id="116" name="Picture"/>
                    <pic:cNvPicPr>
                      <a:picLocks noChangeArrowheads="1" noChangeAspect="1"/>
                    </pic:cNvPicPr>
                  </pic:nvPicPr>
                  <pic:blipFill>
                    <a:blip r:embed="rId114"/>
                    <a:stretch>
                      <a:fillRect/>
                    </a:stretch>
                  </pic:blipFill>
                  <pic:spPr bwMode="auto">
                    <a:xfrm>
                      <a:off x="0" y="0"/>
                      <a:ext cx="4533900" cy="3400425"/>
                    </a:xfrm>
                    <a:prstGeom prst="rect">
                      <a:avLst/>
                    </a:prstGeom>
                    <a:noFill/>
                    <a:ln w="9525">
                      <a:noFill/>
                      <a:headEnd/>
                      <a:tailEnd/>
                    </a:ln>
                  </pic:spPr>
                </pic:pic>
              </a:graphicData>
            </a:graphic>
          </wp:inline>
        </w:drawing>
      </w:r>
    </w:p>
    <w:p>
      <w:pPr>
        <w:pStyle w:val="ImageCaption"/>
      </w:pPr>
      <w:r>
        <w:t xml:space="preserve">Figure 3.3  Front de Pareto des agents : chaîne (engagement, revenue) optimale par agent, issue de la meilleure politique.</w:t>
      </w:r>
    </w:p>
    <w:bookmarkEnd w:id="117"/>
    <w:bookmarkEnd w:id="118"/>
    <w:bookmarkStart w:id="123" w:name="Xe87abbd7c53e00f7e24cefc65bedd65ff453399"/>
    <w:p>
      <w:pPr>
        <w:pStyle w:val="Heading4"/>
      </w:pPr>
      <w:r>
        <w:t xml:space="preserve">Résultat 4 — Vue d’Ensemble Engagement (Heatmap)</w:t>
      </w:r>
    </w:p>
    <w:bookmarkStart w:id="122" w:name="fig:heatmap_eng"/>
    <w:p>
      <w:pPr>
        <w:pStyle w:val="CaptionedFigure"/>
      </w:pPr>
      <w:r>
        <w:drawing>
          <wp:inline>
            <wp:extent cx="5334000" cy="2667000"/>
            <wp:effectExtent b="0" l="0" r="0" t="0"/>
            <wp:docPr descr="" title="" id="120" name="Picture"/>
            <a:graphic>
              <a:graphicData uri="http://schemas.openxmlformats.org/drawingml/2006/picture">
                <pic:pic>
                  <pic:nvPicPr>
                    <pic:cNvPr descr="./docx_media/mega_heatmap_engagement.png" id="121" name="Picture"/>
                    <pic:cNvPicPr>
                      <a:picLocks noChangeArrowheads="1" noChangeAspect="1"/>
                    </pic:cNvPicPr>
                  </pic:nvPicPr>
                  <pic:blipFill>
                    <a:blip r:embed="rId11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3.4  Heatmap des scores d’engagement (</w:t>
      </w:r>
      <m:oMath>
        <m:r>
          <m:t>16</m:t>
        </m:r>
      </m:oMath>
      <w:r>
        <w:t xml:space="preserve"> </w:t>
      </w:r>
      <w:r>
        <w:t xml:space="preserve">agents</w:t>
      </w:r>
      <w:r>
        <w:t xml:space="preserve"> </w:t>
      </w:r>
      <m:oMath>
        <m:r>
          <m:rPr>
            <m:sty m:val="p"/>
          </m:rPr>
          <m:t>×</m:t>
        </m:r>
      </m:oMath>
      <w:r>
        <w:t xml:space="preserve"> </w:t>
      </w:r>
      <m:oMath>
        <m:r>
          <m:t>10</m:t>
        </m:r>
      </m:oMath>
      <w:r>
        <w:t xml:space="preserve"> </w:t>
      </w:r>
      <w:r>
        <w:t xml:space="preserve">politiques MOO).</w:t>
      </w:r>
    </w:p>
    <w:bookmarkEnd w:id="122"/>
    <w:bookmarkEnd w:id="123"/>
    <w:bookmarkStart w:id="128" w:name="résultat-5-vue-densemble-revenue-heatmap"/>
    <w:p>
      <w:pPr>
        <w:pStyle w:val="Heading4"/>
      </w:pPr>
      <w:r>
        <w:t xml:space="preserve">Résultat 5 — Vue d’Ensemble Revenue (Heatmap)</w:t>
      </w:r>
    </w:p>
    <w:bookmarkStart w:id="127" w:name="fig:heatmap_rev"/>
    <w:p>
      <w:pPr>
        <w:pStyle w:val="CaptionedFigure"/>
      </w:pPr>
      <w:r>
        <w:drawing>
          <wp:inline>
            <wp:extent cx="5334000" cy="2667000"/>
            <wp:effectExtent b="0" l="0" r="0" t="0"/>
            <wp:docPr descr="" title="" id="125" name="Picture"/>
            <a:graphic>
              <a:graphicData uri="http://schemas.openxmlformats.org/drawingml/2006/picture">
                <pic:pic>
                  <pic:nvPicPr>
                    <pic:cNvPr descr="./docx_media/mega_heatmap_revenue.png" id="126" name="Picture"/>
                    <pic:cNvPicPr>
                      <a:picLocks noChangeArrowheads="1" noChangeAspect="1"/>
                    </pic:cNvPicPr>
                  </pic:nvPicPr>
                  <pic:blipFill>
                    <a:blip r:embed="rId12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3.5  Heatmap des scores de revenue (</w:t>
      </w:r>
      <m:oMath>
        <m:r>
          <m:t>16</m:t>
        </m:r>
      </m:oMath>
      <w:r>
        <w:t xml:space="preserve"> </w:t>
      </w:r>
      <w:r>
        <w:t xml:space="preserve">agents</w:t>
      </w:r>
      <w:r>
        <w:t xml:space="preserve"> </w:t>
      </w:r>
      <m:oMath>
        <m:r>
          <m:rPr>
            <m:sty m:val="p"/>
          </m:rPr>
          <m:t>×</m:t>
        </m:r>
      </m:oMath>
      <w:r>
        <w:t xml:space="preserve"> </w:t>
      </w:r>
      <m:oMath>
        <m:r>
          <m:t>10</m:t>
        </m:r>
      </m:oMath>
      <w:r>
        <w:t xml:space="preserve"> </w:t>
      </w:r>
      <w:r>
        <w:t xml:space="preserve">politiques MOO).</w:t>
      </w:r>
    </w:p>
    <w:bookmarkEnd w:id="127"/>
    <w:bookmarkEnd w:id="128"/>
    <w:bookmarkEnd w:id="129"/>
    <w:bookmarkStart w:id="130" w:name="X0011dd79faf5383e32a159e69b5b49fe7dc2562"/>
    <w:p>
      <w:pPr>
        <w:pStyle w:val="Heading3"/>
      </w:pPr>
      <w:r>
        <w:t xml:space="preserve">3.2.3 Explication des Exceptions : Thompson et NeuralTS</w:t>
      </w:r>
    </w:p>
    <w:p>
      <w:pPr>
        <w:pStyle w:val="FirstParagraph"/>
      </w:pPr>
      <w:r>
        <w:t xml:space="preserve">Les deux agents présentant une dégradation lors de l’hybridation — Thompson (</w:t>
      </w:r>
      <m:oMath>
        <m:r>
          <m:rPr>
            <m:sty m:val="p"/>
          </m:rPr>
          <m:t>Δ</m:t>
        </m:r>
        <m:r>
          <m:rPr>
            <m:sty m:val="p"/>
          </m:rPr>
          <m:t>=</m:t>
        </m:r>
        <m:r>
          <m:rPr>
            <m:sty m:val="p"/>
          </m:rPr>
          <m:t>−</m:t>
        </m:r>
        <m:r>
          <m:t>0.107</m:t>
        </m:r>
      </m:oMath>
      <w:r>
        <w:t xml:space="preserve">)</w:t>
      </w:r>
      <w:r>
        <w:t xml:space="preserve"> </w:t>
      </w:r>
      <w:r>
        <w:t xml:space="preserve">[</w:t>
      </w:r>
      <w:hyperlink w:anchor="ref-agrawal2013thompson">
        <w:r>
          <w:rPr>
            <w:rStyle w:val="Hyperlink"/>
          </w:rPr>
          <w:t xml:space="preserve">Agrawal and Goyal 2013</w:t>
        </w:r>
      </w:hyperlink>
      <w:r>
        <w:t xml:space="preserve">]</w:t>
      </w:r>
      <w:r>
        <w:t xml:space="preserve"> </w:t>
      </w:r>
      <w:r>
        <w:t xml:space="preserve">et NeuralTS (</w:t>
      </w:r>
      <m:oMath>
        <m:r>
          <m:rPr>
            <m:sty m:val="p"/>
          </m:rPr>
          <m:t>Δ</m:t>
        </m:r>
        <m:r>
          <m:rPr>
            <m:sty m:val="p"/>
          </m:rPr>
          <m:t>=</m:t>
        </m:r>
        <m:r>
          <m:rPr>
            <m:sty m:val="p"/>
          </m:rPr>
          <m:t>−</m:t>
        </m:r>
        <m:r>
          <m:t>0.023</m:t>
        </m:r>
      </m:oMath>
      <w:r>
        <w:t xml:space="preserve">)</w:t>
      </w:r>
      <w:r>
        <w:t xml:space="preserve"> </w:t>
      </w:r>
      <w:r>
        <w:t xml:space="preserve">[</w:t>
      </w:r>
      <w:hyperlink w:anchor="ref-zhang2021neural">
        <w:r>
          <w:rPr>
            <w:rStyle w:val="Hyperlink"/>
          </w:rPr>
          <w:t xml:space="preserve">W. Zhang et al. 2021</w:t>
        </w:r>
      </w:hyperlink>
      <w:r>
        <w:t xml:space="preserve">]</w:t>
      </w:r>
      <w:r>
        <w:t xml:space="preserve"> </w:t>
      </w:r>
      <w:r>
        <w:t xml:space="preserve">— partagent une caractéristique commune : ils utilisent l’</w:t>
      </w:r>
      <w:r>
        <w:rPr>
          <w:b/>
          <w:bCs/>
        </w:rPr>
        <w:t xml:space="preserve">exploration stochastique</w:t>
      </w:r>
      <w:r>
        <w:t xml:space="preserve"> </w:t>
      </w:r>
      <w:r>
        <w:t xml:space="preserve">par échantillonnage du posterior.</w:t>
      </w:r>
    </w:p>
    <w:p>
      <w:pPr>
        <w:pStyle w:val="BodyText"/>
      </w:pPr>
      <w:r>
        <w:t xml:space="preserve">Le modèle global</w:t>
      </w:r>
      <w:r>
        <w:t xml:space="preserve"> </w:t>
      </w:r>
      <w:r>
        <w:rPr>
          <w:i/>
          <w:iCs/>
        </w:rPr>
        <w:t xml:space="preserve">lisse</w:t>
      </w:r>
      <w:r>
        <w:t xml:space="preserve"> </w:t>
      </w:r>
      <w:r>
        <w:t xml:space="preserve">les distributions posteriors entre les bras. Ce lissage :</w:t>
      </w:r>
    </w:p>
    <w:p>
      <w:pPr>
        <w:numPr>
          <w:ilvl w:val="0"/>
          <w:numId w:val="1027"/>
        </w:numPr>
      </w:pPr>
      <w:r>
        <w:rPr>
          <w:b/>
          <w:bCs/>
        </w:rPr>
        <w:t xml:space="preserve">Aide l’exploration déterministe</w:t>
      </w:r>
      <w:r>
        <w:t xml:space="preserve"> </w:t>
      </w:r>
      <w:r>
        <w:t xml:space="preserve">(UCB) : une meilleure estimation globale réduit l’incertitude et affine les bornes de confiance.</w:t>
      </w:r>
    </w:p>
    <w:p>
      <w:pPr>
        <w:numPr>
          <w:ilvl w:val="0"/>
          <w:numId w:val="1027"/>
        </w:numPr>
      </w:pPr>
      <w:r>
        <w:rPr>
          <w:b/>
          <w:bCs/>
        </w:rPr>
        <w:t xml:space="preserve">Nuit à l’exploration stochastique</w:t>
      </w:r>
      <w:r>
        <w:t xml:space="preserve"> </w:t>
      </w:r>
      <w:r>
        <w:t xml:space="preserve">(Thompson/NeuralTS) : le lissage réduit la variance des échantillons du posterior, diminuant la diversité de l’exploration et pouvant conduire à un régime d’exploitation prématuré.</w:t>
      </w:r>
    </w:p>
    <w:bookmarkEnd w:id="130"/>
    <w:bookmarkEnd w:id="131"/>
    <w:bookmarkStart w:id="137" w:name="sec:extraction_donnees"/>
    <w:p>
      <w:pPr>
        <w:pStyle w:val="Heading2"/>
      </w:pPr>
      <w:r>
        <w:t xml:space="preserve">3.3 Extraction et Préparation des données</w:t>
      </w:r>
    </w:p>
    <w:p>
      <w:pPr>
        <w:pStyle w:val="FirstParagraph"/>
      </w:pPr>
      <w:r>
        <w:t xml:space="preserve">Dans le cadre de ce projet, les données utilisées ne proviennent pas d’un flux réel d’impressions publicitaires (pour des raisons de confidentialité), mais d’un</w:t>
      </w:r>
      <w:r>
        <w:t xml:space="preserve"> </w:t>
      </w:r>
      <w:r>
        <w:rPr>
          <w:b/>
          <w:bCs/>
        </w:rPr>
        <w:t xml:space="preserve">catalogue synthétique réaliste</w:t>
      </w:r>
      <w:r>
        <w:t xml:space="preserve"> </w:t>
      </w:r>
      <w:r>
        <w:t xml:space="preserve">conçu pour valider rigoureusement l’approche sémantique. Cette méthodologie s’inscrit dans la lignée des travaux sur l’évaluation des systèmes de recommandation par simulation</w:t>
      </w:r>
      <w:r>
        <w:t xml:space="preserve"> </w:t>
      </w:r>
      <w:r>
        <w:t xml:space="preserve">[</w:t>
      </w:r>
      <w:hyperlink w:anchor="ref-li2010contextual">
        <w:r>
          <w:rPr>
            <w:rStyle w:val="Hyperlink"/>
          </w:rPr>
          <w:t xml:space="preserve">Li et al. 2010</w:t>
        </w:r>
      </w:hyperlink>
      <w:r>
        <w:t xml:space="preserve">;</w:t>
      </w:r>
      <w:r>
        <w:t xml:space="preserve"> </w:t>
      </w:r>
      <w:hyperlink w:anchor="ref-slivkins2024introduction">
        <w:r>
          <w:rPr>
            <w:rStyle w:val="Hyperlink"/>
          </w:rPr>
          <w:t xml:space="preserve">Slivkins 2024</w:t>
        </w:r>
      </w:hyperlink>
      <w:r>
        <w:t xml:space="preserve">]</w:t>
      </w:r>
      <w:r>
        <w:t xml:space="preserve">.</w:t>
      </w:r>
    </w:p>
    <w:bookmarkStart w:id="133" w:name="catalogue-dannonces"/>
    <w:p>
      <w:pPr>
        <w:pStyle w:val="Heading3"/>
      </w:pPr>
      <w:r>
        <w:t xml:space="preserve">3.3.1 Catalogue d’Annonces</w:t>
      </w:r>
    </w:p>
    <w:p>
      <w:pPr>
        <w:pStyle w:val="FirstParagraph"/>
      </w:pPr>
      <w:r>
        <w:t xml:space="preserve">Le catalogue est composé de</w:t>
      </w:r>
      <w:r>
        <w:t xml:space="preserve"> </w:t>
      </w:r>
      <w:r>
        <w:rPr>
          <w:b/>
          <w:bCs/>
        </w:rPr>
        <w:t xml:space="preserve">60 annonces B2C</w:t>
      </w:r>
      <w:r>
        <w:t xml:space="preserve"> </w:t>
      </w:r>
      <w:r>
        <w:t xml:space="preserve">réparties uniformément en</w:t>
      </w:r>
      <w:r>
        <w:t xml:space="preserve"> </w:t>
      </w:r>
      <w:r>
        <w:rPr>
          <w:b/>
          <w:bCs/>
        </w:rPr>
        <w:t xml:space="preserve">6 catégories</w:t>
      </w:r>
      <w:r>
        <w:t xml:space="preserve"> </w:t>
      </w:r>
      <w:r>
        <w:t xml:space="preserve">thématiques :</w:t>
      </w:r>
    </w:p>
    <w:bookmarkStart w:id="132" w:name="tab:catalogue_ads"/>
    <w:p>
      <w:pPr>
        <w:pStyle w:val="TableCaption"/>
      </w:pPr>
      <w:r>
        <w:t xml:space="preserve">TABLEAU 3.4  DISTRIBUTION DU CATALOGUE DE 60 ANNONCES PAR CATéGORIE</w:t>
      </w:r>
    </w:p>
    <w:tbl>
      <w:tblPr>
        <w:tblStyle w:val="Table"/>
        <w:tblW w:type="auto" w:w="0"/>
        <w:tblLook w:firstRow="1" w:lastRow="0" w:firstColumn="0" w:lastColumn="0" w:noHBand="0" w:noVBand="0" w:val="0020"/>
        <w:tblCaption w:val="TABLEAU 3.4  DISTRIBUTION DU CATALOGUE DE 60 ANNONCES PAR CATéGORIE"/>
      </w:tblPr>
      <w:tblGrid>
        <w:gridCol w:w="1980"/>
        <w:gridCol w:w="1980"/>
        <w:gridCol w:w="1980"/>
        <w:gridCol w:w="1980"/>
      </w:tblGrid>
      <w:tr>
        <w:trPr>
          <w:tblHeader w:val="on"/>
        </w:trPr>
        <w:tc>
          <w:tcPr/>
          <w:p>
            <w:pPr>
              <w:pStyle w:val="Compact"/>
              <w:jc w:val="left"/>
            </w:pPr>
            <w:r>
              <w:rPr>
                <w:b/>
                <w:bCs/>
              </w:rPr>
              <w:t xml:space="preserve">Catégorie</w:t>
            </w:r>
          </w:p>
        </w:tc>
        <w:tc>
          <w:tcPr/>
          <w:p>
            <w:pPr>
              <w:pStyle w:val="Compact"/>
              <w:jc w:val="left"/>
            </w:pPr>
            <w:r>
              <w:rPr>
                <w:b/>
                <w:bCs/>
              </w:rPr>
              <w:t xml:space="preserve">Exemples</w:t>
            </w:r>
          </w:p>
        </w:tc>
        <w:tc>
          <w:tcPr/>
          <w:p>
            <w:pPr>
              <w:pStyle w:val="Compact"/>
              <w:jc w:val="center"/>
            </w:pPr>
            <w:r>
              <w:rPr>
                <w:b/>
                <w:bCs/>
              </w:rPr>
              <w:t xml:space="preserve">Nb.</w:t>
            </w:r>
          </w:p>
        </w:tc>
        <w:tc>
          <w:tcPr/>
          <w:p>
            <w:pPr>
              <w:pStyle w:val="Compact"/>
              <w:jc w:val="left"/>
            </w:pPr>
            <w:r>
              <w:rPr>
                <w:b/>
                <w:bCs/>
              </w:rPr>
              <w:t xml:space="preserve">Range de Prix</w:t>
            </w:r>
          </w:p>
        </w:tc>
      </w:tr>
      <w:tr>
        <w:tc>
          <w:tcPr/>
          <w:p>
            <w:pPr>
              <w:pStyle w:val="Compact"/>
              <w:jc w:val="left"/>
            </w:pPr>
            <w:r>
              <w:t xml:space="preserve">Tech</w:t>
            </w:r>
          </w:p>
        </w:tc>
        <w:tc>
          <w:tcPr/>
          <w:p>
            <w:pPr>
              <w:pStyle w:val="Compact"/>
              <w:jc w:val="left"/>
            </w:pPr>
            <w:r>
              <w:t xml:space="preserve">iPhone 16 Pro, MacBook Pro M4</w:t>
            </w:r>
          </w:p>
        </w:tc>
        <w:tc>
          <w:tcPr/>
          <w:p>
            <w:pPr>
              <w:pStyle w:val="Compact"/>
              <w:jc w:val="center"/>
            </w:pPr>
            <w:r>
              <w:t xml:space="preserve">10</w:t>
            </w:r>
          </w:p>
        </w:tc>
        <w:tc>
          <w:tcPr/>
          <w:p>
            <w:pPr>
              <w:pStyle w:val="Compact"/>
              <w:jc w:val="left"/>
            </w:pPr>
            <w:r>
              <w:t xml:space="preserve">59–1 999 $</w:t>
            </w:r>
          </w:p>
        </w:tc>
      </w:tr>
      <w:tr>
        <w:tc>
          <w:tcPr/>
          <w:p>
            <w:pPr>
              <w:pStyle w:val="Compact"/>
              <w:jc w:val="left"/>
            </w:pPr>
            <w:r>
              <w:t xml:space="preserve">Fashion</w:t>
            </w:r>
          </w:p>
        </w:tc>
        <w:tc>
          <w:tcPr/>
          <w:p>
            <w:pPr>
              <w:pStyle w:val="Compact"/>
              <w:jc w:val="left"/>
            </w:pPr>
            <w:r>
              <w:t xml:space="preserve">Nike Air Max, Gucci Marmont Bag</w:t>
            </w:r>
          </w:p>
        </w:tc>
        <w:tc>
          <w:tcPr/>
          <w:p>
            <w:pPr>
              <w:pStyle w:val="Compact"/>
              <w:jc w:val="center"/>
            </w:pPr>
            <w:r>
              <w:t xml:space="preserve">10</w:t>
            </w:r>
          </w:p>
        </w:tc>
        <w:tc>
          <w:tcPr/>
          <w:p>
            <w:pPr>
              <w:pStyle w:val="Compact"/>
              <w:jc w:val="left"/>
            </w:pPr>
            <w:r>
              <w:t xml:space="preserve">35–2 500 $</w:t>
            </w:r>
          </w:p>
        </w:tc>
      </w:tr>
      <w:tr>
        <w:tc>
          <w:tcPr/>
          <w:p>
            <w:pPr>
              <w:pStyle w:val="Compact"/>
              <w:jc w:val="left"/>
            </w:pPr>
            <w:r>
              <w:t xml:space="preserve">Travel</w:t>
            </w:r>
          </w:p>
        </w:tc>
        <w:tc>
          <w:tcPr/>
          <w:p>
            <w:pPr>
              <w:pStyle w:val="Compact"/>
              <w:jc w:val="left"/>
            </w:pPr>
            <w:r>
              <w:t xml:space="preserve">Paris Weekend, Bali Luxury</w:t>
            </w:r>
          </w:p>
        </w:tc>
        <w:tc>
          <w:tcPr/>
          <w:p>
            <w:pPr>
              <w:pStyle w:val="Compact"/>
              <w:jc w:val="center"/>
            </w:pPr>
            <w:r>
              <w:t xml:space="preserve">10</w:t>
            </w:r>
          </w:p>
        </w:tc>
        <w:tc>
          <w:tcPr/>
          <w:p>
            <w:pPr>
              <w:pStyle w:val="Compact"/>
              <w:jc w:val="left"/>
            </w:pPr>
            <w:r>
              <w:t xml:space="preserve">199–4 999 $</w:t>
            </w:r>
          </w:p>
        </w:tc>
      </w:tr>
      <w:tr>
        <w:tc>
          <w:tcPr/>
          <w:p>
            <w:pPr>
              <w:pStyle w:val="Compact"/>
              <w:jc w:val="left"/>
            </w:pPr>
            <w:r>
              <w:t xml:space="preserve">Food</w:t>
            </w:r>
          </w:p>
        </w:tc>
        <w:tc>
          <w:tcPr/>
          <w:p>
            <w:pPr>
              <w:pStyle w:val="Compact"/>
              <w:jc w:val="left"/>
            </w:pPr>
            <w:r>
              <w:t xml:space="preserve">Uber Eats Promo, HelloFresh</w:t>
            </w:r>
          </w:p>
        </w:tc>
        <w:tc>
          <w:tcPr/>
          <w:p>
            <w:pPr>
              <w:pStyle w:val="Compact"/>
              <w:jc w:val="center"/>
            </w:pPr>
            <w:r>
              <w:t xml:space="preserve">10</w:t>
            </w:r>
          </w:p>
        </w:tc>
        <w:tc>
          <w:tcPr/>
          <w:p>
            <w:pPr>
              <w:pStyle w:val="Compact"/>
              <w:jc w:val="left"/>
            </w:pPr>
            <w:r>
              <w:t xml:space="preserve">9–79 $</w:t>
            </w:r>
          </w:p>
        </w:tc>
      </w:tr>
      <w:tr>
        <w:tc>
          <w:tcPr/>
          <w:p>
            <w:pPr>
              <w:pStyle w:val="Compact"/>
              <w:jc w:val="left"/>
            </w:pPr>
            <w:r>
              <w:t xml:space="preserve">Gaming</w:t>
            </w:r>
          </w:p>
        </w:tc>
        <w:tc>
          <w:tcPr/>
          <w:p>
            <w:pPr>
              <w:pStyle w:val="Compact"/>
              <w:jc w:val="left"/>
            </w:pPr>
            <w:r>
              <w:t xml:space="preserve">PS5 Pro, Steam Deck OLED</w:t>
            </w:r>
          </w:p>
        </w:tc>
        <w:tc>
          <w:tcPr/>
          <w:p>
            <w:pPr>
              <w:pStyle w:val="Compact"/>
              <w:jc w:val="center"/>
            </w:pPr>
            <w:r>
              <w:t xml:space="preserve">10</w:t>
            </w:r>
          </w:p>
        </w:tc>
        <w:tc>
          <w:tcPr/>
          <w:p>
            <w:pPr>
              <w:pStyle w:val="Compact"/>
              <w:jc w:val="left"/>
            </w:pPr>
            <w:r>
              <w:t xml:space="preserve">29–599 $</w:t>
            </w:r>
          </w:p>
        </w:tc>
      </w:tr>
      <w:tr>
        <w:tc>
          <w:tcPr/>
          <w:p>
            <w:pPr>
              <w:pStyle w:val="Compact"/>
              <w:jc w:val="left"/>
            </w:pPr>
            <w:r>
              <w:t xml:space="preserve">Health</w:t>
            </w:r>
          </w:p>
        </w:tc>
        <w:tc>
          <w:tcPr/>
          <w:p>
            <w:pPr>
              <w:pStyle w:val="Compact"/>
              <w:jc w:val="left"/>
            </w:pPr>
            <w:r>
              <w:t xml:space="preserve">Peloton Bike+, Headspace Premium</w:t>
            </w:r>
          </w:p>
        </w:tc>
        <w:tc>
          <w:tcPr/>
          <w:p>
            <w:pPr>
              <w:pStyle w:val="Compact"/>
              <w:jc w:val="center"/>
            </w:pPr>
            <w:r>
              <w:t xml:space="preserve">10</w:t>
            </w:r>
          </w:p>
        </w:tc>
        <w:tc>
          <w:tcPr/>
          <w:p>
            <w:pPr>
              <w:pStyle w:val="Compact"/>
              <w:jc w:val="left"/>
            </w:pPr>
            <w:r>
              <w:t xml:space="preserve">12–2 495 $</w:t>
            </w:r>
          </w:p>
        </w:tc>
      </w:tr>
    </w:tbl>
    <w:bookmarkEnd w:id="132"/>
    <w:p>
      <w:pPr>
        <w:pStyle w:val="BodyText"/>
      </w:pPr>
      <w:r>
        <w:t xml:space="preserve">Chaque annonce est définie par un tuple</w:t>
      </w:r>
      <w:r>
        <w:t xml:space="preserve"> </w:t>
      </w:r>
      <m:oMath>
        <m:r>
          <m:rPr>
            <m:sty m:val="p"/>
          </m:rPr>
          <m:t>(</m:t>
        </m:r>
        <m:r>
          <m:rPr>
            <m:nor/>
            <m:sty m:val="p"/>
          </m:rPr>
          <m:t>id</m:t>
        </m:r>
        <m:r>
          <m:rPr>
            <m:sty m:val="p"/>
          </m:rPr>
          <m:t>,</m:t>
        </m:r>
        <m:r>
          <m:rPr>
            <m:nor/>
            <m:sty m:val="p"/>
          </m:rPr>
          <m:t>category</m:t>
        </m:r>
        <m:r>
          <m:rPr>
            <m:sty m:val="p"/>
          </m:rPr>
          <m:t>,</m:t>
        </m:r>
        <m:r>
          <m:rPr>
            <m:nor/>
            <m:sty m:val="p"/>
          </m:rPr>
          <m:t>title</m:t>
        </m:r>
        <m:r>
          <m:rPr>
            <m:sty m:val="p"/>
          </m:rPr>
          <m:t>,</m:t>
        </m:r>
        <m:r>
          <m:rPr>
            <m:nor/>
            <m:sty m:val="p"/>
          </m:rPr>
          <m:t>description</m:t>
        </m:r>
        <m:r>
          <m:rPr>
            <m:sty m:val="p"/>
          </m:rPr>
          <m:t>,</m:t>
        </m:r>
        <m:r>
          <m:rPr>
            <m:nor/>
            <m:sty m:val="p"/>
          </m:rPr>
          <m:t>price</m:t>
        </m:r>
        <m:r>
          <m:rPr>
            <m:sty m:val="p"/>
          </m:rPr>
          <m:t>)</m:t>
        </m:r>
      </m:oMath>
      <w:r>
        <w:t xml:space="preserve">. Le choix d’annonces</w:t>
      </w:r>
      <w:r>
        <w:t xml:space="preserve"> </w:t>
      </w:r>
      <w:r>
        <w:rPr>
          <w:i/>
          <w:iCs/>
        </w:rPr>
        <w:t xml:space="preserve">B2C grand public</w:t>
      </w:r>
      <w:r>
        <w:t xml:space="preserve"> </w:t>
      </w:r>
      <w:r>
        <w:t xml:space="preserve">permet de maximiser la richesse sémantique des embeddings : les descriptions textuelles contiennent des attributs différenciants (marque, caractéristiques techniques, bénéfices utilisateur) que le modèle SentenceTransformer peut exploiter.</w:t>
      </w:r>
    </w:p>
    <w:bookmarkEnd w:id="133"/>
    <w:bookmarkStart w:id="134" w:name="profils-utilisateurs"/>
    <w:p>
      <w:pPr>
        <w:pStyle w:val="Heading3"/>
      </w:pPr>
      <w:r>
        <w:t xml:space="preserve">3.3.2 Profils Utilisateurs</w:t>
      </w:r>
    </w:p>
    <w:p>
      <w:pPr>
        <w:pStyle w:val="FirstParagraph"/>
      </w:pPr>
      <w:r>
        <w:t xml:space="preserve">Un ensemble de profils utilisateurs textuels a été construit pour représenter des archétypes de comportement :</w:t>
      </w:r>
    </w:p>
    <w:p>
      <w:pPr>
        <w:numPr>
          <w:ilvl w:val="0"/>
          <w:numId w:val="1028"/>
        </w:numPr>
      </w:pPr>
      <w:r>
        <w:t xml:space="preserve">Chaque profil est une phrase descriptive en anglais (ex. :</w:t>
      </w:r>
      <w:r>
        <w:t xml:space="preserve"> </w:t>
      </w:r>
      <w:r>
        <w:rPr>
          <w:i/>
          <w:iCs/>
        </w:rPr>
        <w:t xml:space="preserve">“Young tech enthusiast looking for the latest smartphone deals”</w:t>
      </w:r>
      <w:r>
        <w:t xml:space="preserve">).</w:t>
      </w:r>
    </w:p>
    <w:p>
      <w:pPr>
        <w:numPr>
          <w:ilvl w:val="0"/>
          <w:numId w:val="1028"/>
        </w:numPr>
      </w:pPr>
      <w:r>
        <w:t xml:space="preserve">Les profils couvrent des intentions d’achat variées, créant une matrice de similarité riche entre utilisateurs et annonces.</w:t>
      </w:r>
    </w:p>
    <w:bookmarkEnd w:id="134"/>
    <w:bookmarkStart w:id="135" w:name="pipeline-dencodage-sémantique"/>
    <w:p>
      <w:pPr>
        <w:pStyle w:val="Heading3"/>
      </w:pPr>
      <w:r>
        <w:t xml:space="preserve">3.3.3 Pipeline d’Encodage Sémantique</w:t>
      </w:r>
    </w:p>
    <w:p>
      <w:pPr>
        <w:pStyle w:val="FirstParagraph"/>
      </w:pPr>
      <w:r>
        <w:t xml:space="preserve">La préparation des données suit un pipeline en trois étapes :</w:t>
      </w:r>
    </w:p>
    <w:p>
      <w:pPr>
        <w:numPr>
          <w:ilvl w:val="0"/>
          <w:numId w:val="1029"/>
        </w:numPr>
      </w:pPr>
      <w:r>
        <w:rPr>
          <w:b/>
          <w:bCs/>
        </w:rPr>
        <w:t xml:space="preserve">Encodage des annonces</w:t>
      </w:r>
      <w:r>
        <w:t xml:space="preserve"> </w:t>
      </w:r>
      <w:r>
        <w:t xml:space="preserve">: chaque annonce est transformée en vecteur dense</w:t>
      </w:r>
      <w:r>
        <w:t xml:space="preserve"> </w:t>
      </w:r>
      <m:oMath>
        <m:sSub>
          <m:e>
            <m:r>
              <m:rPr>
                <m:sty m:val="b"/>
              </m:rPr>
              <m:t>x</m:t>
            </m:r>
          </m:e>
          <m:sub>
            <m:r>
              <m:t>a</m:t>
            </m:r>
          </m:sub>
        </m:sSub>
        <m:r>
          <m:rPr>
            <m:sty m:val="p"/>
          </m:rPr>
          <m:t>∈</m:t>
        </m:r>
        <m:sSup>
          <m:e>
            <m:r>
              <m:rPr>
                <m:scr m:val="double-struck"/>
                <m:sty m:val="p"/>
              </m:rPr>
              <m:t>R</m:t>
            </m:r>
          </m:e>
          <m:sup>
            <m:r>
              <m:t>384</m:t>
            </m:r>
          </m:sup>
        </m:sSup>
      </m:oMath>
      <w:r>
        <w:t xml:space="preserve"> </w:t>
      </w:r>
      <w:r>
        <w:t xml:space="preserve">via</w:t>
      </w:r>
      <w:r>
        <w:t xml:space="preserve"> </w:t>
      </w:r>
      <w:r>
        <w:rPr>
          <w:rStyle w:val="VerbatimChar"/>
        </w:rPr>
        <w:t xml:space="preserve">all-MiniLM-L6-v2</w:t>
      </w:r>
      <w:r>
        <w:t xml:space="preserve"> </w:t>
      </w:r>
      <w:r>
        <w:t xml:space="preserve">[</w:t>
      </w:r>
      <w:hyperlink w:anchor="ref-reimers2019sentence">
        <w:r>
          <w:rPr>
            <w:rStyle w:val="Hyperlink"/>
          </w:rPr>
          <w:t xml:space="preserve">Reimers and Gurevych 2019</w:t>
        </w:r>
      </w:hyperlink>
      <w:r>
        <w:t xml:space="preserve">]</w:t>
      </w:r>
      <w:r>
        <w:t xml:space="preserve"> </w:t>
      </w:r>
      <w:r>
        <w:t xml:space="preserve">appliqué sur la concaténation</w:t>
      </w:r>
      <w:r>
        <w:t xml:space="preserve"> </w:t>
      </w:r>
      <w:r>
        <w:t xml:space="preserve">“</w:t>
      </w:r>
      <w:r>
        <w:rPr>
          <w:i/>
          <w:iCs/>
        </w:rPr>
        <w:t xml:space="preserve">title</w:t>
      </w:r>
      <w:r>
        <w:t xml:space="preserve"> </w:t>
      </w:r>
      <w:r>
        <w:t xml:space="preserve">+</w:t>
      </w:r>
      <w:r>
        <w:t xml:space="preserve"> </w:t>
      </w:r>
      <w:r>
        <w:rPr>
          <w:i/>
          <w:iCs/>
        </w:rPr>
        <w:t xml:space="preserve">description</w:t>
      </w:r>
      <w:r>
        <w:t xml:space="preserve">”</w:t>
      </w:r>
      <w:r>
        <w:t xml:space="preserve">.</w:t>
      </w:r>
    </w:p>
    <w:p>
      <w:pPr>
        <w:numPr>
          <w:ilvl w:val="0"/>
          <w:numId w:val="1029"/>
        </w:numPr>
      </w:pPr>
      <w:r>
        <w:rPr>
          <w:b/>
          <w:bCs/>
        </w:rPr>
        <w:t xml:space="preserve">Encodage des utilisateurs</w:t>
      </w:r>
      <w:r>
        <w:t xml:space="preserve"> </w:t>
      </w:r>
      <w:r>
        <w:t xml:space="preserve">: chaque profil utilisateur est encodé en</w:t>
      </w:r>
      <w:r>
        <w:t xml:space="preserve"> </w:t>
      </w:r>
      <m:oMath>
        <m:sSub>
          <m:e>
            <m:r>
              <m:rPr>
                <m:sty m:val="b"/>
              </m:rPr>
              <m:t>x</m:t>
            </m:r>
          </m:e>
          <m:sub>
            <m:r>
              <m:t>u</m:t>
            </m:r>
          </m:sub>
        </m:sSub>
        <m:r>
          <m:rPr>
            <m:sty m:val="p"/>
          </m:rPr>
          <m:t>∈</m:t>
        </m:r>
        <m:sSup>
          <m:e>
            <m:r>
              <m:rPr>
                <m:scr m:val="double-struck"/>
                <m:sty m:val="p"/>
              </m:rPr>
              <m:t>R</m:t>
            </m:r>
          </m:e>
          <m:sup>
            <m:r>
              <m:t>384</m:t>
            </m:r>
          </m:sup>
        </m:sSup>
      </m:oMath>
      <w:r>
        <w:t xml:space="preserve"> </w:t>
      </w:r>
      <w:r>
        <w:t xml:space="preserve">via le même modèle.</w:t>
      </w:r>
    </w:p>
    <w:p>
      <w:pPr>
        <w:numPr>
          <w:ilvl w:val="0"/>
          <w:numId w:val="1029"/>
        </w:numPr>
      </w:pPr>
      <w:r>
        <w:rPr>
          <w:b/>
          <w:bCs/>
        </w:rPr>
        <w:t xml:space="preserve">Calcul de la matrice de similarité</w:t>
      </w:r>
      <w:r>
        <w:t xml:space="preserve"> </w:t>
      </w:r>
      <w:r>
        <w:t xml:space="preserve">: la similarité cosinus</w:t>
      </w:r>
      <w:r>
        <w:t xml:space="preserve"> </w:t>
      </w:r>
      <m:oMath>
        <m:r>
          <m:rPr>
            <m:sty m:val="p"/>
          </m:rPr>
          <m:t>cos</m:t>
        </m:r>
        <m:r>
          <m:rPr>
            <m:sty m:val="p"/>
          </m:rPr>
          <m:t>(</m:t>
        </m:r>
        <m:sSub>
          <m:e>
            <m:r>
              <m:rPr>
                <m:sty m:val="b"/>
              </m:rPr>
              <m:t>x</m:t>
            </m:r>
          </m:e>
          <m:sub>
            <m:r>
              <m:t>u</m:t>
            </m:r>
          </m:sub>
        </m:sSub>
        <m:r>
          <m:rPr>
            <m:sty m:val="p"/>
          </m:rPr>
          <m:t>,</m:t>
        </m:r>
        <m:sSub>
          <m:e>
            <m:r>
              <m:rPr>
                <m:sty m:val="b"/>
              </m:rPr>
              <m:t>x</m:t>
            </m:r>
          </m:e>
          <m:sub>
            <m:r>
              <m:t>a</m:t>
            </m:r>
          </m:sub>
        </m:sSub>
        <m:r>
          <m:rPr>
            <m:sty m:val="p"/>
          </m:rPr>
          <m:t>)</m:t>
        </m:r>
      </m:oMath>
      <w:r>
        <w:t xml:space="preserve"> </w:t>
      </w:r>
      <w:r>
        <w:t xml:space="preserve">est pré-calculée pour toutes les paires</w:t>
      </w:r>
      <w:r>
        <w:t xml:space="preserve"> </w:t>
      </w:r>
      <m:oMath>
        <m:r>
          <m:rPr>
            <m:sty m:val="p"/>
          </m:rPr>
          <m:t>(</m:t>
        </m:r>
        <m:r>
          <m:t>u</m:t>
        </m:r>
        <m:r>
          <m:rPr>
            <m:sty m:val="p"/>
          </m:rPr>
          <m:t>,</m:t>
        </m:r>
        <m:r>
          <m:t>a</m:t>
        </m:r>
        <m:r>
          <m:rPr>
            <m:sty m:val="p"/>
          </m:rPr>
          <m:t>)</m:t>
        </m:r>
      </m:oMath>
      <w:r>
        <w:t xml:space="preserve"> </w:t>
      </w:r>
      <w:r>
        <w:t xml:space="preserve">[</w:t>
      </w:r>
      <w:hyperlink w:anchor="ref-mikolov2013distributed">
        <w:r>
          <w:rPr>
            <w:rStyle w:val="Hyperlink"/>
          </w:rPr>
          <w:t xml:space="preserve">Mikolov et al. 2013</w:t>
        </w:r>
      </w:hyperlink>
      <w:r>
        <w:t xml:space="preserve">]</w:t>
      </w:r>
      <w:r>
        <w:t xml:space="preserve">.</w:t>
      </w:r>
    </w:p>
    <w:bookmarkEnd w:id="135"/>
    <w:bookmarkStart w:id="136" w:name="génération-des-récompenses"/>
    <w:p>
      <w:pPr>
        <w:pStyle w:val="Heading3"/>
      </w:pPr>
      <w:r>
        <w:t xml:space="preserve">3.3.4 Génération des Récompenses</w:t>
      </w:r>
    </w:p>
    <w:p>
      <w:pPr>
        <w:pStyle w:val="FirstParagraph"/>
      </w:pPr>
      <w:r>
        <w:t xml:space="preserve">Le simulateur</w:t>
      </w:r>
      <w:r>
        <w:t xml:space="preserve"> </w:t>
      </w:r>
      <w:r>
        <w:rPr>
          <w:rStyle w:val="VerbatimChar"/>
        </w:rPr>
        <w:t xml:space="preserve">SemanticRewardSimulator</w:t>
      </w:r>
      <w:r>
        <w:t xml:space="preserve"> </w:t>
      </w:r>
      <w:r>
        <w:t xml:space="preserve">génère des récompenses déterministes à partir des embeddings :</w:t>
      </w:r>
    </w:p>
    <w:p>
      <w:pPr>
        <w:numPr>
          <w:ilvl w:val="0"/>
          <w:numId w:val="1030"/>
        </w:numPr>
      </w:pPr>
      <w:r>
        <w:rPr>
          <w:b/>
          <w:bCs/>
        </w:rPr>
        <w:t xml:space="preserve">Engagement</w:t>
      </w:r>
      <w:r>
        <w:t xml:space="preserve"> </w:t>
      </w:r>
      <w:r>
        <w:t xml:space="preserve">(CTR) :</w:t>
      </w:r>
      <w:r>
        <w:t xml:space="preserve"> </w:t>
      </w:r>
      <m:oMath>
        <m:r>
          <m:rPr>
            <m:nor/>
            <m:sty m:val="p"/>
          </m:rPr>
          <m:t>eng</m:t>
        </m:r>
        <m:r>
          <m:rPr>
            <m:sty m:val="p"/>
          </m:rPr>
          <m:t>(</m:t>
        </m:r>
        <m:r>
          <m:t>u</m:t>
        </m:r>
        <m:r>
          <m:rPr>
            <m:sty m:val="p"/>
          </m:rPr>
          <m:t>,</m:t>
        </m:r>
        <m:r>
          <m:t>a</m:t>
        </m:r>
        <m:r>
          <m:rPr>
            <m:sty m:val="p"/>
          </m:rPr>
          <m:t>)</m:t>
        </m:r>
        <m:r>
          <m:rPr>
            <m:sty m:val="p"/>
          </m:rPr>
          <m:t>=</m:t>
        </m:r>
        <m:r>
          <m:t>σ</m:t>
        </m:r>
        <m:r>
          <m:t>​</m:t>
        </m:r>
        <m:d>
          <m:dPr>
            <m:begChr m:val="("/>
            <m:sepChr m:val=""/>
            <m:endChr m:val=")"/>
            <m:grow/>
          </m:dPr>
          <m:e>
            <m:r>
              <m:rPr>
                <m:nor/>
                <m:sty m:val="p"/>
              </m:rPr>
              <m:t>scale</m:t>
            </m:r>
            <m:r>
              <m:rPr>
                <m:sty m:val="p"/>
              </m:rPr>
              <m:t>⋅</m:t>
            </m:r>
            <m:r>
              <m:rPr>
                <m:sty m:val="p"/>
              </m:rPr>
              <m:t>cos</m:t>
            </m:r>
            <m:r>
              <m:rPr>
                <m:sty m:val="p"/>
              </m:rPr>
              <m:t>(</m:t>
            </m:r>
            <m:sSub>
              <m:e>
                <m:r>
                  <m:rPr>
                    <m:sty m:val="b"/>
                  </m:rPr>
                  <m:t>x</m:t>
                </m:r>
              </m:e>
              <m:sub>
                <m:r>
                  <m:t>u</m:t>
                </m:r>
              </m:sub>
            </m:sSub>
            <m:r>
              <m:rPr>
                <m:sty m:val="p"/>
              </m:rPr>
              <m:t>,</m:t>
            </m:r>
            <m:sSub>
              <m:e>
                <m:r>
                  <m:rPr>
                    <m:sty m:val="b"/>
                  </m:rPr>
                  <m:t>x</m:t>
                </m:r>
              </m:e>
              <m:sub>
                <m:r>
                  <m:t>a</m:t>
                </m:r>
              </m:sub>
            </m:sSub>
            <m:r>
              <m:rPr>
                <m:sty m:val="p"/>
              </m:rPr>
              <m:t>)</m:t>
            </m:r>
          </m:e>
        </m:d>
        <m:r>
          <m:rPr>
            <m:sty m:val="p"/>
          </m:rPr>
          <m:t>∈</m:t>
        </m:r>
        <m:r>
          <m:rPr>
            <m:sty m:val="p"/>
          </m:rPr>
          <m:t>(</m:t>
        </m:r>
        <m:r>
          <m:t>0</m:t>
        </m:r>
        <m:r>
          <m:rPr>
            <m:sty m:val="p"/>
          </m:rPr>
          <m:t>,</m:t>
        </m:r>
        <m:r>
          <m:t>1</m:t>
        </m:r>
        <m:r>
          <m:rPr>
            <m:sty m:val="p"/>
          </m:rPr>
          <m:t>)</m:t>
        </m:r>
      </m:oMath>
    </w:p>
    <w:p>
      <w:pPr>
        <w:numPr>
          <w:ilvl w:val="0"/>
          <w:numId w:val="1030"/>
        </w:numPr>
      </w:pPr>
      <w:r>
        <w:rPr>
          <w:b/>
          <w:bCs/>
        </w:rPr>
        <w:t xml:space="preserve">Revenue</w:t>
      </w:r>
      <w:r>
        <w:t xml:space="preserve"> </w:t>
      </w:r>
      <w:r>
        <w:t xml:space="preserve">(eCPM) :</w:t>
      </w:r>
      <w:r>
        <w:t xml:space="preserve"> </w:t>
      </w:r>
      <m:oMath>
        <m:r>
          <m:rPr>
            <m:nor/>
            <m:sty m:val="p"/>
          </m:rPr>
          <m:t>rev</m:t>
        </m:r>
        <m:r>
          <m:rPr>
            <m:sty m:val="p"/>
          </m:rPr>
          <m:t>(</m:t>
        </m:r>
        <m:r>
          <m:t>u</m:t>
        </m:r>
        <m:r>
          <m:rPr>
            <m:sty m:val="p"/>
          </m:rPr>
          <m:t>,</m:t>
        </m:r>
        <m:r>
          <m:t>a</m:t>
        </m:r>
        <m:r>
          <m:rPr>
            <m:sty m:val="p"/>
          </m:rPr>
          <m:t>)</m:t>
        </m:r>
        <m:r>
          <m:rPr>
            <m:sty m:val="p"/>
          </m:rPr>
          <m:t>=</m:t>
        </m:r>
        <m:r>
          <m:rPr>
            <m:nor/>
            <m:sty m:val="p"/>
          </m:rPr>
          <m:t>eng</m:t>
        </m:r>
        <m:r>
          <m:rPr>
            <m:sty m:val="p"/>
          </m:rPr>
          <m:t>(</m:t>
        </m:r>
        <m:r>
          <m:t>u</m:t>
        </m:r>
        <m:r>
          <m:rPr>
            <m:sty m:val="p"/>
          </m:rPr>
          <m:t>,</m:t>
        </m:r>
        <m:r>
          <m:t>a</m:t>
        </m:r>
        <m:r>
          <m:rPr>
            <m:sty m:val="p"/>
          </m:rPr>
          <m:t>)</m:t>
        </m:r>
        <m:r>
          <m:rPr>
            <m:sty m:val="p"/>
          </m:rPr>
          <m:t>×</m:t>
        </m:r>
        <m:r>
          <m:rPr>
            <m:nor/>
            <m:sty m:val="p"/>
          </m:rPr>
          <m:t>CVR</m:t>
        </m:r>
        <m:r>
          <m:rPr>
            <m:sty m:val="p"/>
          </m:rPr>
          <m:t>(</m:t>
        </m:r>
        <m:r>
          <m:t>a</m:t>
        </m:r>
        <m:r>
          <m:rPr>
            <m:sty m:val="p"/>
          </m:rPr>
          <m:t>)</m:t>
        </m:r>
        <m:r>
          <m:rPr>
            <m:sty m:val="p"/>
          </m:rPr>
          <m:t>×</m:t>
        </m:r>
        <m:r>
          <m:rPr>
            <m:nor/>
            <m:sty m:val="p"/>
          </m:rPr>
          <m:t>price</m:t>
        </m:r>
        <m:r>
          <m:rPr>
            <m:sty m:val="p"/>
          </m:rPr>
          <m:t>(</m:t>
        </m:r>
        <m:r>
          <m:t>a</m:t>
        </m:r>
        <m:r>
          <m:rPr>
            <m:sty m:val="p"/>
          </m:rPr>
          <m:t>)</m:t>
        </m:r>
      </m:oMath>
    </w:p>
    <w:p>
      <w:pPr>
        <w:pStyle w:val="FirstParagraph"/>
      </w:pPr>
      <w:r>
        <w:t xml:space="preserve">où</w:t>
      </w:r>
      <w:r>
        <w:t xml:space="preserve"> </w:t>
      </w:r>
      <m:oMath>
        <m:r>
          <m:rPr>
            <m:nor/>
            <m:sty m:val="p"/>
          </m:rPr>
          <m:t>CVR</m:t>
        </m:r>
        <m:r>
          <m:rPr>
            <m:sty m:val="p"/>
          </m:rPr>
          <m:t>(</m:t>
        </m:r>
        <m:r>
          <m:t>a</m:t>
        </m:r>
        <m:r>
          <m:rPr>
            <m:sty m:val="p"/>
          </m:rPr>
          <m:t>)</m:t>
        </m:r>
      </m:oMath>
      <w:r>
        <w:t xml:space="preserve"> </w:t>
      </w:r>
      <w:r>
        <w:t xml:space="preserve">est inversement corrélé au prix (les annonces bon marché convertissent plus facilement : CVR</w:t>
      </w:r>
      <w:r>
        <w:t xml:space="preserve"> </w:t>
      </w:r>
      <m:oMath>
        <m:r>
          <m:rPr>
            <m:sty m:val="p"/>
          </m:rPr>
          <m:t>∼</m:t>
        </m:r>
        <m:r>
          <m:t>15</m:t>
        </m:r>
        <m:r>
          <m:rPr>
            <m:nor/>
            <m:sty m:val="p"/>
          </m:rPr>
          <m:t>–</m:t>
        </m:r>
        <m:r>
          <m:t>20</m:t>
        </m:r>
        <m:r>
          <m:rPr>
            <m:sty m:val="p"/>
          </m:rPr>
          <m:t>%</m:t>
        </m:r>
      </m:oMath>
      <w:r>
        <w:t xml:space="preserve"> </w:t>
      </w:r>
      <w:r>
        <w:t xml:space="preserve">vs</w:t>
      </w:r>
      <w:r>
        <w:t xml:space="preserve"> </w:t>
      </w:r>
      <m:oMath>
        <m:r>
          <m:rPr>
            <m:sty m:val="p"/>
          </m:rPr>
          <m:t>∼</m:t>
        </m:r>
        <m:r>
          <m:t>1</m:t>
        </m:r>
        <m:r>
          <m:rPr>
            <m:nor/>
            <m:sty m:val="p"/>
          </m:rPr>
          <m:t>–</m:t>
        </m:r>
        <m:r>
          <m:t>3</m:t>
        </m:r>
        <m:r>
          <m:rPr>
            <m:sty m:val="p"/>
          </m:rPr>
          <m:t>%</m:t>
        </m:r>
      </m:oMath>
      <w:r>
        <w:t xml:space="preserve"> </w:t>
      </w:r>
      <w:r>
        <w:t xml:space="preserve">pour les annonces premium). Ce modèle reproduit fidèlement le</w:t>
      </w:r>
      <w:r>
        <w:t xml:space="preserve"> </w:t>
      </w:r>
      <w:r>
        <w:rPr>
          <w:i/>
          <w:iCs/>
        </w:rPr>
        <w:t xml:space="preserve">funnel</w:t>
      </w:r>
      <w:r>
        <w:t xml:space="preserve"> </w:t>
      </w:r>
      <w:r>
        <w:t xml:space="preserve">de conversion publicitaire réel.</w:t>
      </w:r>
    </w:p>
    <w:bookmarkEnd w:id="136"/>
    <w:bookmarkEnd w:id="137"/>
    <w:bookmarkStart w:id="141" w:name="sec:parametrage"/>
    <w:p>
      <w:pPr>
        <w:pStyle w:val="Heading2"/>
      </w:pPr>
      <w:r>
        <w:t xml:space="preserve">3.4 Paramétrage et apprentissage du modèle</w:t>
      </w:r>
    </w:p>
    <w:bookmarkStart w:id="139" w:name="hyperparamètres-du-modèle-champion"/>
    <w:p>
      <w:pPr>
        <w:pStyle w:val="Heading3"/>
      </w:pPr>
      <w:r>
        <w:t xml:space="preserve">3.4.1 Hyperparamètres du Modèle Champion</w:t>
      </w:r>
    </w:p>
    <w:p>
      <w:pPr>
        <w:pStyle w:val="FirstParagraph"/>
      </w:pPr>
      <w:r>
        <w:t xml:space="preserve">Le modèle</w:t>
      </w:r>
      <w:r>
        <w:t xml:space="preserve"> </w:t>
      </w:r>
      <w:r>
        <w:rPr>
          <w:b/>
          <w:bCs/>
        </w:rPr>
        <w:t xml:space="preserve">H-DeepBandit</w:t>
      </w:r>
      <w:r>
        <w:t xml:space="preserve"> </w:t>
      </w:r>
      <w:r>
        <w:t xml:space="preserve">[</w:t>
      </w:r>
      <w:hyperlink w:anchor="ref-riquelme2018deep">
        <w:r>
          <w:rPr>
            <w:rStyle w:val="Hyperlink"/>
          </w:rPr>
          <w:t xml:space="preserve">Riquelme et al. 2018</w:t>
        </w:r>
      </w:hyperlink>
      <w:r>
        <w:t xml:space="preserve">]</w:t>
      </w:r>
      <w:r>
        <w:t xml:space="preserve"> </w:t>
      </w:r>
      <w:r>
        <w:t xml:space="preserve">retenu après le benchmark est configuré avec les hyperparamètres suivants :</w:t>
      </w:r>
    </w:p>
    <w:bookmarkStart w:id="138" w:name="tab:hyperparams"/>
    <w:p>
      <w:pPr>
        <w:pStyle w:val="TableCaption"/>
      </w:pPr>
      <w:r>
        <w:t xml:space="preserve">TABLEAU 3.5  HYPERPARAMèTRES DU MODèLE H-DEEPBANDIT CHAMPION</w:t>
      </w:r>
    </w:p>
    <w:tbl>
      <w:tblPr>
        <w:tblStyle w:val="Table"/>
        <w:tblW w:type="auto" w:w="0"/>
        <w:tblLook w:firstRow="1" w:lastRow="0" w:firstColumn="0" w:lastColumn="0" w:noHBand="0" w:noVBand="0" w:val="0020"/>
        <w:tblCaption w:val="TABLEAU 3.5  HYPERPARAMèTRES DU MODèLE H-DEEPBANDIT CHAMPION"/>
      </w:tblPr>
      <w:tblGrid>
        <w:gridCol w:w="2640"/>
        <w:gridCol w:w="2640"/>
        <w:gridCol w:w="2640"/>
      </w:tblGrid>
      <w:tr>
        <w:trPr>
          <w:tblHeader w:val="on"/>
        </w:trPr>
        <w:tc>
          <w:tcPr/>
          <w:p>
            <w:pPr>
              <w:pStyle w:val="Compact"/>
              <w:jc w:val="left"/>
            </w:pPr>
            <w:r>
              <w:rPr>
                <w:b/>
                <w:bCs/>
              </w:rPr>
              <w:t xml:space="preserve">Paramètre</w:t>
            </w:r>
          </w:p>
        </w:tc>
        <w:tc>
          <w:tcPr/>
          <w:p>
            <w:pPr>
              <w:pStyle w:val="Compact"/>
              <w:jc w:val="left"/>
            </w:pPr>
            <w:r>
              <w:rPr>
                <w:b/>
                <w:bCs/>
              </w:rPr>
              <w:t xml:space="preserve">Valeur</w:t>
            </w:r>
          </w:p>
        </w:tc>
        <w:tc>
          <w:tcPr/>
          <w:p>
            <w:pPr>
              <w:pStyle w:val="Compact"/>
              <w:jc w:val="left"/>
            </w:pPr>
            <w:r>
              <w:rPr>
                <w:b/>
                <w:bCs/>
              </w:rPr>
              <w:t xml:space="preserve">Justification</w:t>
            </w:r>
          </w:p>
        </w:tc>
      </w:tr>
      <w:tr>
        <w:tc>
          <w:tcPr/>
          <w:p>
            <w:pPr>
              <w:pStyle w:val="Compact"/>
              <w:jc w:val="left"/>
            </w:pPr>
            <w:r>
              <w:t xml:space="preserve">Dimension d’entrée</w:t>
            </w:r>
          </w:p>
        </w:tc>
        <w:tc>
          <w:tcPr/>
          <w:p>
            <w:pPr>
              <w:pStyle w:val="Compact"/>
              <w:jc w:val="left"/>
            </w:pPr>
            <m:oMath>
              <m:r>
                <m:t>d</m:t>
              </m:r>
              <m:r>
                <m:rPr>
                  <m:sty m:val="p"/>
                </m:rPr>
                <m:t>=</m:t>
              </m:r>
              <m:r>
                <m:t>768</m:t>
              </m:r>
            </m:oMath>
          </w:p>
        </w:tc>
        <w:tc>
          <w:tcPr/>
          <w:p>
            <w:pPr>
              <w:pStyle w:val="Compact"/>
              <w:jc w:val="left"/>
            </w:pPr>
            <m:oMath>
              <m:sSub>
                <m:e>
                  <m:r>
                    <m:t>384</m:t>
                  </m:r>
                </m:e>
                <m:sub>
                  <m:r>
                    <m:rPr>
                      <m:nor/>
                      <m:sty m:val="p"/>
                    </m:rPr>
                    <m:t>user</m:t>
                  </m:r>
                </m:sub>
              </m:sSub>
              <m:r>
                <m:rPr>
                  <m:sty m:val="p"/>
                </m:rPr>
                <m:t>+</m:t>
              </m:r>
              <m:sSub>
                <m:e>
                  <m:r>
                    <m:t>384</m:t>
                  </m:r>
                </m:e>
                <m:sub>
                  <m:r>
                    <m:rPr>
                      <m:nor/>
                      <m:sty m:val="p"/>
                    </m:rPr>
                    <m:t>ad</m:t>
                  </m:r>
                </m:sub>
              </m:sSub>
            </m:oMath>
            <w:r>
              <w:t xml:space="preserve"> </w:t>
            </w:r>
            <w:r>
              <w:t xml:space="preserve">(concaténation)</w:t>
            </w:r>
          </w:p>
        </w:tc>
      </w:tr>
      <w:tr>
        <w:tc>
          <w:tcPr/>
          <w:p>
            <w:pPr>
              <w:pStyle w:val="Compact"/>
              <w:jc w:val="left"/>
            </w:pPr>
            <w:r>
              <w:t xml:space="preserve">Architecture MLP</w:t>
            </w:r>
          </w:p>
        </w:tc>
        <w:tc>
          <w:tcPr/>
          <w:p>
            <w:pPr>
              <w:pStyle w:val="Compact"/>
              <w:jc w:val="left"/>
            </w:pPr>
            <m:oMath>
              <m:r>
                <m:t>768</m:t>
              </m:r>
              <m:r>
                <m:rPr>
                  <m:sty m:val="p"/>
                </m:rPr>
                <m:t>→</m:t>
              </m:r>
              <m:r>
                <m:t>128</m:t>
              </m:r>
              <m:r>
                <m:rPr>
                  <m:sty m:val="p"/>
                </m:rPr>
                <m:t>→</m:t>
              </m:r>
              <m:r>
                <m:t>64</m:t>
              </m:r>
              <m:r>
                <m:rPr>
                  <m:sty m:val="p"/>
                </m:rPr>
                <m:t>→</m:t>
              </m:r>
              <m:r>
                <m:t>1</m:t>
              </m:r>
            </m:oMath>
          </w:p>
        </w:tc>
        <w:tc>
          <w:tcPr/>
          <w:p>
            <w:pPr>
              <w:pStyle w:val="Compact"/>
              <w:jc w:val="left"/>
            </w:pPr>
            <w:r>
              <w:t xml:space="preserve">2 couches cachées, activation ReLU</w:t>
            </w:r>
          </w:p>
        </w:tc>
      </w:tr>
      <w:tr>
        <w:tc>
          <w:tcPr/>
          <w:p>
            <w:pPr>
              <w:pStyle w:val="Compact"/>
              <w:jc w:val="left"/>
            </w:pPr>
            <w:r>
              <w:t xml:space="preserve">Nombre d’ensemble</w:t>
            </w:r>
          </w:p>
        </w:tc>
        <w:tc>
          <w:tcPr/>
          <w:p>
            <w:pPr>
              <w:pStyle w:val="Compact"/>
              <w:jc w:val="left"/>
            </w:pPr>
            <m:oMath>
              <m:r>
                <m:t>K</m:t>
              </m:r>
              <m:r>
                <m:rPr>
                  <m:sty m:val="p"/>
                </m:rPr>
                <m:t>=</m:t>
              </m:r>
              <m:r>
                <m:t>5</m:t>
              </m:r>
            </m:oMath>
            <w:r>
              <w:t xml:space="preserve"> </w:t>
            </w:r>
            <w:r>
              <w:t xml:space="preserve">réseaux</w:t>
            </w:r>
          </w:p>
        </w:tc>
        <w:tc>
          <w:tcPr/>
          <w:p>
            <w:pPr>
              <w:pStyle w:val="Compact"/>
              <w:jc w:val="left"/>
            </w:pPr>
            <w:r>
              <w:t xml:space="preserve">Bootstrap pour estimation d’incertitude</w:t>
            </w:r>
            <w:r>
              <w:t xml:space="preserve"> </w:t>
            </w:r>
            <w:r>
              <w:t xml:space="preserve">[</w:t>
            </w:r>
            <w:hyperlink w:anchor="ref-lakshminarayanan2017simple">
              <w:r>
                <w:rPr>
                  <w:rStyle w:val="Hyperlink"/>
                </w:rPr>
                <w:t xml:space="preserve">Lakshminarayanan et al. 2017</w:t>
              </w:r>
            </w:hyperlink>
            <w:r>
              <w:t xml:space="preserve">]</w:t>
            </w:r>
          </w:p>
        </w:tc>
      </w:tr>
      <w:tr>
        <w:tc>
          <w:tcPr/>
          <w:p>
            <w:pPr>
              <w:pStyle w:val="Compact"/>
              <w:jc w:val="left"/>
            </w:pPr>
            <w:r>
              <w:t xml:space="preserve">Taux d’apprentissage</w:t>
            </w:r>
          </w:p>
        </w:tc>
        <w:tc>
          <w:tcPr/>
          <w:p>
            <w:pPr>
              <w:pStyle w:val="Compact"/>
              <w:jc w:val="left"/>
            </w:pPr>
            <m:oMath>
              <m:r>
                <m:t>η</m:t>
              </m:r>
              <m:r>
                <m:rPr>
                  <m:sty m:val="p"/>
                </m:rPr>
                <m:t>=</m:t>
              </m:r>
              <m:r>
                <m:t>0.01</m:t>
              </m:r>
            </m:oMath>
          </w:p>
        </w:tc>
        <w:tc>
          <w:tcPr/>
          <w:p>
            <w:pPr>
              <w:pStyle w:val="Compact"/>
              <w:jc w:val="left"/>
            </w:pPr>
            <w:r>
              <w:t xml:space="preserve">Adam optimizer</w:t>
            </w:r>
          </w:p>
        </w:tc>
      </w:tr>
      <w:tr>
        <w:tc>
          <w:tcPr/>
          <w:p>
            <w:pPr>
              <w:pStyle w:val="Compact"/>
              <w:jc w:val="left"/>
            </w:pPr>
            <w:r>
              <w:t xml:space="preserve">Coefficient UCB</w:t>
            </w:r>
          </w:p>
        </w:tc>
        <w:tc>
          <w:tcPr/>
          <w:p>
            <w:pPr>
              <w:pStyle w:val="Compact"/>
              <w:jc w:val="left"/>
            </w:pPr>
            <m:oMath>
              <m:r>
                <m:t>α</m:t>
              </m:r>
              <m:r>
                <m:rPr>
                  <m:sty m:val="p"/>
                </m:rPr>
                <m:t>=</m:t>
              </m:r>
              <m:r>
                <m:t>1.0</m:t>
              </m:r>
            </m:oMath>
          </w:p>
        </w:tc>
        <w:tc>
          <w:tcPr/>
          <w:p>
            <w:pPr>
              <w:pStyle w:val="Compact"/>
              <w:jc w:val="left"/>
            </w:pPr>
            <w:r>
              <w:t xml:space="preserve">Balance exploration/exploitation</w:t>
            </w:r>
          </w:p>
        </w:tc>
      </w:tr>
      <w:tr>
        <w:tc>
          <w:tcPr/>
          <w:p>
            <w:pPr>
              <w:pStyle w:val="Compact"/>
              <w:jc w:val="left"/>
            </w:pPr>
            <w:r>
              <w:t xml:space="preserve">Têtes de sortie</w:t>
            </w:r>
          </w:p>
        </w:tc>
        <w:tc>
          <w:tcPr/>
          <w:p>
            <w:pPr>
              <w:pStyle w:val="Compact"/>
              <w:jc w:val="left"/>
            </w:pPr>
            <w:r>
              <w:t xml:space="preserve">2 (engagement, revenue)</w:t>
            </w:r>
          </w:p>
        </w:tc>
        <w:tc>
          <w:tcPr/>
          <w:p>
            <w:pPr>
              <w:pStyle w:val="Compact"/>
              <w:jc w:val="left"/>
            </w:pPr>
            <w:r>
              <w:t xml:space="preserve">Optimisation bi-objectif</w:t>
            </w:r>
          </w:p>
        </w:tc>
      </w:tr>
      <w:tr>
        <w:tc>
          <w:tcPr/>
          <w:p>
            <w:pPr>
              <w:pStyle w:val="Compact"/>
              <w:jc w:val="left"/>
            </w:pPr>
            <w:r>
              <w:t xml:space="preserve">Politique MOO</w:t>
            </w:r>
          </w:p>
        </w:tc>
        <w:tc>
          <w:tcPr/>
          <w:p>
            <w:pPr>
              <w:pStyle w:val="Compact"/>
              <w:jc w:val="left"/>
            </w:pPr>
            <m:oMath>
              <m:r>
                <m:t>ε</m:t>
              </m:r>
            </m:oMath>
            <w:r>
              <w:t xml:space="preserve">-Constraint</w:t>
            </w:r>
          </w:p>
        </w:tc>
        <w:tc>
          <w:tcPr/>
          <w:p>
            <w:pPr>
              <w:pStyle w:val="Compact"/>
              <w:jc w:val="left"/>
            </w:pPr>
            <m:oMath>
              <m:r>
                <m:t>ε</m:t>
              </m:r>
              <m:r>
                <m:rPr>
                  <m:sty m:val="p"/>
                </m:rPr>
                <m:t>=</m:t>
              </m:r>
              <m:r>
                <m:rPr>
                  <m:nor/>
                  <m:sty m:val="p"/>
                </m:rPr>
                <m:t>médiane</m:t>
              </m:r>
            </m:oMath>
            <w:r>
              <w:t xml:space="preserve"> </w:t>
            </w:r>
            <w:r>
              <w:t xml:space="preserve">des revenues</w:t>
            </w:r>
          </w:p>
        </w:tc>
      </w:tr>
    </w:tbl>
    <w:bookmarkEnd w:id="138"/>
    <w:bookmarkEnd w:id="139"/>
    <w:bookmarkStart w:id="140" w:name="processus-dapprentissage-online"/>
    <w:p>
      <w:pPr>
        <w:pStyle w:val="Heading3"/>
      </w:pPr>
      <w:r>
        <w:t xml:space="preserve">3.4.2 Processus d’Apprentissage Online</w:t>
      </w:r>
    </w:p>
    <w:p>
      <w:pPr>
        <w:pStyle w:val="FirstParagraph"/>
      </w:pPr>
      <w:r>
        <w:t xml:space="preserve">Contrairement aux approches classiques d’apprentissage supervisé (entraînement</w:t>
      </w:r>
      <w:r>
        <w:t xml:space="preserve"> </w:t>
      </w:r>
      <w:r>
        <w:rPr>
          <w:i/>
          <w:iCs/>
        </w:rPr>
        <w:t xml:space="preserve">offline</w:t>
      </w:r>
      <w:r>
        <w:t xml:space="preserve"> </w:t>
      </w:r>
      <w:r>
        <w:t xml:space="preserve">sur un jeu de données fixe), le H-DeepBandit apprend</w:t>
      </w:r>
      <w:r>
        <w:t xml:space="preserve"> </w:t>
      </w:r>
      <w:r>
        <w:rPr>
          <w:b/>
          <w:bCs/>
        </w:rPr>
        <w:t xml:space="preserve">en ligne</w:t>
      </w:r>
      <w:r>
        <w:t xml:space="preserve"> </w:t>
      </w:r>
      <w:r>
        <w:t xml:space="preserve">(</w:t>
      </w:r>
      <w:r>
        <w:rPr>
          <w:i/>
          <w:iCs/>
        </w:rPr>
        <w:t xml:space="preserve">online learning</w:t>
      </w:r>
      <w:r>
        <w:t xml:space="preserve">)</w:t>
      </w:r>
      <w:r>
        <w:t xml:space="preserve"> </w:t>
      </w:r>
      <w:r>
        <w:t xml:space="preserve">[</w:t>
      </w:r>
      <w:hyperlink w:anchor="ref-lattimore2020bandit">
        <w:r>
          <w:rPr>
            <w:rStyle w:val="Hyperlink"/>
          </w:rPr>
          <w:t xml:space="preserve">Lattimore and Szepesvári 2020</w:t>
        </w:r>
      </w:hyperlink>
      <w:r>
        <w:t xml:space="preserve">]</w:t>
      </w:r>
      <w:r>
        <w:t xml:space="preserve"> </w:t>
      </w:r>
      <w:r>
        <w:t xml:space="preserve">:</w:t>
      </w:r>
    </w:p>
    <w:p>
      <w:pPr>
        <w:numPr>
          <w:ilvl w:val="0"/>
          <w:numId w:val="1031"/>
        </w:numPr>
      </w:pPr>
      <w:r>
        <w:t xml:space="preserve">À chaque impression</w:t>
      </w:r>
      <w:r>
        <w:t xml:space="preserve"> </w:t>
      </w:r>
      <m:oMath>
        <m:r>
          <m:t>t</m:t>
        </m:r>
      </m:oMath>
      <w:r>
        <w:t xml:space="preserve">, l’agent reçoit le contexte</w:t>
      </w:r>
      <w:r>
        <w:t xml:space="preserve"> </w:t>
      </w:r>
      <m:oMath>
        <m:sSub>
          <m:e>
            <m:r>
              <m:rPr>
                <m:sty m:val="b"/>
              </m:rPr>
              <m:t>x</m:t>
            </m:r>
          </m:e>
          <m:sub>
            <m:r>
              <m:t>u</m:t>
            </m:r>
          </m:sub>
        </m:sSub>
      </m:oMath>
      <w:r>
        <w:t xml:space="preserve"> </w:t>
      </w:r>
      <w:r>
        <w:t xml:space="preserve">et les embeddings des annonces disponibles.</w:t>
      </w:r>
    </w:p>
    <w:p>
      <w:pPr>
        <w:numPr>
          <w:ilvl w:val="0"/>
          <w:numId w:val="1031"/>
        </w:numPr>
      </w:pPr>
      <w:r>
        <w:t xml:space="preserve">Il prédit les scores</w:t>
      </w:r>
      <w:r>
        <w:t xml:space="preserve"> </w:t>
      </w:r>
      <m:oMath>
        <m:r>
          <m:rPr>
            <m:sty m:val="p"/>
          </m:rPr>
          <m:t>(</m:t>
        </m:r>
        <m:r>
          <m:t>U</m:t>
        </m:r>
        <m:r>
          <m:t>C</m:t>
        </m:r>
        <m:sSub>
          <m:e>
            <m:r>
              <m:t>B</m:t>
            </m:r>
          </m:e>
          <m:sub>
            <m:r>
              <m:rPr>
                <m:nor/>
                <m:sty m:val="p"/>
              </m:rPr>
              <m:t>eng</m:t>
            </m:r>
          </m:sub>
        </m:sSub>
        <m:r>
          <m:rPr>
            <m:sty m:val="p"/>
          </m:rPr>
          <m:t>,</m:t>
        </m:r>
        <m:r>
          <m:t>L</m:t>
        </m:r>
        <m:r>
          <m:t>C</m:t>
        </m:r>
        <m:sSub>
          <m:e>
            <m:r>
              <m:t>B</m:t>
            </m:r>
          </m:e>
          <m:sub>
            <m:r>
              <m:rPr>
                <m:nor/>
                <m:sty m:val="p"/>
              </m:rPr>
              <m:t>rev</m:t>
            </m:r>
          </m:sub>
        </m:sSub>
        <m:r>
          <m:rPr>
            <m:sty m:val="p"/>
          </m:rPr>
          <m:t>)</m:t>
        </m:r>
      </m:oMath>
      <w:r>
        <w:t xml:space="preserve"> </w:t>
      </w:r>
      <w:r>
        <w:t xml:space="preserve">pour chaque annonce via le</w:t>
      </w:r>
      <w:r>
        <w:t xml:space="preserve"> </w:t>
      </w:r>
      <w:r>
        <w:rPr>
          <w:i/>
          <w:iCs/>
        </w:rPr>
        <w:t xml:space="preserve">forward pass</w:t>
      </w:r>
      <w:r>
        <w:t xml:space="preserve"> </w:t>
      </w:r>
      <w:r>
        <w:t xml:space="preserve">sur les</w:t>
      </w:r>
      <w:r>
        <w:t xml:space="preserve"> </w:t>
      </w:r>
      <m:oMath>
        <m:r>
          <m:t>K</m:t>
        </m:r>
        <m:r>
          <m:rPr>
            <m:sty m:val="p"/>
          </m:rPr>
          <m:t>=</m:t>
        </m:r>
        <m:r>
          <m:t>5</m:t>
        </m:r>
      </m:oMath>
      <w:r>
        <w:t xml:space="preserve"> </w:t>
      </w:r>
      <w:r>
        <w:t xml:space="preserve">réseaux de l’ensemble.</w:t>
      </w:r>
    </w:p>
    <w:p>
      <w:pPr>
        <w:numPr>
          <w:ilvl w:val="0"/>
          <w:numId w:val="1031"/>
        </w:numPr>
      </w:pPr>
      <w:r>
        <w:t xml:space="preserve">La politique</w:t>
      </w:r>
      <w:r>
        <w:t xml:space="preserve"> </w:t>
      </w:r>
      <m:oMath>
        <m:r>
          <m:t>ε</m:t>
        </m:r>
      </m:oMath>
      <w:r>
        <w:t xml:space="preserve">-Constraint</w:t>
      </w:r>
      <w:r>
        <w:t xml:space="preserve"> </w:t>
      </w:r>
      <w:r>
        <w:t xml:space="preserve">[</w:t>
      </w:r>
      <w:hyperlink w:anchor="ref-ehrgott2005multicriteria">
        <w:r>
          <w:rPr>
            <w:rStyle w:val="Hyperlink"/>
          </w:rPr>
          <w:t xml:space="preserve">Ehrgott 2005</w:t>
        </w:r>
      </w:hyperlink>
      <w:r>
        <w:t xml:space="preserve">]</w:t>
      </w:r>
      <w:r>
        <w:t xml:space="preserve"> </w:t>
      </w:r>
      <w:r>
        <w:t xml:space="preserve">sélectionne l’annonce maximisant l’engagement sous contrainte de revenue minimum.</w:t>
      </w:r>
    </w:p>
    <w:p>
      <w:pPr>
        <w:numPr>
          <w:ilvl w:val="0"/>
          <w:numId w:val="1031"/>
        </w:numPr>
      </w:pPr>
      <w:r>
        <w:t xml:space="preserve">Le feedback (clic, conversion) est utilisé pour mettre à jour le réseau correspondant via rétropropagation.</w:t>
      </w:r>
    </w:p>
    <w:p>
      <w:pPr>
        <w:pStyle w:val="FirstParagraph"/>
      </w:pPr>
      <w:r>
        <w:t xml:space="preserve">L’</w:t>
      </w:r>
      <w:r>
        <w:rPr>
          <w:b/>
          <w:bCs/>
        </w:rPr>
        <w:t xml:space="preserve">incertitude</w:t>
      </w:r>
      <w:r>
        <w:t xml:space="preserve"> </w:t>
      </w:r>
      <w:r>
        <w:t xml:space="preserve">est quantifiée par l’écart-type des prédictions entre les</w:t>
      </w:r>
      <w:r>
        <w:t xml:space="preserve"> </w:t>
      </w:r>
      <m:oMath>
        <m:r>
          <m:t>K</m:t>
        </m:r>
      </m:oMath>
      <w:r>
        <w:t xml:space="preserve"> </w:t>
      </w:r>
      <w:r>
        <w:t xml:space="preserve">réseaux de l’ensemble (</w:t>
      </w:r>
      <w:r>
        <w:rPr>
          <w:i/>
          <w:iCs/>
        </w:rPr>
        <w:t xml:space="preserve">bootstrap uncertainty</w:t>
      </w:r>
      <w:r>
        <w:t xml:space="preserve">)</w:t>
      </w:r>
      <w:r>
        <w:t xml:space="preserve"> </w:t>
      </w:r>
      <w:r>
        <w:t xml:space="preserve">[</w:t>
      </w:r>
      <w:hyperlink w:anchor="ref-osband2016deep">
        <w:r>
          <w:rPr>
            <w:rStyle w:val="Hyperlink"/>
          </w:rPr>
          <w:t xml:space="preserve">Osband et al. 2016</w:t>
        </w:r>
      </w:hyperlink>
      <w:r>
        <w:t xml:space="preserve">]</w:t>
      </w:r>
      <w:r>
        <w:t xml:space="preserve">, ce qui offre un compromis entre expressivité (réseaux de neurones) et calibration de l’exploration (diversité de l’ensemble).</w:t>
      </w:r>
    </w:p>
    <w:bookmarkEnd w:id="140"/>
    <w:bookmarkEnd w:id="141"/>
    <w:bookmarkStart w:id="142" w:name="conclusion-2"/>
    <w:p>
      <w:pPr>
        <w:pStyle w:val="Heading2"/>
      </w:pPr>
      <w:r>
        <w:t xml:space="preserve">Conclusion</w:t>
      </w:r>
    </w:p>
    <w:p>
      <w:pPr>
        <w:pStyle w:val="FirstParagraph"/>
      </w:pPr>
      <w:r>
        <w:t xml:space="preserve">Ce chapitre a présenté l’expérimentation et la validation de l’approche hybride sémantique à travers un benchmark exhaustif de 142 configurations. Les résultats ont confirmé que :</w:t>
      </w:r>
    </w:p>
    <w:p>
      <w:pPr>
        <w:numPr>
          <w:ilvl w:val="0"/>
          <w:numId w:val="1032"/>
        </w:numPr>
      </w:pPr>
      <w:r>
        <w:rPr>
          <w:b/>
          <w:bCs/>
        </w:rPr>
        <w:t xml:space="preserve">H-DeepBandit</w:t>
      </w:r>
      <w:r>
        <w:rPr>
          <w:b/>
          <w:bCs/>
        </w:rPr>
        <w:t xml:space="preserve"> </w:t>
      </w:r>
      <m:oMath>
        <m:r>
          <m:rPr>
            <m:sty m:val="p"/>
          </m:rPr>
          <m:t>×</m:t>
        </m:r>
      </m:oMath>
      <w:r>
        <w:rPr>
          <w:b/>
          <w:bCs/>
        </w:rPr>
        <w:t xml:space="preserve"> </w:t>
      </w:r>
      <m:oMath>
        <m:r>
          <m:t>ε</m:t>
        </m:r>
      </m:oMath>
      <w:r>
        <w:rPr>
          <w:b/>
          <w:bCs/>
        </w:rPr>
        <w:t xml:space="preserve">-Constraint</w:t>
      </w:r>
      <w:r>
        <w:t xml:space="preserve"> </w:t>
      </w:r>
      <w:r>
        <w:t xml:space="preserve">est le seul point conjoint (0.663, 0.094) dominant strictement son pair classique — une dominance</w:t>
      </w:r>
      <w:r>
        <w:t xml:space="preserve"> </w:t>
      </w:r>
      <w:r>
        <w:rPr>
          <w:i/>
          <w:iCs/>
        </w:rPr>
        <w:t xml:space="preserve">win-win</w:t>
      </w:r>
      <w:r>
        <w:t xml:space="preserve"> </w:t>
      </w:r>
      <w:r>
        <w:t xml:space="preserve">sur les deux objectifs simultanément.</w:t>
      </w:r>
    </w:p>
    <w:p>
      <w:pPr>
        <w:numPr>
          <w:ilvl w:val="0"/>
          <w:numId w:val="1032"/>
        </w:numPr>
      </w:pPr>
      <w:r>
        <w:t xml:space="preserve">Le mécanisme de transfert zéro-shot comble le gap de cold-start avec un avantage de</w:t>
      </w:r>
      <w:r>
        <w:t xml:space="preserve"> </w:t>
      </w:r>
      <w:r>
        <w:rPr>
          <w:b/>
          <w:bCs/>
        </w:rPr>
        <w:t xml:space="preserve">+0.132</w:t>
      </w:r>
      <w:r>
        <w:t xml:space="preserve"> </w:t>
      </w:r>
      <w:r>
        <w:t xml:space="preserve">en engagement.</w:t>
      </w:r>
    </w:p>
    <w:p>
      <w:pPr>
        <w:numPr>
          <w:ilvl w:val="0"/>
          <w:numId w:val="1032"/>
        </w:numPr>
      </w:pPr>
      <w:r>
        <w:rPr>
          <w:b/>
          <w:bCs/>
        </w:rPr>
        <w:t xml:space="preserve">5/7</w:t>
      </w:r>
      <w:r>
        <w:t xml:space="preserve"> </w:t>
      </w:r>
      <w:r>
        <w:t xml:space="preserve">agents hybrides améliorent le revenue, confirmant que l’hybridation déplace systématiquement le front de Pareto vers plus de valeur économique.</w:t>
      </w:r>
    </w:p>
    <w:p>
      <w:pPr>
        <w:pStyle w:val="FirstParagraph"/>
      </w:pPr>
      <w:r>
        <w:t xml:space="preserve">Le chapitre suivant présentera les résultats de la validation temps réel et l’évaluation des performances du système déployé.</w:t>
      </w:r>
    </w:p>
    <w:bookmarkEnd w:id="142"/>
    <w:bookmarkEnd w:id="143"/>
    <w:bookmarkStart w:id="186" w:name="chap:systeme_temps_reel"/>
    <w:p>
      <w:pPr>
        <w:pStyle w:val="Heading1"/>
      </w:pPr>
      <w:r>
        <w:t xml:space="preserve">Chapitre 4 : Conception du Système Temps Réel et Évaluation</w:t>
      </w:r>
    </w:p>
    <w:bookmarkStart w:id="144" w:name="introduction-3"/>
    <w:p>
      <w:pPr>
        <w:pStyle w:val="Heading2"/>
      </w:pPr>
      <w:r>
        <w:t xml:space="preserve">Introduction</w:t>
      </w:r>
    </w:p>
    <w:p>
      <w:pPr>
        <w:pStyle w:val="FirstParagraph"/>
      </w:pPr>
      <w:r>
        <w:t xml:space="preserve">Le Chapitre 3 a isolé le champion</w:t>
      </w:r>
      <w:r>
        <w:t xml:space="preserve"> </w:t>
      </w:r>
      <w:r>
        <w:rPr>
          <w:b/>
          <w:bCs/>
        </w:rPr>
        <w:t xml:space="preserve">H-DeepBandit</w:t>
      </w:r>
      <w:r>
        <w:rPr>
          <w:b/>
          <w:bCs/>
        </w:rPr>
        <w:t xml:space="preserve"> </w:t>
      </w:r>
      <m:oMath>
        <m:r>
          <m:rPr>
            <m:sty m:val="p"/>
          </m:rPr>
          <m:t>×</m:t>
        </m:r>
      </m:oMath>
      <w:r>
        <w:rPr>
          <w:b/>
          <w:bCs/>
        </w:rPr>
        <w:t xml:space="preserve"> </w:t>
      </w:r>
      <m:oMath>
        <m:r>
          <m:t>ε</m:t>
        </m:r>
      </m:oMath>
      <w:r>
        <w:rPr>
          <w:b/>
          <w:bCs/>
        </w:rPr>
        <w:t xml:space="preserve">-Constraint</w:t>
      </w:r>
      <w:r>
        <w:t xml:space="preserve"> </w:t>
      </w:r>
      <w:r>
        <w:t xml:space="preserve">dans un cadre expérimental contrôlé. Ce quatrième chapitre décrit la traduction de ce modèle en un</w:t>
      </w:r>
      <w:r>
        <w:t xml:space="preserve"> </w:t>
      </w:r>
      <w:r>
        <w:rPr>
          <w:b/>
          <w:bCs/>
        </w:rPr>
        <w:t xml:space="preserve">système temps réel opérationnel</w:t>
      </w:r>
      <w:r>
        <w:t xml:space="preserve">, puis évalue ses performances dans des conditions proches de la production.</w:t>
      </w:r>
    </w:p>
    <w:p>
      <w:pPr>
        <w:pStyle w:val="BodyText"/>
      </w:pPr>
      <w:r>
        <w:t xml:space="preserve">L’objectif est double : d’une part, détailler l’architecture logicielle MLOps conçue pour soutenir les inférences sous de fortes contraintes de latence tout en gérant la problématique de la récompense retardée (</w:t>
      </w:r>
      <w:r>
        <w:rPr>
          <w:i/>
          <w:iCs/>
        </w:rPr>
        <w:t xml:space="preserve">delayed feedback</w:t>
      </w:r>
      <w:r>
        <w:t xml:space="preserve">) ; d’autre part, présenter les résultats de la validation temps réel (simulation de 500 itérations et test de charge).</w:t>
      </w:r>
    </w:p>
    <w:bookmarkEnd w:id="144"/>
    <w:bookmarkStart w:id="150" w:name="sec:architecture_pipeline"/>
    <w:p>
      <w:pPr>
        <w:pStyle w:val="Heading2"/>
      </w:pPr>
      <w:r>
        <w:t xml:space="preserve">4.1 Architecture du Pipeline Closed-Loop</w:t>
      </w:r>
    </w:p>
    <w:bookmarkStart w:id="145" w:name="conception-du-pipeline"/>
    <w:p>
      <w:pPr>
        <w:pStyle w:val="Heading3"/>
      </w:pPr>
      <w:r>
        <w:t xml:space="preserve">4.1.1 Conception du Pipeline</w:t>
      </w:r>
    </w:p>
    <w:p>
      <w:pPr>
        <w:pStyle w:val="FirstParagraph"/>
      </w:pPr>
      <w:r>
        <w:t xml:space="preserve">Dans un environnement publicitaire programmatique, le système de recommandation ne peut se contenter d’être un service passif. Il doit s’insérer dans une</w:t>
      </w:r>
      <w:r>
        <w:t xml:space="preserve"> </w:t>
      </w:r>
      <w:r>
        <w:rPr>
          <w:b/>
          <w:bCs/>
        </w:rPr>
        <w:t xml:space="preserve">boucle fermée</w:t>
      </w:r>
      <w:r>
        <w:t xml:space="preserve"> </w:t>
      </w:r>
      <w:r>
        <w:t xml:space="preserve">(</w:t>
      </w:r>
      <w:r>
        <w:rPr>
          <w:i/>
          <w:iCs/>
        </w:rPr>
        <w:t xml:space="preserve">closed-loop</w:t>
      </w:r>
      <w:r>
        <w:t xml:space="preserve">) où chaque recommandation génère un point de donnée qui, en retour, met à jour le modèle d’exploration-exploitation de l’agent.</w:t>
      </w:r>
    </w:p>
    <w:p>
      <w:pPr>
        <w:pStyle w:val="BodyText"/>
      </w:pPr>
      <w:r>
        <w:t xml:space="preserve">Le flux de données global suit le cycle suivant :</w:t>
      </w:r>
    </w:p>
    <w:p>
      <w:pPr>
        <w:numPr>
          <w:ilvl w:val="0"/>
          <w:numId w:val="1033"/>
        </w:numPr>
      </w:pPr>
      <w:r>
        <w:rPr>
          <w:b/>
          <w:bCs/>
        </w:rPr>
        <w:t xml:space="preserve">Capture de l’impression</w:t>
      </w:r>
      <w:r>
        <w:t xml:space="preserve"> </w:t>
      </w:r>
      <w:r>
        <w:t xml:space="preserve">: un utilisateur visite une page web, déclenchant une requête d’enchère.</w:t>
      </w:r>
    </w:p>
    <w:p>
      <w:pPr>
        <w:numPr>
          <w:ilvl w:val="0"/>
          <w:numId w:val="1033"/>
        </w:numPr>
      </w:pPr>
      <w:r>
        <w:rPr>
          <w:b/>
          <w:bCs/>
        </w:rPr>
        <w:t xml:space="preserve">Encodage sémantique</w:t>
      </w:r>
      <w:r>
        <w:t xml:space="preserve"> </w:t>
      </w:r>
      <w:r>
        <w:t xml:space="preserve">: le profil utilisateur et les annonces disponibles sont encodés en vecteurs denses</w:t>
      </w:r>
      <w:r>
        <w:t xml:space="preserve"> </w:t>
      </w:r>
      <m:oMath>
        <m:sSub>
          <m:e>
            <m:r>
              <m:rPr>
                <m:sty m:val="b"/>
              </m:rPr>
              <m:t>x</m:t>
            </m:r>
          </m:e>
          <m:sub>
            <m:r>
              <m:t>u</m:t>
            </m:r>
          </m:sub>
        </m:sSub>
        <m:r>
          <m:rPr>
            <m:sty m:val="p"/>
          </m:rPr>
          <m:t>,</m:t>
        </m:r>
        <m:sSub>
          <m:e>
            <m:r>
              <m:rPr>
                <m:sty m:val="b"/>
              </m:rPr>
              <m:t>x</m:t>
            </m:r>
          </m:e>
          <m:sub>
            <m:r>
              <m:t>a</m:t>
            </m:r>
          </m:sub>
        </m:sSub>
        <m:r>
          <m:rPr>
            <m:sty m:val="p"/>
          </m:rPr>
          <m:t>∈</m:t>
        </m:r>
        <m:sSup>
          <m:e>
            <m:r>
              <m:rPr>
                <m:scr m:val="double-struck"/>
                <m:sty m:val="p"/>
              </m:rPr>
              <m:t>R</m:t>
            </m:r>
          </m:e>
          <m:sup>
            <m:r>
              <m:t>384</m:t>
            </m:r>
          </m:sup>
        </m:sSup>
      </m:oMath>
      <w:r>
        <w:t xml:space="preserve"> </w:t>
      </w:r>
      <w:r>
        <w:t xml:space="preserve">via SentenceTransformer</w:t>
      </w:r>
      <w:r>
        <w:t xml:space="preserve"> </w:t>
      </w:r>
      <w:r>
        <w:t xml:space="preserve">[</w:t>
      </w:r>
      <w:hyperlink w:anchor="ref-reimers2019sentence">
        <w:r>
          <w:rPr>
            <w:rStyle w:val="Hyperlink"/>
          </w:rPr>
          <w:t xml:space="preserve">Reimers and Gurevych 2019</w:t>
        </w:r>
      </w:hyperlink>
      <w:r>
        <w:t xml:space="preserve">]</w:t>
      </w:r>
      <w:r>
        <w:t xml:space="preserve">.</w:t>
      </w:r>
    </w:p>
    <w:p>
      <w:pPr>
        <w:numPr>
          <w:ilvl w:val="0"/>
          <w:numId w:val="1033"/>
        </w:numPr>
      </w:pPr>
      <w:r>
        <w:rPr>
          <w:b/>
          <w:bCs/>
        </w:rPr>
        <w:t xml:space="preserve">Décision</w:t>
      </w:r>
      <w:r>
        <w:t xml:space="preserve"> </w:t>
      </w:r>
      <w:r>
        <w:t xml:space="preserve">: le H-DeepBandit</w:t>
      </w:r>
      <w:r>
        <w:t xml:space="preserve"> </w:t>
      </w:r>
      <w:r>
        <w:t xml:space="preserve">[</w:t>
      </w:r>
      <w:hyperlink w:anchor="ref-riquelme2018deep">
        <w:r>
          <w:rPr>
            <w:rStyle w:val="Hyperlink"/>
          </w:rPr>
          <w:t xml:space="preserve">Riquelme et al. 2018</w:t>
        </w:r>
      </w:hyperlink>
      <w:r>
        <w:t xml:space="preserve">]</w:t>
      </w:r>
      <w:r>
        <w:t xml:space="preserve"> </w:t>
      </w:r>
      <w:r>
        <w:t xml:space="preserve">prédit les scores</w:t>
      </w:r>
      <w:r>
        <w:t xml:space="preserve"> </w:t>
      </w:r>
      <m:oMath>
        <m:r>
          <m:rPr>
            <m:sty m:val="p"/>
          </m:rPr>
          <m:t>(</m:t>
        </m:r>
        <m:r>
          <m:t>U</m:t>
        </m:r>
        <m:r>
          <m:t>C</m:t>
        </m:r>
        <m:sSub>
          <m:e>
            <m:r>
              <m:t>B</m:t>
            </m:r>
          </m:e>
          <m:sub>
            <m:r>
              <m:rPr>
                <m:nor/>
                <m:sty m:val="p"/>
              </m:rPr>
              <m:t>eng</m:t>
            </m:r>
          </m:sub>
        </m:sSub>
        <m:r>
          <m:rPr>
            <m:sty m:val="p"/>
          </m:rPr>
          <m:t>,</m:t>
        </m:r>
        <m:r>
          <m:t>L</m:t>
        </m:r>
        <m:r>
          <m:t>C</m:t>
        </m:r>
        <m:sSub>
          <m:e>
            <m:r>
              <m:t>B</m:t>
            </m:r>
          </m:e>
          <m:sub>
            <m:r>
              <m:rPr>
                <m:nor/>
                <m:sty m:val="p"/>
              </m:rPr>
              <m:t>rev</m:t>
            </m:r>
          </m:sub>
        </m:sSub>
        <m:r>
          <m:rPr>
            <m:sty m:val="p"/>
          </m:rPr>
          <m:t>)</m:t>
        </m:r>
      </m:oMath>
      <w:r>
        <w:t xml:space="preserve"> </w:t>
      </w:r>
      <w:r>
        <w:t xml:space="preserve">et la politique</w:t>
      </w:r>
      <w:r>
        <w:t xml:space="preserve"> </w:t>
      </w:r>
      <m:oMath>
        <m:r>
          <m:t>ε</m:t>
        </m:r>
      </m:oMath>
      <w:r>
        <w:t xml:space="preserve">-Constraint</w:t>
      </w:r>
      <w:r>
        <w:t xml:space="preserve"> </w:t>
      </w:r>
      <w:r>
        <w:t xml:space="preserve">[</w:t>
      </w:r>
      <w:hyperlink w:anchor="ref-ehrgott2005multicriteria">
        <w:r>
          <w:rPr>
            <w:rStyle w:val="Hyperlink"/>
          </w:rPr>
          <w:t xml:space="preserve">Ehrgott 2005</w:t>
        </w:r>
      </w:hyperlink>
      <w:r>
        <w:t xml:space="preserve">]</w:t>
      </w:r>
      <w:r>
        <w:t xml:space="preserve"> </w:t>
      </w:r>
      <w:r>
        <w:t xml:space="preserve">sélectionne l’annonce optimale.</w:t>
      </w:r>
    </w:p>
    <w:p>
      <w:pPr>
        <w:numPr>
          <w:ilvl w:val="0"/>
          <w:numId w:val="1033"/>
        </w:numPr>
      </w:pPr>
      <w:r>
        <w:rPr>
          <w:b/>
          <w:bCs/>
        </w:rPr>
        <w:t xml:space="preserve">Feedback</w:t>
      </w:r>
      <w:r>
        <w:t xml:space="preserve"> </w:t>
      </w:r>
      <w:r>
        <w:t xml:space="preserve">: le clic (immédiat) et la conversion (retardée) sont collectés et renvoyés au modèle.</w:t>
      </w:r>
    </w:p>
    <w:p>
      <w:pPr>
        <w:numPr>
          <w:ilvl w:val="0"/>
          <w:numId w:val="1033"/>
        </w:numPr>
      </w:pPr>
      <w:r>
        <w:rPr>
          <w:b/>
          <w:bCs/>
        </w:rPr>
        <w:t xml:space="preserve">Mise à jour</w:t>
      </w:r>
      <w:r>
        <w:t xml:space="preserve"> </w:t>
      </w:r>
      <w:r>
        <w:t xml:space="preserve">: l’agent met à jour ses réseaux neuronaux via rétropropagation, fermant la boucle.</w:t>
      </w:r>
    </w:p>
    <w:p>
      <w:pPr>
        <w:pStyle w:val="FirstParagraph"/>
      </w:pPr>
      <w:r>
        <w:t xml:space="preserve">Cette architecture garantit que l’agent re-calcule continuellement son incertitude au fur et à mesure de l’arrivée des données, brisant ainsi la barrière de l’</w:t>
      </w:r>
      <w:r>
        <w:rPr>
          <w:i/>
          <w:iCs/>
        </w:rPr>
        <w:t xml:space="preserve">offline training</w:t>
      </w:r>
      <w:r>
        <w:t xml:space="preserve">.</w:t>
      </w:r>
    </w:p>
    <w:bookmarkEnd w:id="145"/>
    <w:bookmarkStart w:id="146" w:name="X03119dd3f9f29a93bb9656908d3bf406c56dfc9"/>
    <w:p>
      <w:pPr>
        <w:pStyle w:val="Heading3"/>
      </w:pPr>
      <w:r>
        <w:t xml:space="preserve">4.1.2 Le Cœur de Décision : RecommendationService</w:t>
      </w:r>
    </w:p>
    <w:p>
      <w:pPr>
        <w:pStyle w:val="FirstParagraph"/>
      </w:pPr>
      <w:r>
        <w:t xml:space="preserve">Au cœur de l’application se trouve la classe</w:t>
      </w:r>
      <w:r>
        <w:t xml:space="preserve"> </w:t>
      </w:r>
      <w:r>
        <w:rPr>
          <w:rStyle w:val="VerbatimChar"/>
        </w:rPr>
        <w:t xml:space="preserve">RecommendationService</w:t>
      </w:r>
      <w:r>
        <w:t xml:space="preserve">, qui orchestre la totalité de la logique de décision. Elle encapsule :</w:t>
      </w:r>
    </w:p>
    <w:p>
      <w:pPr>
        <w:numPr>
          <w:ilvl w:val="0"/>
          <w:numId w:val="1034"/>
        </w:numPr>
      </w:pPr>
      <w:r>
        <w:t xml:space="preserve">L’</w:t>
      </w:r>
      <w:r>
        <w:rPr>
          <w:b/>
          <w:bCs/>
        </w:rPr>
        <w:t xml:space="preserve">encodeur sémantique</w:t>
      </w:r>
      <w:r>
        <w:t xml:space="preserve"> </w:t>
      </w:r>
      <w:r>
        <w:t xml:space="preserve">:</w:t>
      </w:r>
      <w:r>
        <w:t xml:space="preserve"> </w:t>
      </w:r>
      <w:r>
        <w:rPr>
          <w:rStyle w:val="VerbatimChar"/>
        </w:rPr>
        <w:t xml:space="preserve">all-MiniLM-L6-v2</w:t>
      </w:r>
      <w:r>
        <w:t xml:space="preserve"> </w:t>
      </w:r>
      <w:r>
        <w:t xml:space="preserve">[</w:t>
      </w:r>
      <w:hyperlink w:anchor="ref-reimers2019sentence">
        <w:r>
          <w:rPr>
            <w:rStyle w:val="Hyperlink"/>
          </w:rPr>
          <w:t xml:space="preserve">Reimers and Gurevych 2019</w:t>
        </w:r>
      </w:hyperlink>
      <w:r>
        <w:t xml:space="preserve">]</w:t>
      </w:r>
      <w:r>
        <w:t xml:space="preserve"> </w:t>
      </w:r>
      <w:r>
        <w:t xml:space="preserve">qui transforme les textes en vecteurs</w:t>
      </w:r>
      <w:r>
        <w:t xml:space="preserve"> </w:t>
      </w:r>
      <m:oMath>
        <m:sSup>
          <m:e>
            <m:r>
              <m:rPr>
                <m:scr m:val="double-struck"/>
                <m:sty m:val="p"/>
              </m:rPr>
              <m:t>R</m:t>
            </m:r>
          </m:e>
          <m:sup>
            <m:r>
              <m:t>384</m:t>
            </m:r>
          </m:sup>
        </m:sSup>
      </m:oMath>
      <w:r>
        <w:t xml:space="preserve">.</w:t>
      </w:r>
    </w:p>
    <w:p>
      <w:pPr>
        <w:numPr>
          <w:ilvl w:val="0"/>
          <w:numId w:val="1034"/>
        </w:numPr>
      </w:pPr>
      <w:r>
        <w:t xml:space="preserve">L’</w:t>
      </w:r>
      <w:r>
        <w:rPr>
          <w:b/>
          <w:bCs/>
        </w:rPr>
        <w:t xml:space="preserve">agent H-DeepBandit</w:t>
      </w:r>
      <w:r>
        <w:t xml:space="preserve"> </w:t>
      </w:r>
      <w:r>
        <w:t xml:space="preserve">: un ensemble de 5 réseaux MLP (</w:t>
      </w:r>
      <m:oMath>
        <m:r>
          <m:t>768</m:t>
        </m:r>
        <m:r>
          <m:rPr>
            <m:sty m:val="p"/>
          </m:rPr>
          <m:t>→</m:t>
        </m:r>
        <m:r>
          <m:t>128</m:t>
        </m:r>
        <m:r>
          <m:rPr>
            <m:sty m:val="p"/>
          </m:rPr>
          <m:t>→</m:t>
        </m:r>
        <m:r>
          <m:t>64</m:t>
        </m:r>
        <m:r>
          <m:rPr>
            <m:sty m:val="p"/>
          </m:rPr>
          <m:t>→</m:t>
        </m:r>
        <m:r>
          <m:t>1</m:t>
        </m:r>
      </m:oMath>
      <w:r>
        <w:t xml:space="preserve">), avec deux têtes de sortie (engagement, revenue).</w:t>
      </w:r>
    </w:p>
    <w:p>
      <w:pPr>
        <w:numPr>
          <w:ilvl w:val="0"/>
          <w:numId w:val="1034"/>
        </w:numPr>
      </w:pPr>
      <w:r>
        <w:t xml:space="preserve">Le</w:t>
      </w:r>
      <w:r>
        <w:t xml:space="preserve"> </w:t>
      </w:r>
      <w:r>
        <w:rPr>
          <w:b/>
          <w:bCs/>
        </w:rPr>
        <w:t xml:space="preserve">registre d’annonces</w:t>
      </w:r>
      <w:r>
        <w:t xml:space="preserve"> </w:t>
      </w:r>
      <w:r>
        <w:t xml:space="preserve">: gestion dynamique des bras via</w:t>
      </w:r>
      <w:r>
        <w:t xml:space="preserve"> </w:t>
      </w:r>
      <w:r>
        <w:rPr>
          <w:rStyle w:val="VerbatimChar"/>
        </w:rPr>
        <w:t xml:space="preserve">register_ads()</w:t>
      </w:r>
      <w:r>
        <w:t xml:space="preserve"> </w:t>
      </w:r>
      <w:r>
        <w:t xml:space="preserve">et</w:t>
      </w:r>
      <w:r>
        <w:t xml:space="preserve"> </w:t>
      </w:r>
      <w:r>
        <w:rPr>
          <w:rStyle w:val="VerbatimChar"/>
        </w:rPr>
        <w:t xml:space="preserve">expand_arms()</w:t>
      </w:r>
      <w:r>
        <w:t xml:space="preserve">, permettant l’ajout de nouvelles annonces</w:t>
      </w:r>
      <w:r>
        <w:t xml:space="preserve"> </w:t>
      </w:r>
      <w:r>
        <w:rPr>
          <w:i/>
          <w:iCs/>
        </w:rPr>
        <w:t xml:space="preserve">à chaud</w:t>
      </w:r>
      <w:r>
        <w:t xml:space="preserve"> </w:t>
      </w:r>
      <w:r>
        <w:t xml:space="preserve">(zero-shot).</w:t>
      </w:r>
    </w:p>
    <w:p>
      <w:pPr>
        <w:numPr>
          <w:ilvl w:val="0"/>
          <w:numId w:val="1034"/>
        </w:numPr>
      </w:pPr>
      <w:r>
        <w:t xml:space="preserve">La</w:t>
      </w:r>
      <w:r>
        <w:t xml:space="preserve"> </w:t>
      </w:r>
      <w:r>
        <w:rPr>
          <w:b/>
          <w:bCs/>
        </w:rPr>
        <w:t xml:space="preserve">politique MOO</w:t>
      </w:r>
      <w:r>
        <w:t xml:space="preserve"> </w:t>
      </w:r>
      <w:r>
        <w:t xml:space="preserve">:</w:t>
      </w:r>
      <w:r>
        <w:t xml:space="preserve"> </w:t>
      </w:r>
      <m:oMath>
        <m:r>
          <m:t>ε</m:t>
        </m:r>
      </m:oMath>
      <w:r>
        <w:t xml:space="preserve">-Constraint qui maximise le CTR sous contrainte de revenue minimum.</w:t>
      </w:r>
    </w:p>
    <w:p>
      <w:pPr>
        <w:pStyle w:val="FirstParagraph"/>
      </w:pPr>
      <w:r>
        <w:t xml:space="preserve">Le processus de recommandation se déroule en quatre étapes :</w:t>
      </w:r>
    </w:p>
    <w:p>
      <w:pPr>
        <w:numPr>
          <w:ilvl w:val="0"/>
          <w:numId w:val="1035"/>
        </w:numPr>
      </w:pPr>
      <w:r>
        <w:t xml:space="preserve">Encodage sémantique du contexte utilisateur (</w:t>
      </w:r>
      <m:oMath>
        <m:sSub>
          <m:e>
            <m:r>
              <m:rPr>
                <m:sty m:val="b"/>
              </m:rPr>
              <m:t>x</m:t>
            </m:r>
          </m:e>
          <m:sub>
            <m:r>
              <m:t>u</m:t>
            </m:r>
          </m:sub>
        </m:sSub>
      </m:oMath>
      <w:r>
        <w:t xml:space="preserve">).</w:t>
      </w:r>
    </w:p>
    <w:p>
      <w:pPr>
        <w:numPr>
          <w:ilvl w:val="0"/>
          <w:numId w:val="1035"/>
        </w:numPr>
      </w:pPr>
      <w:r>
        <w:t xml:space="preserve">Résolution du cold-start : les nouvelles annonces sont ajoutées dynamiquement via</w:t>
      </w:r>
      <w:r>
        <w:t xml:space="preserve"> </w:t>
      </w:r>
      <w:r>
        <w:rPr>
          <w:rStyle w:val="VerbatimChar"/>
        </w:rPr>
        <w:t xml:space="preserve">expand_arms()</w:t>
      </w:r>
      <w:r>
        <w:t xml:space="preserve">, exploitant le transfert zéro-shot.</w:t>
      </w:r>
    </w:p>
    <w:p>
      <w:pPr>
        <w:numPr>
          <w:ilvl w:val="0"/>
          <w:numId w:val="1035"/>
        </w:numPr>
      </w:pPr>
      <w:r>
        <w:t xml:space="preserve">Prédiction multi-objectif : forward pass sur les 5 réseaux de l’ensemble pour obtenir</w:t>
      </w:r>
      <w:r>
        <w:t xml:space="preserve"> </w:t>
      </w:r>
      <m:oMath>
        <m:r>
          <m:rPr>
            <m:sty m:val="p"/>
          </m:rPr>
          <m:t>(</m:t>
        </m:r>
        <m:r>
          <m:t>U</m:t>
        </m:r>
        <m:r>
          <m:t>C</m:t>
        </m:r>
        <m:sSub>
          <m:e>
            <m:r>
              <m:t>B</m:t>
            </m:r>
          </m:e>
          <m:sub>
            <m:r>
              <m:rPr>
                <m:nor/>
                <m:sty m:val="p"/>
              </m:rPr>
              <m:t>eng</m:t>
            </m:r>
          </m:sub>
        </m:sSub>
        <m:r>
          <m:rPr>
            <m:sty m:val="p"/>
          </m:rPr>
          <m:t>,</m:t>
        </m:r>
        <m:r>
          <m:t>L</m:t>
        </m:r>
        <m:r>
          <m:t>C</m:t>
        </m:r>
        <m:sSub>
          <m:e>
            <m:r>
              <m:t>B</m:t>
            </m:r>
          </m:e>
          <m:sub>
            <m:r>
              <m:rPr>
                <m:nor/>
                <m:sty m:val="p"/>
              </m:rPr>
              <m:t>rev</m:t>
            </m:r>
          </m:sub>
        </m:sSub>
        <m:r>
          <m:rPr>
            <m:sty m:val="p"/>
          </m:rPr>
          <m:t>)</m:t>
        </m:r>
      </m:oMath>
      <w:r>
        <w:t xml:space="preserve">.</w:t>
      </w:r>
    </w:p>
    <w:p>
      <w:pPr>
        <w:numPr>
          <w:ilvl w:val="0"/>
          <w:numId w:val="1035"/>
        </w:numPr>
      </w:pPr>
      <w:r>
        <w:t xml:space="preserve">Sélection par</w:t>
      </w:r>
      <w:r>
        <w:t xml:space="preserve"> </w:t>
      </w:r>
      <m:oMath>
        <m:r>
          <m:t>ε</m:t>
        </m:r>
      </m:oMath>
      <w:r>
        <w:t xml:space="preserve">-Constraint : l’annonce maximisant l’engagement sous contrainte de revenue</w:t>
      </w:r>
      <w:r>
        <w:t xml:space="preserve"> </w:t>
      </w:r>
      <m:oMath>
        <m:r>
          <m:rPr>
            <m:sty m:val="p"/>
          </m:rPr>
          <m:t>≥</m:t>
        </m:r>
        <m:r>
          <m:t>ε</m:t>
        </m:r>
      </m:oMath>
      <w:r>
        <w:t xml:space="preserve"> </w:t>
      </w:r>
      <w:r>
        <w:t xml:space="preserve">est retournée.</w:t>
      </w:r>
    </w:p>
    <w:bookmarkEnd w:id="146"/>
    <w:bookmarkStart w:id="148" w:name="lapi-rest-fastapi"/>
    <w:p>
      <w:pPr>
        <w:pStyle w:val="Heading3"/>
      </w:pPr>
      <w:r>
        <w:t xml:space="preserve">4.1.3 L’API REST (FastAPI)</w:t>
      </w:r>
    </w:p>
    <w:p>
      <w:pPr>
        <w:pStyle w:val="FirstParagraph"/>
      </w:pPr>
      <w:r>
        <w:t xml:space="preserve">L’exposition du service se fait via le framework asynchrone FastAPI, garantissant de très hautes performances I/O. L’API expose quatre endpoints :</w:t>
      </w:r>
    </w:p>
    <w:bookmarkStart w:id="147" w:name="tab:api_endpoints"/>
    <w:p>
      <w:pPr>
        <w:pStyle w:val="TableCaption"/>
      </w:pPr>
      <w:r>
        <w:t xml:space="preserve">TABLEAU 4.1  ENDPOINTS DE L’API REST</w:t>
      </w:r>
    </w:p>
    <w:tbl>
      <w:tblPr>
        <w:tblStyle w:val="Table"/>
        <w:tblW w:type="auto" w:w="0"/>
        <w:tblLook w:firstRow="1" w:lastRow="0" w:firstColumn="0" w:lastColumn="0" w:noHBand="0" w:noVBand="0" w:val="0020"/>
        <w:tblCaption w:val="TABLEAU 4.1  ENDPOINTS DE L’API REST"/>
      </w:tblPr>
      <w:tblGrid>
        <w:gridCol w:w="2640"/>
        <w:gridCol w:w="2640"/>
        <w:gridCol w:w="2640"/>
      </w:tblGrid>
      <w:tr>
        <w:trPr>
          <w:tblHeader w:val="on"/>
        </w:trPr>
        <w:tc>
          <w:tcPr/>
          <w:p>
            <w:pPr>
              <w:pStyle w:val="Compact"/>
              <w:jc w:val="left"/>
            </w:pPr>
            <w:r>
              <w:rPr>
                <w:b/>
                <w:bCs/>
              </w:rPr>
              <w:t xml:space="preserve">Méthode</w:t>
            </w:r>
          </w:p>
        </w:tc>
        <w:tc>
          <w:tcPr/>
          <w:p>
            <w:pPr>
              <w:pStyle w:val="Compact"/>
              <w:jc w:val="left"/>
            </w:pPr>
            <w:r>
              <w:rPr>
                <w:b/>
                <w:bCs/>
              </w:rPr>
              <w:t xml:space="preserve">Endpoint</w:t>
            </w:r>
          </w:p>
        </w:tc>
        <w:tc>
          <w:tcPr/>
          <w:p>
            <w:pPr>
              <w:pStyle w:val="Compact"/>
              <w:jc w:val="left"/>
            </w:pPr>
            <w:r>
              <w:rPr>
                <w:b/>
                <w:bCs/>
              </w:rPr>
              <w:t xml:space="preserve">Description</w:t>
            </w:r>
          </w:p>
        </w:tc>
      </w:tr>
      <w:tr>
        <w:tc>
          <w:tcPr/>
          <w:p>
            <w:pPr>
              <w:pStyle w:val="Compact"/>
              <w:jc w:val="left"/>
            </w:pPr>
            <w:r>
              <w:t xml:space="preserve">POST</w:t>
            </w:r>
          </w:p>
        </w:tc>
        <w:tc>
          <w:tcPr/>
          <w:p>
            <w:pPr>
              <w:pStyle w:val="Compact"/>
              <w:jc w:val="left"/>
            </w:pPr>
            <w:r>
              <w:rPr>
                <w:rStyle w:val="VerbatimChar"/>
              </w:rPr>
              <w:t xml:space="preserve">/recommend</w:t>
            </w:r>
          </w:p>
        </w:tc>
        <w:tc>
          <w:tcPr/>
          <w:p>
            <w:pPr>
              <w:pStyle w:val="Compact"/>
              <w:jc w:val="left"/>
            </w:pPr>
            <w:r>
              <w:t xml:space="preserve">Sélection de l’annonce optimale pour un contexte utilisateur donné</w:t>
            </w:r>
          </w:p>
        </w:tc>
      </w:tr>
      <w:tr>
        <w:tc>
          <w:tcPr/>
          <w:p>
            <w:pPr>
              <w:pStyle w:val="Compact"/>
              <w:jc w:val="left"/>
            </w:pPr>
            <w:r>
              <w:t xml:space="preserve">POST</w:t>
            </w:r>
          </w:p>
        </w:tc>
        <w:tc>
          <w:tcPr/>
          <w:p>
            <w:pPr>
              <w:pStyle w:val="Compact"/>
              <w:jc w:val="left"/>
            </w:pPr>
            <w:r>
              <w:rPr>
                <w:rStyle w:val="VerbatimChar"/>
              </w:rPr>
              <w:t xml:space="preserve">/feedback</w:t>
            </w:r>
          </w:p>
        </w:tc>
        <w:tc>
          <w:tcPr/>
          <w:p>
            <w:pPr>
              <w:pStyle w:val="Compact"/>
              <w:jc w:val="left"/>
            </w:pPr>
            <w:r>
              <w:t xml:space="preserve">Collecte du feedback (clic, conversion, revenue) avec support du delayed feedback</w:t>
            </w:r>
          </w:p>
        </w:tc>
      </w:tr>
      <w:tr>
        <w:tc>
          <w:tcPr/>
          <w:p>
            <w:pPr>
              <w:pStyle w:val="Compact"/>
              <w:jc w:val="left"/>
            </w:pPr>
            <w:r>
              <w:t xml:space="preserve">GET</w:t>
            </w:r>
          </w:p>
        </w:tc>
        <w:tc>
          <w:tcPr/>
          <w:p>
            <w:pPr>
              <w:pStyle w:val="Compact"/>
              <w:jc w:val="left"/>
            </w:pPr>
            <w:r>
              <w:rPr>
                <w:rStyle w:val="VerbatimChar"/>
              </w:rPr>
              <w:t xml:space="preserve">/metrics</w:t>
            </w:r>
          </w:p>
        </w:tc>
        <w:tc>
          <w:tcPr/>
          <w:p>
            <w:pPr>
              <w:pStyle w:val="Compact"/>
              <w:jc w:val="left"/>
            </w:pPr>
            <w:r>
              <w:t xml:space="preserve">Statistiques glissantes de performance (CTR, revenue, latence)</w:t>
            </w:r>
          </w:p>
        </w:tc>
      </w:tr>
      <w:tr>
        <w:tc>
          <w:tcPr/>
          <w:p>
            <w:pPr>
              <w:pStyle w:val="Compact"/>
              <w:jc w:val="left"/>
            </w:pPr>
            <w:r>
              <w:t xml:space="preserve">GET</w:t>
            </w:r>
          </w:p>
        </w:tc>
        <w:tc>
          <w:tcPr/>
          <w:p>
            <w:pPr>
              <w:pStyle w:val="Compact"/>
              <w:jc w:val="left"/>
            </w:pPr>
            <w:r>
              <w:rPr>
                <w:rStyle w:val="VerbatimChar"/>
              </w:rPr>
              <w:t xml:space="preserve">/health</w:t>
            </w:r>
          </w:p>
        </w:tc>
        <w:tc>
          <w:tcPr/>
          <w:p>
            <w:pPr>
              <w:pStyle w:val="Compact"/>
              <w:jc w:val="left"/>
            </w:pPr>
            <w:r>
              <w:t xml:space="preserve">Sonde de monitoring Kubernetes / Cloud Run</w:t>
            </w:r>
          </w:p>
        </w:tc>
      </w:tr>
    </w:tbl>
    <w:bookmarkEnd w:id="147"/>
    <w:bookmarkEnd w:id="148"/>
    <w:bookmarkStart w:id="149" w:name="X3abe4cdea2ba3886924ac0b30e7668fbd02d641"/>
    <w:p>
      <w:pPr>
        <w:pStyle w:val="Heading3"/>
      </w:pPr>
      <w:r>
        <w:t xml:space="preserve">4.1.4 L’Abstraction d’Infrastructure (Factory Pattern)</w:t>
      </w:r>
    </w:p>
    <w:p>
      <w:pPr>
        <w:pStyle w:val="FirstParagraph"/>
      </w:pPr>
      <w:r>
        <w:t xml:space="preserve">Pour garantir la portabilité du code entre l’environnement de développement et les environnements de production, toutes les interactions réseau utilisent le</w:t>
      </w:r>
      <w:r>
        <w:t xml:space="preserve"> </w:t>
      </w:r>
      <w:r>
        <w:rPr>
          <w:i/>
          <w:iCs/>
        </w:rPr>
        <w:t xml:space="preserve">design pattern Factory</w:t>
      </w:r>
      <w:r>
        <w:t xml:space="preserve">. Le code métier ne connaît que trois interfaces abstraites :</w:t>
      </w:r>
      <w:r>
        <w:t xml:space="preserve"> </w:t>
      </w:r>
      <w:r>
        <w:rPr>
          <w:rStyle w:val="VerbatimChar"/>
        </w:rPr>
        <w:t xml:space="preserve">MessageProducer</w:t>
      </w:r>
      <w:r>
        <w:t xml:space="preserve">,</w:t>
      </w:r>
      <w:r>
        <w:t xml:space="preserve"> </w:t>
      </w:r>
      <w:r>
        <w:rPr>
          <w:rStyle w:val="VerbatimChar"/>
        </w:rPr>
        <w:t xml:space="preserve">MessageConsumer</w:t>
      </w:r>
      <w:r>
        <w:t xml:space="preserve">, et</w:t>
      </w:r>
      <w:r>
        <w:t xml:space="preserve"> </w:t>
      </w:r>
      <w:r>
        <w:rPr>
          <w:rStyle w:val="VerbatimChar"/>
        </w:rPr>
        <w:t xml:space="preserve">StateStore</w:t>
      </w:r>
      <w:r>
        <w:t xml:space="preserve">.</w:t>
      </w:r>
    </w:p>
    <w:p>
      <w:pPr>
        <w:pStyle w:val="BodyText"/>
      </w:pPr>
      <w:r>
        <w:t xml:space="preserve">Lors du démarrage du service, la variable d’environnement</w:t>
      </w:r>
      <w:r>
        <w:t xml:space="preserve"> </w:t>
      </w:r>
      <w:r>
        <w:rPr>
          <w:rStyle w:val="VerbatimChar"/>
        </w:rPr>
        <w:t xml:space="preserve">QUEUE_BACKEND</w:t>
      </w:r>
      <w:r>
        <w:t xml:space="preserve"> </w:t>
      </w:r>
      <w:r>
        <w:t xml:space="preserve">détermine l’instanciation des connecteurs concrets :</w:t>
      </w:r>
      <w:r>
        <w:t xml:space="preserve"> </w:t>
      </w:r>
      <w:r>
        <w:rPr>
          <w:b/>
          <w:bCs/>
        </w:rPr>
        <w:t xml:space="preserve">Kafka</w:t>
      </w:r>
      <w:r>
        <w:t xml:space="preserve"> </w:t>
      </w:r>
      <w:r>
        <w:t xml:space="preserve">pour le développement local (Docker) ou</w:t>
      </w:r>
      <w:r>
        <w:t xml:space="preserve"> </w:t>
      </w:r>
      <w:r>
        <w:rPr>
          <w:b/>
          <w:bCs/>
        </w:rPr>
        <w:t xml:space="preserve">GCP Pub/Sub</w:t>
      </w:r>
      <w:r>
        <w:t xml:space="preserve"> </w:t>
      </w:r>
      <w:r>
        <w:t xml:space="preserve">pour la production serverless, assurant l’inversion de contrôle (IoC).</w:t>
      </w:r>
    </w:p>
    <w:bookmarkEnd w:id="149"/>
    <w:bookmarkEnd w:id="150"/>
    <w:bookmarkStart w:id="153" w:name="sec:delayed_feedback"/>
    <w:p>
      <w:pPr>
        <w:pStyle w:val="Heading2"/>
      </w:pPr>
      <w:r>
        <w:t xml:space="preserve">4.2 Gestion du Delayed Feedback (FALCON)</w:t>
      </w:r>
    </w:p>
    <w:bookmarkStart w:id="151" w:name="problématique-du-biais-de-pénalisation"/>
    <w:p>
      <w:pPr>
        <w:pStyle w:val="Heading3"/>
      </w:pPr>
      <w:r>
        <w:t xml:space="preserve">4.2.1 Problématique du Biais de Pénalisation</w:t>
      </w:r>
    </w:p>
    <w:p>
      <w:pPr>
        <w:pStyle w:val="FirstParagraph"/>
      </w:pPr>
      <w:r>
        <w:t xml:space="preserve">L’un des obstacles majeurs en apprentissage par renforcement appliqué à la publicité est la nature</w:t>
      </w:r>
      <w:r>
        <w:t xml:space="preserve"> </w:t>
      </w:r>
      <w:r>
        <w:rPr>
          <w:b/>
          <w:bCs/>
        </w:rPr>
        <w:t xml:space="preserve">asynchrone</w:t>
      </w:r>
      <w:r>
        <w:t xml:space="preserve"> </w:t>
      </w:r>
      <w:r>
        <w:t xml:space="preserve">des signaux de récompense. Si le clic (objectif</w:t>
      </w:r>
      <w:r>
        <w:t xml:space="preserve"> </w:t>
      </w:r>
      <m:oMath>
        <m:sSub>
          <m:e>
            <m:r>
              <m:t>O</m:t>
            </m:r>
          </m:e>
          <m:sub>
            <m:r>
              <m:t>1</m:t>
            </m:r>
          </m:sub>
        </m:sSub>
      </m:oMath>
      <w:r>
        <w:t xml:space="preserve">) est mesuré instantanément, la conversion (objectif</w:t>
      </w:r>
      <w:r>
        <w:t xml:space="preserve"> </w:t>
      </w:r>
      <m:oMath>
        <m:sSub>
          <m:e>
            <m:r>
              <m:t>O</m:t>
            </m:r>
          </m:e>
          <m:sub>
            <m:r>
              <m:t>2</m:t>
            </m:r>
          </m:sub>
        </m:sSub>
      </m:oMath>
      <w:r>
        <w:t xml:space="preserve">) peut intervenir des heures, voire des jours plus tard.</w:t>
      </w:r>
    </w:p>
    <w:p>
      <w:pPr>
        <w:pStyle w:val="BodyText"/>
      </w:pPr>
      <w:r>
        <w:t xml:space="preserve">Si le système met à jour son modèle immédiatement après le clic, il considèrera que le revenu est nul (</w:t>
      </w:r>
      <m:oMath>
        <m:r>
          <m:rPr>
            <m:nor/>
            <m:sty m:val="p"/>
          </m:rPr>
          <m:t>revenue</m:t>
        </m:r>
        <m:r>
          <m:rPr>
            <m:sty m:val="p"/>
          </m:rPr>
          <m:t>=</m:t>
        </m:r>
        <m:r>
          <m:t>0</m:t>
        </m:r>
      </m:oMath>
      <w:r>
        <w:t xml:space="preserve">). Ce biais systémique conduit la politique</w:t>
      </w:r>
      <w:r>
        <w:t xml:space="preserve"> </w:t>
      </w:r>
      <m:oMath>
        <m:r>
          <m:t>ε</m:t>
        </m:r>
      </m:oMath>
      <w:r>
        <w:t xml:space="preserve">-Constraint à</w:t>
      </w:r>
      <w:r>
        <w:t xml:space="preserve"> </w:t>
      </w:r>
      <w:r>
        <w:rPr>
          <w:b/>
          <w:bCs/>
        </w:rPr>
        <w:t xml:space="preserve">rejeter toutes les annonces potentiellement rentables</w:t>
      </w:r>
      <w:r>
        <w:t xml:space="preserve">, car la contrainte de revenue minimum n’est jamais satisfaite.</w:t>
      </w:r>
    </w:p>
    <w:bookmarkEnd w:id="151"/>
    <w:bookmarkStart w:id="152" w:name="X410e7137be9850101929bf1397f2839fc1f3eff"/>
    <w:p>
      <w:pPr>
        <w:pStyle w:val="Heading3"/>
      </w:pPr>
      <w:r>
        <w:t xml:space="preserve">4.2.2 Implémentation de l’Approche Inspirée de FALCON</w:t>
      </w:r>
    </w:p>
    <w:p>
      <w:pPr>
        <w:pStyle w:val="FirstParagraph"/>
      </w:pPr>
      <w:r>
        <w:t xml:space="preserve">Pour pallier cette asymétrie, la solution intègre un mécanisme inspiré de FALCON</w:t>
      </w:r>
      <w:r>
        <w:t xml:space="preserve"> </w:t>
      </w:r>
      <w:r>
        <w:t xml:space="preserve">[</w:t>
      </w:r>
      <w:hyperlink w:anchor="ref-ktena2019addressing">
        <w:r>
          <w:rPr>
            <w:rStyle w:val="Hyperlink"/>
          </w:rPr>
          <w:t xml:space="preserve">Ktena et al. 2019</w:t>
        </w:r>
      </w:hyperlink>
      <w:r>
        <w:t xml:space="preserve">]</w:t>
      </w:r>
      <w:r>
        <w:t xml:space="preserve">. L’endpoint</w:t>
      </w:r>
      <w:r>
        <w:t xml:space="preserve"> </w:t>
      </w:r>
      <w:r>
        <w:rPr>
          <w:rStyle w:val="VerbatimChar"/>
        </w:rPr>
        <w:t xml:space="preserve">/feedback</w:t>
      </w:r>
      <w:r>
        <w:t xml:space="preserve"> </w:t>
      </w:r>
      <w:r>
        <w:t xml:space="preserve">traite un champ</w:t>
      </w:r>
      <w:r>
        <w:t xml:space="preserve"> </w:t>
      </w:r>
      <w:r>
        <w:rPr>
          <w:rStyle w:val="VerbatimChar"/>
        </w:rPr>
        <w:t xml:space="preserve">feedback_type</w:t>
      </w:r>
      <w:r>
        <w:t xml:space="preserve"> </w:t>
      </w:r>
      <w:r>
        <w:t xml:space="preserve">avec trois modes :</w:t>
      </w:r>
    </w:p>
    <w:p>
      <w:pPr>
        <w:numPr>
          <w:ilvl w:val="0"/>
          <w:numId w:val="1036"/>
        </w:numPr>
      </w:pPr>
      <w:r>
        <w:rPr>
          <w:b/>
          <w:bCs/>
        </w:rPr>
        <w:t xml:space="preserve">Type</w:t>
      </w:r>
      <w:r>
        <w:rPr>
          <w:b/>
          <w:bCs/>
        </w:rPr>
        <w:t xml:space="preserve"> </w:t>
      </w:r>
      <w:r>
        <w:rPr>
          <w:rStyle w:val="VerbatimChar"/>
          <w:b/>
          <w:bCs/>
        </w:rPr>
        <w:t xml:space="preserve">click</w:t>
      </w:r>
      <w:r>
        <w:t xml:space="preserve"> </w:t>
      </w:r>
      <w:r>
        <w:t xml:space="preserve">(immédiat) : l’agent met à jour</w:t>
      </w:r>
      <w:r>
        <w:t xml:space="preserve"> </w:t>
      </w:r>
      <w:r>
        <w:rPr>
          <w:i/>
          <w:iCs/>
        </w:rPr>
        <w:t xml:space="preserve">uniquement</w:t>
      </w:r>
      <w:r>
        <w:t xml:space="preserve"> </w:t>
      </w:r>
      <w:r>
        <w:t xml:space="preserve">sa tête d’engagement. L’impression est stockée dans un buffer de conversions en attente.</w:t>
      </w:r>
    </w:p>
    <w:p>
      <w:pPr>
        <w:numPr>
          <w:ilvl w:val="0"/>
          <w:numId w:val="1036"/>
        </w:numPr>
      </w:pPr>
      <w:r>
        <w:rPr>
          <w:b/>
          <w:bCs/>
        </w:rPr>
        <w:t xml:space="preserve">Type</w:t>
      </w:r>
      <w:r>
        <w:rPr>
          <w:b/>
          <w:bCs/>
        </w:rPr>
        <w:t xml:space="preserve"> </w:t>
      </w:r>
      <w:r>
        <w:rPr>
          <w:rStyle w:val="VerbatimChar"/>
          <w:b/>
          <w:bCs/>
        </w:rPr>
        <w:t xml:space="preserve">conversion</w:t>
      </w:r>
      <w:r>
        <w:t xml:space="preserve"> </w:t>
      </w:r>
      <w:r>
        <w:t xml:space="preserve">(asynchrone) : le signal est réconcilié avec l’impression d’origine. Le système applique un</w:t>
      </w:r>
      <w:r>
        <w:t xml:space="preserve"> </w:t>
      </w:r>
      <w:r>
        <w:rPr>
          <w:b/>
          <w:bCs/>
        </w:rPr>
        <w:t xml:space="preserve">facteur de correction</w:t>
      </w:r>
      <w:r>
        <w:t xml:space="preserve"> </w:t>
      </w:r>
      <w:r>
        <w:t xml:space="preserve">pour compenser le biais :</w:t>
      </w:r>
    </w:p>
    <w:p>
      <w:pPr>
        <w:pStyle w:val="BodyText"/>
      </w:pPr>
      <m:oMathPara>
        <m:oMathParaPr>
          <m:jc m:val="center"/>
        </m:oMathParaPr>
        <m:oMath>
          <m:r>
            <m:rPr>
              <m:nor/>
              <m:sty m:val="p"/>
            </m:rPr>
            <m:t>Revenue Corrigé</m:t>
          </m:r>
          <m:r>
            <m:rPr>
              <m:sty m:val="p"/>
            </m:rPr>
            <m:t>=</m:t>
          </m:r>
          <m:f>
            <m:fPr>
              <m:type m:val="bar"/>
            </m:fPr>
            <m:num>
              <m:r>
                <m:rPr>
                  <m:nor/>
                  <m:sty m:val="p"/>
                </m:rPr>
                <m:t>Revenue Effectif</m:t>
              </m:r>
            </m:num>
            <m:den>
              <m:r>
                <m:rPr>
                  <m:nor/>
                  <m:sty m:val="p"/>
                </m:rPr>
                <m:t>Confirm Rate</m:t>
              </m:r>
            </m:den>
          </m:f>
          <m:r>
            <m:t> </m:t>
          </m:r>
          <m:r>
            <m:rPr>
              <m:nor/>
              <m:sty m:val="p"/>
            </m:rPr>
            <m:t>avec</m:t>
          </m:r>
          <m:r>
            <m:t> </m:t>
          </m:r>
          <m:r>
            <m:rPr>
              <m:nor/>
              <m:sty m:val="p"/>
            </m:rPr>
            <m:t>Confirm Rate</m:t>
          </m:r>
          <m:r>
            <m:rPr>
              <m:sty m:val="p"/>
            </m:rPr>
            <m:t>=</m:t>
          </m:r>
          <m:f>
            <m:fPr>
              <m:type m:val="bar"/>
            </m:fPr>
            <m:num>
              <m:sSub>
                <m:e>
                  <m:r>
                    <m:t>N</m:t>
                  </m:r>
                </m:e>
                <m:sub>
                  <m:r>
                    <m:rPr>
                      <m:nor/>
                      <m:sty m:val="p"/>
                    </m:rPr>
                    <m:t>Total</m:t>
                  </m:r>
                </m:sub>
              </m:sSub>
              <m:r>
                <m:rPr>
                  <m:sty m:val="p"/>
                </m:rPr>
                <m:t>−</m:t>
              </m:r>
              <m:sSub>
                <m:e>
                  <m:r>
                    <m:t>N</m:t>
                  </m:r>
                </m:e>
                <m:sub>
                  <m:r>
                    <m:rPr>
                      <m:nor/>
                      <m:sty m:val="p"/>
                    </m:rPr>
                    <m:t>Pending</m:t>
                  </m:r>
                </m:sub>
              </m:sSub>
            </m:num>
            <m:den>
              <m:sSub>
                <m:e>
                  <m:r>
                    <m:t>N</m:t>
                  </m:r>
                </m:e>
                <m:sub>
                  <m:r>
                    <m:rPr>
                      <m:nor/>
                      <m:sty m:val="p"/>
                    </m:rPr>
                    <m:t>Total</m:t>
                  </m:r>
                </m:sub>
              </m:sSub>
            </m:den>
          </m:f>
          <m:r>
            <m:t>  </m:t>
          </m:r>
          <m:r>
            <m:t>  </m:t>
          </m:r>
          <m:r>
            <m:t>  </m:t>
          </m:r>
          <m:r>
            <m:rPr>
              <m:nor/>
              <m:sty m:val="p"/>
            </m:rPr>
            <m:t>(4.1)</m:t>
          </m:r>
        </m:oMath>
      </m:oMathPara>
    </w:p>
    <w:p>
      <w:pPr>
        <w:numPr>
          <w:ilvl w:val="0"/>
          <w:numId w:val="1036"/>
        </w:numPr>
      </w:pPr>
      <w:r>
        <w:rPr>
          <w:b/>
          <w:bCs/>
        </w:rPr>
        <w:t xml:space="preserve">Type</w:t>
      </w:r>
      <w:r>
        <w:rPr>
          <w:b/>
          <w:bCs/>
        </w:rPr>
        <w:t xml:space="preserve"> </w:t>
      </w:r>
      <w:r>
        <w:rPr>
          <w:rStyle w:val="VerbatimChar"/>
          <w:b/>
          <w:bCs/>
        </w:rPr>
        <w:t xml:space="preserve">full</w:t>
      </w:r>
      <w:r>
        <w:t xml:space="preserve"> </w:t>
      </w:r>
      <w:r>
        <w:t xml:space="preserve">: les deux signaux arrivent simultanément (mode simulation).</w:t>
      </w:r>
    </w:p>
    <w:p>
      <w:pPr>
        <w:pStyle w:val="FirstParagraph"/>
      </w:pPr>
      <w:r>
        <w:t xml:space="preserve">Un processus de</w:t>
      </w:r>
      <w:r>
        <w:t xml:space="preserve"> </w:t>
      </w:r>
      <w:r>
        <w:rPr>
          <w:i/>
          <w:iCs/>
        </w:rPr>
        <w:t xml:space="preserve">garbage collection</w:t>
      </w:r>
      <w:r>
        <w:t xml:space="preserve"> </w:t>
      </w:r>
      <w:r>
        <w:t xml:space="preserve">nettoie automatiquement les impressions en attente depuis plus de 24 heures (seuil standard en marketing digital), les forçant à une mise à jour avec conversion nulle.</w:t>
      </w:r>
    </w:p>
    <w:bookmarkEnd w:id="152"/>
    <w:bookmarkEnd w:id="153"/>
    <w:bookmarkStart w:id="157" w:name="sec:deploiement"/>
    <w:p>
      <w:pPr>
        <w:pStyle w:val="Heading2"/>
      </w:pPr>
      <w:r>
        <w:t xml:space="preserve">4.3 Architecture de Déploiement Cloud-Native</w:t>
      </w:r>
    </w:p>
    <w:bookmarkStart w:id="154" w:name="environnement-local-docker-compose"/>
    <w:p>
      <w:pPr>
        <w:pStyle w:val="Heading3"/>
      </w:pPr>
      <w:r>
        <w:t xml:space="preserve">4.3.1 Environnement Local (Docker Compose)</w:t>
      </w:r>
    </w:p>
    <w:p>
      <w:pPr>
        <w:pStyle w:val="FirstParagraph"/>
      </w:pPr>
      <w:r>
        <w:t xml:space="preserve">Pour les phases de développement et de test, la solution est packagée via Docker. Le fichier</w:t>
      </w:r>
      <w:r>
        <w:t xml:space="preserve"> </w:t>
      </w:r>
      <w:r>
        <w:rPr>
          <w:rStyle w:val="VerbatimChar"/>
        </w:rPr>
        <w:t xml:space="preserve">docker-compose.yml</w:t>
      </w:r>
      <w:r>
        <w:t xml:space="preserve"> </w:t>
      </w:r>
      <w:r>
        <w:t xml:space="preserve">provisionne 5 conteneurs formant l’architecture micro-services :</w:t>
      </w:r>
    </w:p>
    <w:p>
      <w:pPr>
        <w:numPr>
          <w:ilvl w:val="0"/>
          <w:numId w:val="1037"/>
        </w:numPr>
      </w:pPr>
      <w:r>
        <w:rPr>
          <w:b/>
          <w:bCs/>
        </w:rPr>
        <w:t xml:space="preserve">API FastAPI</w:t>
      </w:r>
      <w:r>
        <w:t xml:space="preserve"> </w:t>
      </w:r>
      <w:r>
        <w:t xml:space="preserve">(</w:t>
      </w:r>
      <w:r>
        <w:rPr>
          <w:rStyle w:val="VerbatimChar"/>
        </w:rPr>
        <w:t xml:space="preserve">recsys-api</w:t>
      </w:r>
      <w:r>
        <w:t xml:space="preserve">) : l’interface d’inférence.</w:t>
      </w:r>
    </w:p>
    <w:p>
      <w:pPr>
        <w:numPr>
          <w:ilvl w:val="0"/>
          <w:numId w:val="1037"/>
        </w:numPr>
      </w:pPr>
      <w:r>
        <w:rPr>
          <w:b/>
          <w:bCs/>
        </w:rPr>
        <w:t xml:space="preserve">Consumer Streaming</w:t>
      </w:r>
      <w:r>
        <w:t xml:space="preserve"> </w:t>
      </w:r>
      <w:r>
        <w:t xml:space="preserve">(</w:t>
      </w:r>
      <w:r>
        <w:rPr>
          <w:rStyle w:val="VerbatimChar"/>
        </w:rPr>
        <w:t xml:space="preserve">recsys-streaming</w:t>
      </w:r>
      <w:r>
        <w:t xml:space="preserve">) : worker assurant le closed-loop depuis Kafka.</w:t>
      </w:r>
    </w:p>
    <w:p>
      <w:pPr>
        <w:numPr>
          <w:ilvl w:val="0"/>
          <w:numId w:val="1037"/>
        </w:numPr>
      </w:pPr>
      <w:r>
        <w:rPr>
          <w:b/>
          <w:bCs/>
        </w:rPr>
        <w:t xml:space="preserve">Kafka + Zookeeper</w:t>
      </w:r>
      <w:r>
        <w:t xml:space="preserve"> </w:t>
      </w:r>
      <w:r>
        <w:t xml:space="preserve">: gestionnaire des flux d’événements (message broker).</w:t>
      </w:r>
    </w:p>
    <w:p>
      <w:pPr>
        <w:numPr>
          <w:ilvl w:val="0"/>
          <w:numId w:val="1037"/>
        </w:numPr>
      </w:pPr>
      <w:r>
        <w:rPr>
          <w:b/>
          <w:bCs/>
        </w:rPr>
        <w:t xml:space="preserve">Redis</w:t>
      </w:r>
      <w:r>
        <w:t xml:space="preserve"> </w:t>
      </w:r>
      <w:r>
        <w:t xml:space="preserve">: stockage persistant des poids PyTorch du H-DeepBandit.</w:t>
      </w:r>
    </w:p>
    <w:p>
      <w:pPr>
        <w:numPr>
          <w:ilvl w:val="0"/>
          <w:numId w:val="1037"/>
        </w:numPr>
      </w:pPr>
      <w:r>
        <w:rPr>
          <w:b/>
          <w:bCs/>
        </w:rPr>
        <w:t xml:space="preserve">Grafana</w:t>
      </w:r>
      <w:r>
        <w:t xml:space="preserve"> </w:t>
      </w:r>
      <w:r>
        <w:t xml:space="preserve">: visualisation des métriques de santé du pipeline.</w:t>
      </w:r>
    </w:p>
    <w:bookmarkEnd w:id="154"/>
    <w:bookmarkStart w:id="156" w:name="Xc501358ffe4573743504f71c9b4e96bcbf911e3"/>
    <w:p>
      <w:pPr>
        <w:pStyle w:val="Heading3"/>
      </w:pPr>
      <w:r>
        <w:t xml:space="preserve">4.3.2 Déploiement Serverless sur Google Cloud (Production)</w:t>
      </w:r>
    </w:p>
    <w:p>
      <w:pPr>
        <w:pStyle w:val="FirstParagraph"/>
      </w:pPr>
      <w:r>
        <w:t xml:space="preserve">Dans le cadre du pipeline Devoteam, le déploiement production suit une logique serverless sur</w:t>
      </w:r>
      <w:r>
        <w:t xml:space="preserve"> </w:t>
      </w:r>
      <w:r>
        <w:rPr>
          <w:b/>
          <w:bCs/>
        </w:rPr>
        <w:t xml:space="preserve">Google Cloud Platform (GCP)</w:t>
      </w:r>
      <w:r>
        <w:t xml:space="preserve"> </w:t>
      </w:r>
      <w:r>
        <w:t xml:space="preserve">:</w:t>
      </w:r>
    </w:p>
    <w:bookmarkStart w:id="155" w:name="tab:mapping_infra"/>
    <w:p>
      <w:pPr>
        <w:pStyle w:val="TableCaption"/>
      </w:pPr>
      <w:r>
        <w:t xml:space="preserve">TABLEAU 4.2  MAPPING DE L’INFRASTRUCTURE ENTRE ENVIRONNEMENT LOCAL ET CLOUD</w:t>
      </w:r>
    </w:p>
    <w:tbl>
      <w:tblPr>
        <w:tblStyle w:val="Table"/>
        <w:tblW w:type="auto" w:w="0"/>
        <w:tblLook w:firstRow="1" w:lastRow="0" w:firstColumn="0" w:lastColumn="0" w:noHBand="0" w:noVBand="0" w:val="0020"/>
        <w:tblCaption w:val="TABLEAU 4.2  MAPPING DE L’INFRASTRUCTURE ENTRE ENVIRONNEMENT LOCAL ET CLOUD"/>
      </w:tblPr>
      <w:tblGrid>
        <w:gridCol w:w="2640"/>
        <w:gridCol w:w="2640"/>
        <w:gridCol w:w="2640"/>
      </w:tblGrid>
      <w:tr>
        <w:trPr>
          <w:tblHeader w:val="on"/>
        </w:trPr>
        <w:tc>
          <w:tcPr/>
          <w:p>
            <w:pPr>
              <w:pStyle w:val="Compact"/>
              <w:jc w:val="left"/>
            </w:pPr>
            <w:r>
              <w:rPr>
                <w:b/>
                <w:bCs/>
              </w:rPr>
              <w:t xml:space="preserve">Composant</w:t>
            </w:r>
          </w:p>
        </w:tc>
        <w:tc>
          <w:tcPr/>
          <w:p>
            <w:pPr>
              <w:pStyle w:val="Compact"/>
              <w:jc w:val="left"/>
            </w:pPr>
            <w:r>
              <w:rPr>
                <w:b/>
                <w:bCs/>
              </w:rPr>
              <w:t xml:space="preserve">Docker (Local)</w:t>
            </w:r>
          </w:p>
        </w:tc>
        <w:tc>
          <w:tcPr/>
          <w:p>
            <w:pPr>
              <w:pStyle w:val="Compact"/>
              <w:jc w:val="left"/>
            </w:pPr>
            <w:r>
              <w:rPr>
                <w:b/>
                <w:bCs/>
              </w:rPr>
              <w:t xml:space="preserve">GCP (Production)</w:t>
            </w:r>
          </w:p>
        </w:tc>
      </w:tr>
      <w:tr>
        <w:tc>
          <w:tcPr/>
          <w:p>
            <w:pPr>
              <w:pStyle w:val="Compact"/>
              <w:jc w:val="left"/>
            </w:pPr>
            <w:r>
              <w:t xml:space="preserve">Hébergement API</w:t>
            </w:r>
          </w:p>
        </w:tc>
        <w:tc>
          <w:tcPr/>
          <w:p>
            <w:pPr>
              <w:pStyle w:val="Compact"/>
              <w:jc w:val="left"/>
            </w:pPr>
            <w:r>
              <w:t xml:space="preserve">Serveur Uvicorn</w:t>
            </w:r>
          </w:p>
        </w:tc>
        <w:tc>
          <w:tcPr/>
          <w:p>
            <w:pPr>
              <w:pStyle w:val="Compact"/>
              <w:jc w:val="left"/>
            </w:pPr>
            <w:r>
              <w:t xml:space="preserve">Cloud Run (autoscaling 0</w:t>
            </w:r>
            <w:r>
              <w:t xml:space="preserve"> </w:t>
            </w:r>
            <m:oMath>
              <m:r>
                <m:rPr>
                  <m:sty m:val="p"/>
                </m:rPr>
                <m:t>→</m:t>
              </m:r>
            </m:oMath>
            <w:r>
              <w:t xml:space="preserve"> </w:t>
            </w:r>
            <w:r>
              <w:t xml:space="preserve">10)</w:t>
            </w:r>
          </w:p>
        </w:tc>
      </w:tr>
      <w:tr>
        <w:tc>
          <w:tcPr/>
          <w:p>
            <w:pPr>
              <w:pStyle w:val="Compact"/>
              <w:jc w:val="left"/>
            </w:pPr>
            <w:r>
              <w:t xml:space="preserve">Message Broker</w:t>
            </w:r>
          </w:p>
        </w:tc>
        <w:tc>
          <w:tcPr/>
          <w:p>
            <w:pPr>
              <w:pStyle w:val="Compact"/>
              <w:jc w:val="left"/>
            </w:pPr>
            <w:r>
              <w:t xml:space="preserve">Apache Kafka</w:t>
            </w:r>
          </w:p>
        </w:tc>
        <w:tc>
          <w:tcPr/>
          <w:p>
            <w:pPr>
              <w:pStyle w:val="Compact"/>
              <w:jc w:val="left"/>
            </w:pPr>
            <w:r>
              <w:t xml:space="preserve">Cloud Pub/Sub</w:t>
            </w:r>
          </w:p>
        </w:tc>
      </w:tr>
      <w:tr>
        <w:tc>
          <w:tcPr/>
          <w:p>
            <w:pPr>
              <w:pStyle w:val="Compact"/>
              <w:jc w:val="left"/>
            </w:pPr>
            <w:r>
              <w:t xml:space="preserve">State Store</w:t>
            </w:r>
          </w:p>
        </w:tc>
        <w:tc>
          <w:tcPr/>
          <w:p>
            <w:pPr>
              <w:pStyle w:val="Compact"/>
              <w:jc w:val="left"/>
            </w:pPr>
            <w:r>
              <w:t xml:space="preserve">Redis Alpine 7</w:t>
            </w:r>
          </w:p>
        </w:tc>
        <w:tc>
          <w:tcPr/>
          <w:p>
            <w:pPr>
              <w:pStyle w:val="Compact"/>
              <w:jc w:val="left"/>
            </w:pPr>
            <w:r>
              <w:t xml:space="preserve">Memorystore (instance managée)</w:t>
            </w:r>
          </w:p>
        </w:tc>
      </w:tr>
      <w:tr>
        <w:tc>
          <w:tcPr/>
          <w:p>
            <w:pPr>
              <w:pStyle w:val="Compact"/>
              <w:jc w:val="left"/>
            </w:pPr>
            <w:r>
              <w:t xml:space="preserve">CI/CD</w:t>
            </w:r>
          </w:p>
        </w:tc>
        <w:tc>
          <w:tcPr/>
          <w:p>
            <w:pPr>
              <w:pStyle w:val="Compact"/>
              <w:jc w:val="left"/>
            </w:pPr>
            <w:r>
              <w:t xml:space="preserve">Shell local</w:t>
            </w:r>
          </w:p>
        </w:tc>
        <w:tc>
          <w:tcPr/>
          <w:p>
            <w:pPr>
              <w:pStyle w:val="Compact"/>
              <w:jc w:val="left"/>
            </w:pPr>
            <w:r>
              <w:t xml:space="preserve">Cloud Build + Artifact Registry</w:t>
            </w:r>
          </w:p>
        </w:tc>
      </w:tr>
    </w:tbl>
    <w:bookmarkEnd w:id="155"/>
    <w:p>
      <w:pPr>
        <w:pStyle w:val="BodyText"/>
      </w:pPr>
      <w:r>
        <w:t xml:space="preserve">Le déploiement est automatisé via le script</w:t>
      </w:r>
      <w:r>
        <w:t xml:space="preserve"> </w:t>
      </w:r>
      <w:r>
        <w:rPr>
          <w:rStyle w:val="VerbatimChar"/>
        </w:rPr>
        <w:t xml:space="preserve">deploy/gcp_deploy.sh</w:t>
      </w:r>
      <w:r>
        <w:t xml:space="preserve">, suivant l’approche</w:t>
      </w:r>
      <w:r>
        <w:t xml:space="preserve"> </w:t>
      </w:r>
      <w:r>
        <w:rPr>
          <w:i/>
          <w:iCs/>
        </w:rPr>
        <w:t xml:space="preserve">Infrastructure as Code</w:t>
      </w:r>
      <w:r>
        <w:t xml:space="preserve">. L’utilisation de Cloud Run est particulièrement adaptée : capacité à descendre à zéro instances (économies lors d’interruptions de trafic) et à réagir exponentiellement face à une augmentation subite de la demande.</w:t>
      </w:r>
    </w:p>
    <w:bookmarkEnd w:id="156"/>
    <w:bookmarkEnd w:id="157"/>
    <w:bookmarkStart w:id="183" w:name="sec:validation_temps_reel"/>
    <w:p>
      <w:pPr>
        <w:pStyle w:val="Heading2"/>
      </w:pPr>
      <w:r>
        <w:t xml:space="preserve">4.4 Validation Temps Réel</w:t>
      </w:r>
    </w:p>
    <w:bookmarkStart w:id="159" w:name="test-dintégration-end-to-end"/>
    <w:p>
      <w:pPr>
        <w:pStyle w:val="Heading3"/>
      </w:pPr>
      <w:r>
        <w:t xml:space="preserve">4.4.1 Test d’Intégration End-to-End</w:t>
      </w:r>
    </w:p>
    <w:p>
      <w:pPr>
        <w:pStyle w:val="FirstParagraph"/>
      </w:pPr>
      <w:r>
        <w:t xml:space="preserve">La viabilité du système a été attestée par un test d’intégration en 9 étapes reproduisant le cycle de vie d’un système publicitaire :</w:t>
      </w:r>
    </w:p>
    <w:bookmarkStart w:id="158" w:name="tab:integration_test"/>
    <w:p>
      <w:pPr>
        <w:pStyle w:val="TableCaption"/>
      </w:pPr>
      <w:r>
        <w:t xml:space="preserve">TABLEAU 4.3  RéSULTATS DU TEST D’INTéGRATION END-TO-END</w:t>
      </w:r>
    </w:p>
    <w:tbl>
      <w:tblPr>
        <w:tblStyle w:val="Table"/>
        <w:tblW w:type="auto" w:w="0"/>
        <w:tblLook w:firstRow="1" w:lastRow="0" w:firstColumn="0" w:lastColumn="0" w:noHBand="0" w:noVBand="0" w:val="0020"/>
        <w:tblCaption w:val="TABLEAU 4.3  RéSULTATS DU TEST D’INTéGRATION END-TO-END"/>
      </w:tblPr>
      <w:tblGrid>
        <w:gridCol w:w="2640"/>
        <w:gridCol w:w="2640"/>
        <w:gridCol w:w="2640"/>
      </w:tblGrid>
      <w:tr>
        <w:trPr>
          <w:tblHeader w:val="on"/>
        </w:trPr>
        <w:tc>
          <w:tcPr/>
          <w:p>
            <w:pPr>
              <w:pStyle w:val="Compact"/>
              <w:jc w:val="center"/>
            </w:pPr>
            <w:r>
              <w:rPr>
                <w:b/>
                <w:bCs/>
              </w:rPr>
              <w:t xml:space="preserve">Étape</w:t>
            </w:r>
          </w:p>
        </w:tc>
        <w:tc>
          <w:tcPr/>
          <w:p>
            <w:pPr>
              <w:pStyle w:val="Compact"/>
              <w:jc w:val="left"/>
            </w:pPr>
            <w:r>
              <w:rPr>
                <w:b/>
                <w:bCs/>
              </w:rPr>
              <w:t xml:space="preserve">Test</w:t>
            </w:r>
          </w:p>
        </w:tc>
        <w:tc>
          <w:tcPr/>
          <w:p>
            <w:pPr>
              <w:pStyle w:val="Compact"/>
              <w:jc w:val="left"/>
            </w:pPr>
            <w:r>
              <w:rPr>
                <w:b/>
                <w:bCs/>
              </w:rPr>
              <w:t xml:space="preserve">Résultat</w:t>
            </w:r>
          </w:p>
        </w:tc>
      </w:tr>
      <w:tr>
        <w:tc>
          <w:tcPr/>
          <w:p>
            <w:pPr>
              <w:pStyle w:val="Compact"/>
              <w:jc w:val="center"/>
            </w:pPr>
            <w:r>
              <w:t xml:space="preserve">1</w:t>
            </w:r>
          </w:p>
        </w:tc>
        <w:tc>
          <w:tcPr/>
          <w:p>
            <w:pPr>
              <w:pStyle w:val="Compact"/>
              <w:jc w:val="left"/>
            </w:pPr>
            <w:r>
              <w:t xml:space="preserve">Imports de tous les modules</w:t>
            </w:r>
          </w:p>
        </w:tc>
        <w:tc>
          <w:tcPr/>
          <w:p>
            <w:pPr>
              <w:pStyle w:val="Compact"/>
              <w:jc w:val="left"/>
            </w:pPr>
            <w:r>
              <w:t xml:space="preserve">OK</w:t>
            </w:r>
          </w:p>
        </w:tc>
      </w:tr>
      <w:tr>
        <w:tc>
          <w:tcPr/>
          <w:p>
            <w:pPr>
              <w:pStyle w:val="Compact"/>
              <w:jc w:val="center"/>
            </w:pPr>
            <w:r>
              <w:t xml:space="preserve">2</w:t>
            </w:r>
          </w:p>
        </w:tc>
        <w:tc>
          <w:tcPr/>
          <w:p>
            <w:pPr>
              <w:pStyle w:val="Compact"/>
              <w:jc w:val="left"/>
            </w:pPr>
            <w:r>
              <w:t xml:space="preserve">Initialisation du service H-DeepBandit</w:t>
            </w:r>
          </w:p>
        </w:tc>
        <w:tc>
          <w:tcPr/>
          <w:p>
            <w:pPr>
              <w:pStyle w:val="Compact"/>
              <w:jc w:val="left"/>
            </w:pPr>
            <w:r>
              <w:t xml:space="preserve">dim=384, ensemble=5</w:t>
            </w:r>
          </w:p>
        </w:tc>
      </w:tr>
      <w:tr>
        <w:tc>
          <w:tcPr/>
          <w:p>
            <w:pPr>
              <w:pStyle w:val="Compact"/>
              <w:jc w:val="center"/>
            </w:pPr>
            <w:r>
              <w:t xml:space="preserve">3</w:t>
            </w:r>
          </w:p>
        </w:tc>
        <w:tc>
          <w:tcPr/>
          <w:p>
            <w:pPr>
              <w:pStyle w:val="Compact"/>
              <w:jc w:val="left"/>
            </w:pPr>
            <w:r>
              <w:t xml:space="preserve">Enregistrement de 6 annonces</w:t>
            </w:r>
          </w:p>
        </w:tc>
        <w:tc>
          <w:tcPr/>
          <w:p>
            <w:pPr>
              <w:pStyle w:val="Compact"/>
              <w:jc w:val="left"/>
            </w:pPr>
            <w:r>
              <w:t xml:space="preserve">6 bras actifs</w:t>
            </w:r>
          </w:p>
        </w:tc>
      </w:tr>
      <w:tr>
        <w:tc>
          <w:tcPr/>
          <w:p>
            <w:pPr>
              <w:pStyle w:val="Compact"/>
              <w:jc w:val="center"/>
            </w:pPr>
            <w:r>
              <w:t xml:space="preserve">4</w:t>
            </w:r>
          </w:p>
        </w:tc>
        <w:tc>
          <w:tcPr/>
          <w:p>
            <w:pPr>
              <w:pStyle w:val="Compact"/>
              <w:jc w:val="left"/>
            </w:pPr>
            <w:r>
              <w:t xml:space="preserve">Recommandations pour 4 profils</w:t>
            </w:r>
          </w:p>
        </w:tc>
        <w:tc>
          <w:tcPr/>
          <w:p>
            <w:pPr>
              <w:pStyle w:val="Compact"/>
              <w:jc w:val="left"/>
            </w:pPr>
            <m:oMath>
              <m:r>
                <m:rPr>
                  <m:sty m:val="p"/>
                </m:rPr>
                <m:t>∼</m:t>
              </m:r>
            </m:oMath>
            <w:r>
              <w:t xml:space="preserve"> </w:t>
            </w:r>
            <w:r>
              <w:t xml:space="preserve">8 ms par requête</w:t>
            </w:r>
          </w:p>
        </w:tc>
      </w:tr>
      <w:tr>
        <w:tc>
          <w:tcPr/>
          <w:p>
            <w:pPr>
              <w:pStyle w:val="Compact"/>
              <w:jc w:val="center"/>
            </w:pPr>
            <w:r>
              <w:t xml:space="preserve">5</w:t>
            </w:r>
          </w:p>
        </w:tc>
        <w:tc>
          <w:tcPr/>
          <w:p>
            <w:pPr>
              <w:pStyle w:val="Compact"/>
              <w:jc w:val="left"/>
            </w:pPr>
            <w:r>
              <w:t xml:space="preserve">Boucle de feedback (100 itérations)</w:t>
            </w:r>
          </w:p>
        </w:tc>
        <w:tc>
          <w:tcPr/>
          <w:p>
            <w:pPr>
              <w:pStyle w:val="Compact"/>
              <w:jc w:val="left"/>
            </w:pPr>
            <w:r>
              <w:t xml:space="preserve">CTR convergé</w:t>
            </w:r>
          </w:p>
        </w:tc>
      </w:tr>
      <w:tr>
        <w:tc>
          <w:tcPr/>
          <w:p>
            <w:pPr>
              <w:pStyle w:val="Compact"/>
              <w:jc w:val="center"/>
            </w:pPr>
            <w:r>
              <w:t xml:space="preserve">6</w:t>
            </w:r>
          </w:p>
        </w:tc>
        <w:tc>
          <w:tcPr/>
          <w:p>
            <w:pPr>
              <w:pStyle w:val="Compact"/>
              <w:jc w:val="left"/>
            </w:pPr>
            <w:r>
              <w:t xml:space="preserve">Cold-start (2 nouvelles annonces)</w:t>
            </w:r>
          </w:p>
        </w:tc>
        <w:tc>
          <w:tcPr/>
          <w:p>
            <w:pPr>
              <w:pStyle w:val="Compact"/>
              <w:jc w:val="left"/>
            </w:pPr>
            <w:r>
              <w:t xml:space="preserve">Zero-shot immédiat</w:t>
            </w:r>
          </w:p>
        </w:tc>
      </w:tr>
      <w:tr>
        <w:tc>
          <w:tcPr/>
          <w:p>
            <w:pPr>
              <w:pStyle w:val="Compact"/>
              <w:jc w:val="center"/>
            </w:pPr>
            <w:r>
              <w:t xml:space="preserve">7</w:t>
            </w:r>
          </w:p>
        </w:tc>
        <w:tc>
          <w:tcPr/>
          <w:p>
            <w:pPr>
              <w:pStyle w:val="Compact"/>
              <w:jc w:val="left"/>
            </w:pPr>
            <w:r>
              <w:t xml:space="preserve">Delayed feedback (click</w:t>
            </w:r>
            <w:r>
              <w:t xml:space="preserve"> </w:t>
            </w:r>
            <m:oMath>
              <m:r>
                <m:rPr>
                  <m:sty m:val="p"/>
                </m:rPr>
                <m:t>→</m:t>
              </m:r>
            </m:oMath>
            <w:r>
              <w:t xml:space="preserve"> </w:t>
            </w:r>
            <w:r>
              <w:t xml:space="preserve">conversion)</w:t>
            </w:r>
          </w:p>
        </w:tc>
        <w:tc>
          <w:tcPr/>
          <w:p>
            <w:pPr>
              <w:pStyle w:val="Compact"/>
              <w:jc w:val="left"/>
            </w:pPr>
            <w:r>
              <w:t xml:space="preserve">Pending : 1</w:t>
            </w:r>
            <w:r>
              <w:t xml:space="preserve"> </w:t>
            </w:r>
            <m:oMath>
              <m:r>
                <m:rPr>
                  <m:sty m:val="p"/>
                </m:rPr>
                <m:t>→</m:t>
              </m:r>
            </m:oMath>
            <w:r>
              <w:t xml:space="preserve"> </w:t>
            </w:r>
            <w:r>
              <w:t xml:space="preserve">0</w:t>
            </w:r>
          </w:p>
        </w:tc>
      </w:tr>
      <w:tr>
        <w:tc>
          <w:tcPr/>
          <w:p>
            <w:pPr>
              <w:pStyle w:val="Compact"/>
              <w:jc w:val="center"/>
            </w:pPr>
            <w:r>
              <w:t xml:space="preserve">8</w:t>
            </w:r>
          </w:p>
        </w:tc>
        <w:tc>
          <w:tcPr/>
          <w:p>
            <w:pPr>
              <w:pStyle w:val="Compact"/>
              <w:jc w:val="left"/>
            </w:pPr>
            <w:r>
              <w:t xml:space="preserve">Endpoints FastAPI (4 routes)</w:t>
            </w:r>
          </w:p>
        </w:tc>
        <w:tc>
          <w:tcPr/>
          <w:p>
            <w:pPr>
              <w:pStyle w:val="Compact"/>
              <w:jc w:val="left"/>
            </w:pPr>
            <w:r>
              <w:t xml:space="preserve">200 OK</w:t>
            </w:r>
          </w:p>
        </w:tc>
      </w:tr>
      <w:tr>
        <w:tc>
          <w:tcPr/>
          <w:p>
            <w:pPr>
              <w:pStyle w:val="Compact"/>
              <w:jc w:val="center"/>
            </w:pPr>
            <w:r>
              <w:t xml:space="preserve">9</w:t>
            </w:r>
          </w:p>
        </w:tc>
        <w:tc>
          <w:tcPr/>
          <w:p>
            <w:pPr>
              <w:pStyle w:val="Compact"/>
              <w:jc w:val="left"/>
            </w:pPr>
            <w:r>
              <w:t xml:space="preserve">Résumé</w:t>
            </w:r>
          </w:p>
        </w:tc>
        <w:tc>
          <w:tcPr/>
          <w:p>
            <w:pPr>
              <w:pStyle w:val="Compact"/>
              <w:jc w:val="left"/>
            </w:pPr>
            <w:r>
              <w:rPr>
                <w:b/>
                <w:bCs/>
              </w:rPr>
              <w:t xml:space="preserve">9/9 réussis</w:t>
            </w:r>
          </w:p>
        </w:tc>
      </w:tr>
    </w:tbl>
    <w:bookmarkEnd w:id="158"/>
    <w:bookmarkEnd w:id="159"/>
    <w:bookmarkStart w:id="176" w:name="simulation-temps-réel-500-itérations"/>
    <w:p>
      <w:pPr>
        <w:pStyle w:val="Heading3"/>
      </w:pPr>
      <w:r>
        <w:t xml:space="preserve">4.4.2 Simulation Temps Réel (500 itérations)</w:t>
      </w:r>
    </w:p>
    <w:p>
      <w:pPr>
        <w:pStyle w:val="FirstParagraph"/>
      </w:pPr>
      <w:r>
        <w:t xml:space="preserve">Une simulation de 500 itérations a été conduite avec 10 profils utilisateurs et un catalogue de 10 annonces, reproduisant les quatre phases du cycle de vie d’un système publicitaire déployé :</w:t>
      </w:r>
    </w:p>
    <w:bookmarkStart w:id="160" w:name="tab:phases_simulation"/>
    <w:p>
      <w:pPr>
        <w:pStyle w:val="TableCaption"/>
      </w:pPr>
      <w:r>
        <w:t xml:space="preserve">TABLEAU 4.4  PHASES DE LA SIMULATION TEMPS RéEL</w:t>
      </w:r>
    </w:p>
    <w:tbl>
      <w:tblPr>
        <w:tblStyle w:val="Table"/>
        <w:tblW w:type="auto" w:w="0"/>
        <w:tblLook w:firstRow="1" w:lastRow="0" w:firstColumn="0" w:lastColumn="0" w:noHBand="0" w:noVBand="0" w:val="0020"/>
        <w:tblCaption w:val="TABLEAU 4.4  PHASES DE LA SIMULATION TEMPS RéEL"/>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Timestep</w:t>
            </w:r>
          </w:p>
        </w:tc>
        <w:tc>
          <w:tcPr/>
          <w:p>
            <w:pPr>
              <w:pStyle w:val="Compact"/>
              <w:jc w:val="left"/>
            </w:pPr>
            <w:r>
              <w:rPr>
                <w:b/>
                <w:bCs/>
              </w:rPr>
              <w:t xml:space="preserve">Description</w:t>
            </w:r>
          </w:p>
        </w:tc>
      </w:tr>
      <w:tr>
        <w:tc>
          <w:tcPr/>
          <w:p>
            <w:pPr>
              <w:pStyle w:val="Compact"/>
              <w:jc w:val="left"/>
            </w:pPr>
            <w:r>
              <w:t xml:space="preserve">Warm-up</w:t>
            </w:r>
          </w:p>
        </w:tc>
        <w:tc>
          <w:tcPr/>
          <w:p>
            <w:pPr>
              <w:pStyle w:val="Compact"/>
              <w:jc w:val="left"/>
            </w:pPr>
            <m:oMath>
              <m:r>
                <m:t>t</m:t>
              </m:r>
              <m:r>
                <m:rPr>
                  <m:sty m:val="p"/>
                </m:rPr>
                <m:t>=</m:t>
              </m:r>
              <m:r>
                <m:t>0</m:t>
              </m:r>
              <m:r>
                <m:rPr>
                  <m:sty m:val="p"/>
                </m:rPr>
                <m:t>→</m:t>
              </m:r>
              <m:r>
                <m:t>100</m:t>
              </m:r>
            </m:oMath>
          </w:p>
        </w:tc>
        <w:tc>
          <w:tcPr/>
          <w:p>
            <w:pPr>
              <w:pStyle w:val="Compact"/>
              <w:jc w:val="left"/>
            </w:pPr>
            <w:r>
              <w:t xml:space="preserve">Apprentissage initial avec 6 annonces</w:t>
            </w:r>
          </w:p>
        </w:tc>
      </w:tr>
      <w:tr>
        <w:tc>
          <w:tcPr/>
          <w:p>
            <w:pPr>
              <w:pStyle w:val="Compact"/>
              <w:jc w:val="left"/>
            </w:pPr>
            <w:r>
              <w:t xml:space="preserve">Stable</w:t>
            </w:r>
          </w:p>
        </w:tc>
        <w:tc>
          <w:tcPr/>
          <w:p>
            <w:pPr>
              <w:pStyle w:val="Compact"/>
              <w:jc w:val="left"/>
            </w:pPr>
            <m:oMath>
              <m:r>
                <m:t>t</m:t>
              </m:r>
              <m:r>
                <m:rPr>
                  <m:sty m:val="p"/>
                </m:rPr>
                <m:t>=</m:t>
              </m:r>
              <m:r>
                <m:t>100</m:t>
              </m:r>
              <m:r>
                <m:rPr>
                  <m:sty m:val="p"/>
                </m:rPr>
                <m:t>→</m:t>
              </m:r>
              <m:r>
                <m:t>300</m:t>
              </m:r>
            </m:oMath>
          </w:p>
        </w:tc>
        <w:tc>
          <w:tcPr/>
          <w:p>
            <w:pPr>
              <w:pStyle w:val="Compact"/>
              <w:jc w:val="left"/>
            </w:pPr>
            <w:r>
              <w:t xml:space="preserve">Régime convergé, exploitation des patterns sémantiques</w:t>
            </w:r>
          </w:p>
        </w:tc>
      </w:tr>
      <w:tr>
        <w:tc>
          <w:tcPr/>
          <w:p>
            <w:pPr>
              <w:pStyle w:val="Compact"/>
              <w:jc w:val="left"/>
            </w:pPr>
            <w:r>
              <w:t xml:space="preserve">Cold-Start</w:t>
            </w:r>
          </w:p>
        </w:tc>
        <w:tc>
          <w:tcPr/>
          <w:p>
            <w:pPr>
              <w:pStyle w:val="Compact"/>
              <w:jc w:val="left"/>
            </w:pPr>
            <m:oMath>
              <m:r>
                <m:t>t</m:t>
              </m:r>
              <m:r>
                <m:rPr>
                  <m:sty m:val="p"/>
                </m:rPr>
                <m:t>=</m:t>
              </m:r>
              <m:r>
                <m:t>300</m:t>
              </m:r>
            </m:oMath>
          </w:p>
        </w:tc>
        <w:tc>
          <w:tcPr/>
          <w:p>
            <w:pPr>
              <w:pStyle w:val="Compact"/>
              <w:jc w:val="left"/>
            </w:pPr>
            <w:r>
              <w:t xml:space="preserve">Injection de 4 nouvelles annonces (6</w:t>
            </w:r>
            <w:r>
              <w:t xml:space="preserve"> </w:t>
            </w:r>
            <m:oMath>
              <m:r>
                <m:rPr>
                  <m:sty m:val="p"/>
                </m:rPr>
                <m:t>→</m:t>
              </m:r>
            </m:oMath>
            <w:r>
              <w:t xml:space="preserve"> </w:t>
            </w:r>
            <w:r>
              <w:t xml:space="preserve">10 bras)</w:t>
            </w:r>
          </w:p>
        </w:tc>
      </w:tr>
      <w:tr>
        <w:tc>
          <w:tcPr/>
          <w:p>
            <w:pPr>
              <w:pStyle w:val="Compact"/>
              <w:jc w:val="left"/>
            </w:pPr>
            <w:r>
              <w:t xml:space="preserve">Recovery</w:t>
            </w:r>
          </w:p>
        </w:tc>
        <w:tc>
          <w:tcPr/>
          <w:p>
            <w:pPr>
              <w:pStyle w:val="Compact"/>
              <w:jc w:val="left"/>
            </w:pPr>
            <m:oMath>
              <m:r>
                <m:t>t</m:t>
              </m:r>
              <m:r>
                <m:rPr>
                  <m:sty m:val="p"/>
                </m:rPr>
                <m:t>=</m:t>
              </m:r>
              <m:r>
                <m:t>350</m:t>
              </m:r>
              <m:r>
                <m:rPr>
                  <m:sty m:val="p"/>
                </m:rPr>
                <m:t>→</m:t>
              </m:r>
              <m:r>
                <m:t>500</m:t>
              </m:r>
            </m:oMath>
          </w:p>
        </w:tc>
        <w:tc>
          <w:tcPr/>
          <w:p>
            <w:pPr>
              <w:pStyle w:val="Compact"/>
              <w:jc w:val="left"/>
            </w:pPr>
            <w:r>
              <w:t xml:space="preserve">Adaptation du modèle aux nouveaux bras</w:t>
            </w:r>
          </w:p>
        </w:tc>
      </w:tr>
    </w:tbl>
    <w:bookmarkEnd w:id="160"/>
    <w:p>
      <w:pPr>
        <w:pStyle w:val="BodyText"/>
      </w:pPr>
      <w:r>
        <w:t xml:space="preserve">Le</w:t>
      </w:r>
      <w:r>
        <w:t xml:space="preserve"> </w:t>
      </w:r>
      <w:r>
        <w:rPr>
          <w:i/>
          <w:iCs/>
        </w:rPr>
        <w:t xml:space="preserve">delayed feedback</w:t>
      </w:r>
      <w:r>
        <w:t xml:space="preserve"> </w:t>
      </w:r>
      <w:r>
        <w:t xml:space="preserve">est actif tout au long de la simulation : les conversions arrivent avec un retard aléatoire de 5 à 50 itérations après le clic, reproduisant les conditions réelles d’un système publicitaire.</w:t>
      </w:r>
    </w:p>
    <w:bookmarkStart w:id="165" w:name="évolution-des-kpis"/>
    <w:p>
      <w:pPr>
        <w:pStyle w:val="Heading4"/>
      </w:pPr>
      <w:r>
        <w:t xml:space="preserve">Évolution des KPIs</w:t>
      </w:r>
    </w:p>
    <w:p>
      <w:pPr>
        <w:pStyle w:val="FirstParagraph"/>
      </w:pPr>
      <w:r>
        <w:t xml:space="preserve">La Figure </w:t>
      </w:r>
      <w:r>
        <w:t xml:space="preserve"> </w:t>
      </w:r>
      <w:r>
        <w:t xml:space="preserve">présente l’évolution des quatre indicateurs clés au cours de la simulation :</w:t>
      </w:r>
    </w:p>
    <w:bookmarkStart w:id="164" w:name="fig:kpi_evolution"/>
    <w:p>
      <w:pPr>
        <w:pStyle w:val="CaptionedFigure"/>
      </w:pPr>
      <w:r>
        <w:drawing>
          <wp:inline>
            <wp:extent cx="5334000" cy="3513259"/>
            <wp:effectExtent b="0" l="0" r="0" t="0"/>
            <wp:docPr descr="" title="" id="162" name="Picture"/>
            <a:graphic>
              <a:graphicData uri="http://schemas.openxmlformats.org/drawingml/2006/picture">
                <pic:pic>
                  <pic:nvPicPr>
                    <pic:cNvPr descr="./docx_media/realtime_kpi_evolution.png" id="163" name="Picture"/>
                    <pic:cNvPicPr>
                      <a:picLocks noChangeArrowheads="1" noChangeAspect="1"/>
                    </pic:cNvPicPr>
                  </pic:nvPicPr>
                  <pic:blipFill>
                    <a:blip r:embed="rId161"/>
                    <a:stretch>
                      <a:fillRect/>
                    </a:stretch>
                  </pic:blipFill>
                  <pic:spPr bwMode="auto">
                    <a:xfrm>
                      <a:off x="0" y="0"/>
                      <a:ext cx="5334000" cy="3513259"/>
                    </a:xfrm>
                    <a:prstGeom prst="rect">
                      <a:avLst/>
                    </a:prstGeom>
                    <a:noFill/>
                    <a:ln w="9525">
                      <a:noFill/>
                      <a:headEnd/>
                      <a:tailEnd/>
                    </a:ln>
                  </pic:spPr>
                </pic:pic>
              </a:graphicData>
            </a:graphic>
          </wp:inline>
        </w:drawing>
      </w:r>
    </w:p>
    <w:p>
      <w:pPr>
        <w:pStyle w:val="ImageCaption"/>
      </w:pPr>
      <w:r>
        <w:t xml:space="preserve">Figure 4.1  Évolution temporelle des KPIs sur 500 itérations : (a) CTR moyen glissant, (b) Revenue moyen glissant, (c) Latence de décision, (d) Conversions en attente (delayed feedback buffer). La ligne verticale rouge marque le cold-start shock à</w:t>
      </w:r>
      <w:r>
        <w:t xml:space="preserve"> </w:t>
      </w:r>
      <m:oMath>
        <m:r>
          <m:t>t</m:t>
        </m:r>
        <m:r>
          <m:rPr>
            <m:sty m:val="p"/>
          </m:rPr>
          <m:t>=</m:t>
        </m:r>
        <m:r>
          <m:t>300</m:t>
        </m:r>
      </m:oMath>
      <w:r>
        <w:t xml:space="preserve">.</w:t>
      </w:r>
    </w:p>
    <w:bookmarkEnd w:id="164"/>
    <w:p>
      <w:pPr>
        <w:pStyle w:val="BodyText"/>
      </w:pPr>
      <w:r>
        <w:rPr>
          <w:b/>
          <w:bCs/>
        </w:rPr>
        <w:t xml:space="preserve">Observations</w:t>
      </w:r>
      <w:r>
        <w:t xml:space="preserve"> </w:t>
      </w:r>
      <w:r>
        <w:t xml:space="preserve">:</w:t>
      </w:r>
    </w:p>
    <w:p>
      <w:pPr>
        <w:numPr>
          <w:ilvl w:val="0"/>
          <w:numId w:val="1038"/>
        </w:numPr>
      </w:pPr>
      <w:r>
        <w:rPr>
          <w:b/>
          <w:bCs/>
        </w:rPr>
        <w:t xml:space="preserve">Convergence</w:t>
      </w:r>
      <w:r>
        <w:t xml:space="preserve"> </w:t>
      </w:r>
      <w:r>
        <w:t xml:space="preserve">: le CTR passe de</w:t>
      </w:r>
      <w:r>
        <w:t xml:space="preserve"> </w:t>
      </w:r>
      <m:oMath>
        <m:r>
          <m:rPr>
            <m:sty m:val="p"/>
          </m:rPr>
          <m:t>∼</m:t>
        </m:r>
        <m:r>
          <m:t>0.08</m:t>
        </m:r>
      </m:oMath>
      <w:r>
        <w:t xml:space="preserve"> </w:t>
      </w:r>
      <w:r>
        <w:t xml:space="preserve">(exploration aléatoire) à</w:t>
      </w:r>
      <w:r>
        <w:t xml:space="preserve"> </w:t>
      </w:r>
      <m:oMath>
        <m:r>
          <m:rPr>
            <m:sty m:val="p"/>
          </m:rPr>
          <m:t>∼</m:t>
        </m:r>
        <m:r>
          <m:t>0.34</m:t>
        </m:r>
      </m:oMath>
      <w:r>
        <w:t xml:space="preserve"> </w:t>
      </w:r>
      <w:r>
        <w:t xml:space="preserve">en phase stable, démontrant l’apprentissage en ligne.</w:t>
      </w:r>
    </w:p>
    <w:p>
      <w:pPr>
        <w:numPr>
          <w:ilvl w:val="0"/>
          <w:numId w:val="1038"/>
        </w:numPr>
      </w:pPr>
      <w:r>
        <w:rPr>
          <w:b/>
          <w:bCs/>
        </w:rPr>
        <w:t xml:space="preserve">Latence</w:t>
      </w:r>
      <w:r>
        <w:t xml:space="preserve"> </w:t>
      </w:r>
      <w:r>
        <w:t xml:space="preserve">:</w:t>
      </w:r>
      <w:r>
        <w:t xml:space="preserve"> </w:t>
      </w:r>
      <m:oMath>
        <m:r>
          <m:rPr>
            <m:sty m:val="p"/>
          </m:rPr>
          <m:t>∼</m:t>
        </m:r>
        <m:r>
          <m:t>9</m:t>
        </m:r>
      </m:oMath>
      <w:r>
        <w:t xml:space="preserve"> ms en moyenne, augmentant légèrement à</w:t>
      </w:r>
      <w:r>
        <w:t xml:space="preserve"> </w:t>
      </w:r>
      <m:oMath>
        <m:r>
          <m:rPr>
            <m:sty m:val="p"/>
          </m:rPr>
          <m:t>∼</m:t>
        </m:r>
        <m:r>
          <m:t>10</m:t>
        </m:r>
      </m:oMath>
      <w:r>
        <w:t xml:space="preserve"> ms après l’ajout des bras (passage de 6 à 10 annonces). Ce temps reste bien en deçà du SLA de 50 ms du RTB</w:t>
      </w:r>
      <w:r>
        <w:t xml:space="preserve"> </w:t>
      </w:r>
      <w:r>
        <w:t xml:space="preserve">[</w:t>
      </w:r>
      <w:hyperlink w:anchor="ref-yuan2013real">
        <w:r>
          <w:rPr>
            <w:rStyle w:val="Hyperlink"/>
          </w:rPr>
          <w:t xml:space="preserve">Yuan et al. 2013</w:t>
        </w:r>
      </w:hyperlink>
      <w:r>
        <w:t xml:space="preserve">]</w:t>
      </w:r>
      <w:r>
        <w:t xml:space="preserve">.</w:t>
      </w:r>
    </w:p>
    <w:p>
      <w:pPr>
        <w:numPr>
          <w:ilvl w:val="0"/>
          <w:numId w:val="1038"/>
        </w:numPr>
      </w:pPr>
      <w:r>
        <w:rPr>
          <w:b/>
          <w:bCs/>
        </w:rPr>
        <w:t xml:space="preserve">Delayed feedback</w:t>
      </w:r>
      <w:r>
        <w:t xml:space="preserve"> </w:t>
      </w:r>
      <w:r>
        <w:t xml:space="preserve">: le buffer de conversions en attente fluctue entre 0 et 8, confirmant le bon fonctionnement du mécanisme FALCON</w:t>
      </w:r>
      <w:r>
        <w:t xml:space="preserve"> </w:t>
      </w:r>
      <w:r>
        <w:t xml:space="preserve">[</w:t>
      </w:r>
      <w:hyperlink w:anchor="ref-ktena2019addressing">
        <w:r>
          <w:rPr>
            <w:rStyle w:val="Hyperlink"/>
          </w:rPr>
          <w:t xml:space="preserve">Ktena et al. 2019</w:t>
        </w:r>
      </w:hyperlink>
      <w:r>
        <w:t xml:space="preserve">]</w:t>
      </w:r>
      <w:r>
        <w:t xml:space="preserve">.</w:t>
      </w:r>
    </w:p>
    <w:bookmarkEnd w:id="165"/>
    <w:bookmarkStart w:id="170" w:name="résilience-au-cold-start"/>
    <w:p>
      <w:pPr>
        <w:pStyle w:val="Heading4"/>
      </w:pPr>
      <w:r>
        <w:t xml:space="preserve">Résilience au Cold-Start</w:t>
      </w:r>
    </w:p>
    <w:p>
      <w:pPr>
        <w:pStyle w:val="FirstParagraph"/>
      </w:pPr>
      <w:r>
        <w:t xml:space="preserve">La Figure </w:t>
      </w:r>
      <w:r>
        <w:t xml:space="preserve"> </w:t>
      </w:r>
      <w:r>
        <w:t xml:space="preserve">zoome sur la phase de cold-start (</w:t>
      </w:r>
      <m:oMath>
        <m:r>
          <m:t>t</m:t>
        </m:r>
        <m:r>
          <m:rPr>
            <m:sty m:val="p"/>
          </m:rPr>
          <m:t>=</m:t>
        </m:r>
        <m:r>
          <m:t>250</m:t>
        </m:r>
        <m:r>
          <m:rPr>
            <m:sty m:val="p"/>
          </m:rPr>
          <m:t>→</m:t>
        </m:r>
        <m:r>
          <m:t>450</m:t>
        </m:r>
      </m:oMath>
      <w:r>
        <w:t xml:space="preserve">) :</w:t>
      </w:r>
    </w:p>
    <w:bookmarkStart w:id="169" w:name="fig:cold_start_recovery"/>
    <w:p>
      <w:pPr>
        <w:pStyle w:val="CaptionedFigure"/>
      </w:pPr>
      <w:r>
        <w:drawing>
          <wp:inline>
            <wp:extent cx="4533900" cy="1884879"/>
            <wp:effectExtent b="0" l="0" r="0" t="0"/>
            <wp:docPr descr="" title="" id="167" name="Picture"/>
            <a:graphic>
              <a:graphicData uri="http://schemas.openxmlformats.org/drawingml/2006/picture">
                <pic:pic>
                  <pic:nvPicPr>
                    <pic:cNvPr descr="./docx_media/realtime_cold_start_recovery.png" id="168" name="Picture"/>
                    <pic:cNvPicPr>
                      <a:picLocks noChangeArrowheads="1" noChangeAspect="1"/>
                    </pic:cNvPicPr>
                  </pic:nvPicPr>
                  <pic:blipFill>
                    <a:blip r:embed="rId166"/>
                    <a:stretch>
                      <a:fillRect/>
                    </a:stretch>
                  </pic:blipFill>
                  <pic:spPr bwMode="auto">
                    <a:xfrm>
                      <a:off x="0" y="0"/>
                      <a:ext cx="4533900" cy="1884879"/>
                    </a:xfrm>
                    <a:prstGeom prst="rect">
                      <a:avLst/>
                    </a:prstGeom>
                    <a:noFill/>
                    <a:ln w="9525">
                      <a:noFill/>
                      <a:headEnd/>
                      <a:tailEnd/>
                    </a:ln>
                  </pic:spPr>
                </pic:pic>
              </a:graphicData>
            </a:graphic>
          </wp:inline>
        </w:drawing>
      </w:r>
    </w:p>
    <w:p>
      <w:pPr>
        <w:pStyle w:val="ImageCaption"/>
      </w:pPr>
      <w:r>
        <w:t xml:space="preserve">Figure 4.2  Zoom sur la récupération post cold-start : le H-DeepBandit exploite le transfert zéro-shot pour absorber l’injection de 4 nouvelles annonces à</w:t>
      </w:r>
      <w:r>
        <w:t xml:space="preserve"> </w:t>
      </w:r>
      <m:oMath>
        <m:r>
          <m:t>t</m:t>
        </m:r>
        <m:r>
          <m:rPr>
            <m:sty m:val="p"/>
          </m:rPr>
          <m:t>=</m:t>
        </m:r>
        <m:r>
          <m:t>300</m:t>
        </m:r>
      </m:oMath>
      <w:r>
        <w:t xml:space="preserve"> </w:t>
      </w:r>
      <w:r>
        <w:t xml:space="preserve">sans phase d’exploration dédiée.</w:t>
      </w:r>
    </w:p>
    <w:bookmarkEnd w:id="169"/>
    <w:p>
      <w:pPr>
        <w:pStyle w:val="BodyText"/>
      </w:pPr>
      <w:r>
        <w:t xml:space="preserve">Le mécanisme de transfert zéro-shot permet au système de recommander</w:t>
      </w:r>
      <w:r>
        <w:t xml:space="preserve"> </w:t>
      </w:r>
      <w:r>
        <w:rPr>
          <w:i/>
          <w:iCs/>
        </w:rPr>
        <w:t xml:space="preserve">immédiatement</w:t>
      </w:r>
      <w:r>
        <w:t xml:space="preserve"> </w:t>
      </w:r>
      <w:r>
        <w:t xml:space="preserve">les nouvelles annonces en exploitant la similarité sémantique avec les annonces existantes, sans exploration coûteuse.</w:t>
      </w:r>
    </w:p>
    <w:bookmarkEnd w:id="170"/>
    <w:bookmarkStart w:id="175" w:name="distribution-des-sélections"/>
    <w:p>
      <w:pPr>
        <w:pStyle w:val="Heading4"/>
      </w:pPr>
      <w:r>
        <w:t xml:space="preserve">Distribution des Sélections</w:t>
      </w:r>
    </w:p>
    <w:p>
      <w:pPr>
        <w:pStyle w:val="FirstParagraph"/>
      </w:pPr>
      <w:r>
        <w:t xml:space="preserve">La Figure </w:t>
      </w:r>
      <w:r>
        <w:t xml:space="preserve"> </w:t>
      </w:r>
      <w:r>
        <w:t xml:space="preserve">illustre comment le modèle répartit ses sélections au fil du temps :</w:t>
      </w:r>
    </w:p>
    <w:bookmarkStart w:id="174" w:name="fig:arm_distribution"/>
    <w:p>
      <w:pPr>
        <w:pStyle w:val="CaptionedFigure"/>
      </w:pPr>
      <w:r>
        <w:drawing>
          <wp:inline>
            <wp:extent cx="4533900" cy="1510450"/>
            <wp:effectExtent b="0" l="0" r="0" t="0"/>
            <wp:docPr descr="" title="" id="172" name="Picture"/>
            <a:graphic>
              <a:graphicData uri="http://schemas.openxmlformats.org/drawingml/2006/picture">
                <pic:pic>
                  <pic:nvPicPr>
                    <pic:cNvPr descr="./docx_media/realtime_arm_distribution.png" id="173" name="Picture"/>
                    <pic:cNvPicPr>
                      <a:picLocks noChangeArrowheads="1" noChangeAspect="1"/>
                    </pic:cNvPicPr>
                  </pic:nvPicPr>
                  <pic:blipFill>
                    <a:blip r:embed="rId171"/>
                    <a:stretch>
                      <a:fillRect/>
                    </a:stretch>
                  </pic:blipFill>
                  <pic:spPr bwMode="auto">
                    <a:xfrm>
                      <a:off x="0" y="0"/>
                      <a:ext cx="4533900" cy="1510450"/>
                    </a:xfrm>
                    <a:prstGeom prst="rect">
                      <a:avLst/>
                    </a:prstGeom>
                    <a:noFill/>
                    <a:ln w="9525">
                      <a:noFill/>
                      <a:headEnd/>
                      <a:tailEnd/>
                    </a:ln>
                  </pic:spPr>
                </pic:pic>
              </a:graphicData>
            </a:graphic>
          </wp:inline>
        </w:drawing>
      </w:r>
    </w:p>
    <w:p>
      <w:pPr>
        <w:pStyle w:val="ImageCaption"/>
      </w:pPr>
      <w:r>
        <w:t xml:space="preserve">Figure 4.3  Distribution des annonces sélectionnées : le modèle concentre ses recommandations sur les annonces à haute affinité sémantique tout en maintenant une exploration résiduelle sur les alternatives.</w:t>
      </w:r>
    </w:p>
    <w:bookmarkEnd w:id="174"/>
    <w:bookmarkEnd w:id="175"/>
    <w:bookmarkEnd w:id="176"/>
    <w:bookmarkStart w:id="182" w:name="test-de-charge"/>
    <w:p>
      <w:pPr>
        <w:pStyle w:val="Heading3"/>
      </w:pPr>
      <w:r>
        <w:t xml:space="preserve">4.4.3 Test de Charge</w:t>
      </w:r>
    </w:p>
    <w:p>
      <w:pPr>
        <w:pStyle w:val="FirstParagraph"/>
      </w:pPr>
      <w:r>
        <w:t xml:space="preserve">Un test de charge a été conduit pour évaluer les limites de performance du système :</w:t>
      </w:r>
    </w:p>
    <w:bookmarkStart w:id="177" w:name="tab:load_test"/>
    <w:p>
      <w:pPr>
        <w:pStyle w:val="TableCaption"/>
      </w:pPr>
      <w:r>
        <w:t xml:space="preserve">TABLEAU 4.5  RéSULTATS DU TEST DE CHARGE : LATENCE ET DéBIT EN FONCTION DE LA CONCURRENCE (SINGLE-WORKER UVICORN)</w:t>
      </w:r>
    </w:p>
    <w:tbl>
      <w:tblPr>
        <w:tblStyle w:val="Table"/>
        <w:tblW w:type="auto" w:w="0"/>
        <w:tblLook w:firstRow="1" w:lastRow="0" w:firstColumn="0" w:lastColumn="0" w:noHBand="0" w:noVBand="0" w:val="0020"/>
        <w:tblCaption w:val="TABLEAU 4.5  RéSULTATS DU TEST DE CHARGE : LATENCE ET DéBIT EN FONCTION DE LA CONCURRENCE (SINGLE-WORKER UVICORN)"/>
      </w:tblPr>
      <w:tblGrid>
        <w:gridCol w:w="1320"/>
        <w:gridCol w:w="1320"/>
        <w:gridCol w:w="1320"/>
        <w:gridCol w:w="1320"/>
        <w:gridCol w:w="1320"/>
        <w:gridCol w:w="1320"/>
      </w:tblGrid>
      <w:tr>
        <w:trPr>
          <w:tblHeader w:val="on"/>
        </w:trPr>
        <w:tc>
          <w:tcPr/>
          <w:p>
            <w:pPr>
              <w:pStyle w:val="Compact"/>
              <w:jc w:val="center"/>
            </w:pPr>
            <w:r>
              <w:rPr>
                <w:b/>
                <w:bCs/>
              </w:rPr>
              <w:t xml:space="preserve">Conc.</w:t>
            </w:r>
          </w:p>
        </w:tc>
        <w:tc>
          <w:tcPr/>
          <w:p>
            <w:pPr>
              <w:pStyle w:val="Compact"/>
              <w:jc w:val="center"/>
            </w:pPr>
            <w:r>
              <w:rPr>
                <w:b/>
                <w:bCs/>
              </w:rPr>
              <w:t xml:space="preserve">Lat. Moy.</w:t>
            </w:r>
          </w:p>
        </w:tc>
        <w:tc>
          <w:tcPr/>
          <w:p>
            <w:pPr>
              <w:pStyle w:val="Compact"/>
              <w:jc w:val="center"/>
            </w:pPr>
            <w:r>
              <w:rPr>
                <w:b/>
                <w:bCs/>
              </w:rPr>
              <w:t xml:space="preserve">P95</w:t>
            </w:r>
          </w:p>
        </w:tc>
        <w:tc>
          <w:tcPr/>
          <w:p>
            <w:pPr>
              <w:pStyle w:val="Compact"/>
              <w:jc w:val="center"/>
            </w:pPr>
            <w:r>
              <w:rPr>
                <w:b/>
                <w:bCs/>
              </w:rPr>
              <w:t xml:space="preserve">P99</w:t>
            </w:r>
          </w:p>
        </w:tc>
        <w:tc>
          <w:tcPr/>
          <w:p>
            <w:pPr>
              <w:pStyle w:val="Compact"/>
              <w:jc w:val="center"/>
            </w:pPr>
            <w:r>
              <w:rPr>
                <w:b/>
                <w:bCs/>
              </w:rPr>
              <w:t xml:space="preserve">RPS</w:t>
            </w:r>
          </w:p>
        </w:tc>
        <w:tc>
          <w:tcPr/>
          <w:p>
            <w:pPr>
              <w:pStyle w:val="Compact"/>
              <w:jc w:val="center"/>
            </w:pPr>
            <w:r>
              <w:rPr>
                <w:b/>
                <w:bCs/>
              </w:rPr>
              <w:t xml:space="preserve">Erreurs</w:t>
            </w:r>
          </w:p>
        </w:tc>
      </w:tr>
      <w:tr>
        <w:tc>
          <w:tcPr/>
          <w:p>
            <w:pPr>
              <w:pStyle w:val="Compact"/>
              <w:jc w:val="center"/>
            </w:pPr>
            <w:r>
              <w:t xml:space="preserve">1</w:t>
            </w:r>
          </w:p>
        </w:tc>
        <w:tc>
          <w:tcPr/>
          <w:p>
            <w:pPr>
              <w:pStyle w:val="Compact"/>
              <w:jc w:val="center"/>
            </w:pPr>
            <w:r>
              <w:t xml:space="preserve">11,8 ms</w:t>
            </w:r>
          </w:p>
        </w:tc>
        <w:tc>
          <w:tcPr/>
          <w:p>
            <w:pPr>
              <w:pStyle w:val="Compact"/>
              <w:jc w:val="center"/>
            </w:pPr>
            <w:r>
              <w:t xml:space="preserve">19,4 ms</w:t>
            </w:r>
          </w:p>
        </w:tc>
        <w:tc>
          <w:tcPr/>
          <w:p>
            <w:pPr>
              <w:pStyle w:val="Compact"/>
              <w:jc w:val="center"/>
            </w:pPr>
            <w:r>
              <w:t xml:space="preserve">21,3 ms</w:t>
            </w:r>
          </w:p>
        </w:tc>
        <w:tc>
          <w:tcPr/>
          <w:p>
            <w:pPr>
              <w:pStyle w:val="Compact"/>
              <w:jc w:val="center"/>
            </w:pPr>
            <w:r>
              <w:t xml:space="preserve">84</w:t>
            </w:r>
          </w:p>
        </w:tc>
        <w:tc>
          <w:tcPr/>
          <w:p>
            <w:pPr>
              <w:pStyle w:val="Compact"/>
              <w:jc w:val="center"/>
            </w:pPr>
            <w:r>
              <w:t xml:space="preserve">0</w:t>
            </w:r>
          </w:p>
        </w:tc>
      </w:tr>
      <w:tr>
        <w:tc>
          <w:tcPr/>
          <w:p>
            <w:pPr>
              <w:pStyle w:val="Compact"/>
              <w:jc w:val="center"/>
            </w:pPr>
            <w:r>
              <w:t xml:space="preserve">5</w:t>
            </w:r>
          </w:p>
        </w:tc>
        <w:tc>
          <w:tcPr/>
          <w:p>
            <w:pPr>
              <w:pStyle w:val="Compact"/>
              <w:jc w:val="center"/>
            </w:pPr>
            <w:r>
              <w:t xml:space="preserve">353,9 ms</w:t>
            </w:r>
          </w:p>
        </w:tc>
        <w:tc>
          <w:tcPr/>
          <w:p>
            <w:pPr>
              <w:pStyle w:val="Compact"/>
              <w:jc w:val="center"/>
            </w:pPr>
            <w:r>
              <w:t xml:space="preserve">376,2 ms</w:t>
            </w:r>
          </w:p>
        </w:tc>
        <w:tc>
          <w:tcPr/>
          <w:p>
            <w:pPr>
              <w:pStyle w:val="Compact"/>
              <w:jc w:val="center"/>
            </w:pPr>
            <w:r>
              <w:t xml:space="preserve">409,9 ms</w:t>
            </w:r>
          </w:p>
        </w:tc>
        <w:tc>
          <w:tcPr/>
          <w:p>
            <w:pPr>
              <w:pStyle w:val="Compact"/>
              <w:jc w:val="center"/>
            </w:pPr>
            <w:r>
              <w:t xml:space="preserve">14,1</w:t>
            </w:r>
          </w:p>
        </w:tc>
        <w:tc>
          <w:tcPr/>
          <w:p>
            <w:pPr>
              <w:pStyle w:val="Compact"/>
              <w:jc w:val="center"/>
            </w:pPr>
            <w:r>
              <w:t xml:space="preserve">0</w:t>
            </w:r>
          </w:p>
        </w:tc>
      </w:tr>
      <w:tr>
        <w:tc>
          <w:tcPr/>
          <w:p>
            <w:pPr>
              <w:pStyle w:val="Compact"/>
              <w:jc w:val="center"/>
            </w:pPr>
            <w:r>
              <w:t xml:space="preserve">10</w:t>
            </w:r>
          </w:p>
        </w:tc>
        <w:tc>
          <w:tcPr/>
          <w:p>
            <w:pPr>
              <w:pStyle w:val="Compact"/>
              <w:jc w:val="center"/>
            </w:pPr>
            <w:r>
              <w:t xml:space="preserve">738,1 ms</w:t>
            </w:r>
          </w:p>
        </w:tc>
        <w:tc>
          <w:tcPr/>
          <w:p>
            <w:pPr>
              <w:pStyle w:val="Compact"/>
              <w:jc w:val="center"/>
            </w:pPr>
            <w:r>
              <w:t xml:space="preserve">779,9 ms</w:t>
            </w:r>
          </w:p>
        </w:tc>
        <w:tc>
          <w:tcPr/>
          <w:p>
            <w:pPr>
              <w:pStyle w:val="Compact"/>
              <w:jc w:val="center"/>
            </w:pPr>
            <w:r>
              <w:t xml:space="preserve">823,8 ms</w:t>
            </w:r>
          </w:p>
        </w:tc>
        <w:tc>
          <w:tcPr/>
          <w:p>
            <w:pPr>
              <w:pStyle w:val="Compact"/>
              <w:jc w:val="center"/>
            </w:pPr>
            <w:r>
              <w:t xml:space="preserve">13,5</w:t>
            </w:r>
          </w:p>
        </w:tc>
        <w:tc>
          <w:tcPr/>
          <w:p>
            <w:pPr>
              <w:pStyle w:val="Compact"/>
              <w:jc w:val="center"/>
            </w:pPr>
            <w:r>
              <w:t xml:space="preserve">0</w:t>
            </w:r>
          </w:p>
        </w:tc>
      </w:tr>
      <w:tr>
        <w:tc>
          <w:tcPr/>
          <w:p>
            <w:pPr>
              <w:pStyle w:val="Compact"/>
              <w:jc w:val="center"/>
            </w:pPr>
            <w:r>
              <w:t xml:space="preserve">25</w:t>
            </w:r>
          </w:p>
        </w:tc>
        <w:tc>
          <w:tcPr/>
          <w:p>
            <w:pPr>
              <w:pStyle w:val="Compact"/>
              <w:jc w:val="center"/>
            </w:pPr>
            <w:r>
              <w:t xml:space="preserve">1 778 ms</w:t>
            </w:r>
          </w:p>
        </w:tc>
        <w:tc>
          <w:tcPr/>
          <w:p>
            <w:pPr>
              <w:pStyle w:val="Compact"/>
              <w:jc w:val="center"/>
            </w:pPr>
            <w:r>
              <w:t xml:space="preserve">1 886 ms</w:t>
            </w:r>
          </w:p>
        </w:tc>
        <w:tc>
          <w:tcPr/>
          <w:p>
            <w:pPr>
              <w:pStyle w:val="Compact"/>
              <w:jc w:val="center"/>
            </w:pPr>
            <w:r>
              <w:t xml:space="preserve">1 907 ms</w:t>
            </w:r>
          </w:p>
        </w:tc>
        <w:tc>
          <w:tcPr/>
          <w:p>
            <w:pPr>
              <w:pStyle w:val="Compact"/>
              <w:jc w:val="center"/>
            </w:pPr>
            <w:r>
              <w:t xml:space="preserve">13,9</w:t>
            </w:r>
          </w:p>
        </w:tc>
        <w:tc>
          <w:tcPr/>
          <w:p>
            <w:pPr>
              <w:pStyle w:val="Compact"/>
              <w:jc w:val="center"/>
            </w:pPr>
            <w:r>
              <w:t xml:space="preserve">0</w:t>
            </w:r>
          </w:p>
        </w:tc>
      </w:tr>
      <w:tr>
        <w:tc>
          <w:tcPr/>
          <w:p>
            <w:pPr>
              <w:pStyle w:val="Compact"/>
              <w:jc w:val="center"/>
            </w:pPr>
            <w:r>
              <w:t xml:space="preserve">50</w:t>
            </w:r>
          </w:p>
        </w:tc>
        <w:tc>
          <w:tcPr/>
          <w:p>
            <w:pPr>
              <w:pStyle w:val="Compact"/>
              <w:jc w:val="center"/>
            </w:pPr>
            <w:r>
              <w:t xml:space="preserve">3 495 ms</w:t>
            </w:r>
          </w:p>
        </w:tc>
        <w:tc>
          <w:tcPr/>
          <w:p>
            <w:pPr>
              <w:pStyle w:val="Compact"/>
              <w:jc w:val="center"/>
            </w:pPr>
            <w:r>
              <w:t xml:space="preserve">3 725 ms</w:t>
            </w:r>
          </w:p>
        </w:tc>
        <w:tc>
          <w:tcPr/>
          <w:p>
            <w:pPr>
              <w:pStyle w:val="Compact"/>
              <w:jc w:val="center"/>
            </w:pPr>
            <w:r>
              <w:t xml:space="preserve">3 795 ms</w:t>
            </w:r>
          </w:p>
        </w:tc>
        <w:tc>
          <w:tcPr/>
          <w:p>
            <w:pPr>
              <w:pStyle w:val="Compact"/>
              <w:jc w:val="center"/>
            </w:pPr>
            <w:r>
              <w:t xml:space="preserve">14,0</w:t>
            </w:r>
          </w:p>
        </w:tc>
        <w:tc>
          <w:tcPr/>
          <w:p>
            <w:pPr>
              <w:pStyle w:val="Compact"/>
              <w:jc w:val="center"/>
            </w:pPr>
            <w:r>
              <w:t xml:space="preserve">0</w:t>
            </w:r>
          </w:p>
        </w:tc>
      </w:tr>
    </w:tbl>
    <w:bookmarkEnd w:id="177"/>
    <w:bookmarkStart w:id="181" w:name="fig:load_test"/>
    <w:p>
      <w:pPr>
        <w:pStyle w:val="CaptionedFigure"/>
      </w:pPr>
      <w:r>
        <w:drawing>
          <wp:inline>
            <wp:extent cx="4533900" cy="1884879"/>
            <wp:effectExtent b="0" l="0" r="0" t="0"/>
            <wp:docPr descr="" title="" id="179" name="Picture"/>
            <a:graphic>
              <a:graphicData uri="http://schemas.openxmlformats.org/drawingml/2006/picture">
                <pic:pic>
                  <pic:nvPicPr>
                    <pic:cNvPr descr="./docx_media/load_test_latency.png" id="180" name="Picture"/>
                    <pic:cNvPicPr>
                      <a:picLocks noChangeArrowheads="1" noChangeAspect="1"/>
                    </pic:cNvPicPr>
                  </pic:nvPicPr>
                  <pic:blipFill>
                    <a:blip r:embed="rId178"/>
                    <a:stretch>
                      <a:fillRect/>
                    </a:stretch>
                  </pic:blipFill>
                  <pic:spPr bwMode="auto">
                    <a:xfrm>
                      <a:off x="0" y="0"/>
                      <a:ext cx="4533900" cy="1884879"/>
                    </a:xfrm>
                    <a:prstGeom prst="rect">
                      <a:avLst/>
                    </a:prstGeom>
                    <a:noFill/>
                    <a:ln w="9525">
                      <a:noFill/>
                      <a:headEnd/>
                      <a:tailEnd/>
                    </a:ln>
                  </pic:spPr>
                </pic:pic>
              </a:graphicData>
            </a:graphic>
          </wp:inline>
        </w:drawing>
      </w:r>
    </w:p>
    <w:p>
      <w:pPr>
        <w:pStyle w:val="ImageCaption"/>
      </w:pPr>
      <w:r>
        <w:t xml:space="preserve">Figure 4.4  Résultats du test de charge : (gauche) latence moyenne, P95 et P99 en fonction de la concurrence ; (droite) débit en requêtes par seconde.</w:t>
      </w:r>
    </w:p>
    <w:bookmarkEnd w:id="181"/>
    <w:p>
      <w:pPr>
        <w:pStyle w:val="BodyText"/>
      </w:pPr>
      <w:r>
        <w:rPr>
          <w:b/>
          <w:bCs/>
        </w:rPr>
        <w:t xml:space="preserve">Analyse</w:t>
      </w:r>
      <w:r>
        <w:t xml:space="preserve"> </w:t>
      </w:r>
      <w:r>
        <w:t xml:space="preserve">: en mode</w:t>
      </w:r>
      <w:r>
        <w:t xml:space="preserve"> </w:t>
      </w:r>
      <w:r>
        <w:rPr>
          <w:i/>
          <w:iCs/>
        </w:rPr>
        <w:t xml:space="preserve">single-worker</w:t>
      </w:r>
      <w:r>
        <w:t xml:space="preserve">, le système atteint</w:t>
      </w:r>
      <w:r>
        <w:t xml:space="preserve"> </w:t>
      </w:r>
      <w:r>
        <w:rPr>
          <w:b/>
          <w:bCs/>
        </w:rPr>
        <w:t xml:space="preserve">84 requêtes/seconde</w:t>
      </w:r>
      <w:r>
        <w:t xml:space="preserve"> </w:t>
      </w:r>
      <w:r>
        <w:t xml:space="preserve">avec une latence P95 de 19,4 ms (concurrence = 1). Le débit se stabilise à</w:t>
      </w:r>
      <w:r>
        <w:t xml:space="preserve"> </w:t>
      </w:r>
      <m:oMath>
        <m:r>
          <m:rPr>
            <m:sty m:val="p"/>
          </m:rPr>
          <m:t>∼</m:t>
        </m:r>
        <m:r>
          <m:t>14</m:t>
        </m:r>
      </m:oMath>
      <w:r>
        <w:t xml:space="preserve"> </w:t>
      </w:r>
      <w:r>
        <w:t xml:space="preserve">req/s au-delà de 5 threads concurrents car le forward pass sur SentenceTransformer est CPU-bound. En déploiement production (Cloud Run avec</w:t>
      </w:r>
      <w:r>
        <w:t xml:space="preserve"> </w:t>
      </w:r>
      <w:r>
        <w:rPr>
          <w:i/>
          <w:iCs/>
        </w:rPr>
        <w:t xml:space="preserve">autoscaling</w:t>
      </w:r>
      <w:r>
        <w:t xml:space="preserve">), chaque instance gère 84 req/s et le scaling horizontal absorbe la charge totale. Le fait qu’</w:t>
      </w:r>
      <w:r>
        <w:rPr>
          <w:b/>
          <w:bCs/>
        </w:rPr>
        <w:t xml:space="preserve">aucune erreur</w:t>
      </w:r>
      <w:r>
        <w:t xml:space="preserve"> </w:t>
      </w:r>
      <w:r>
        <w:t xml:space="preserve">ne soit observée à aucun niveau de concurrence confirme la stabilité du système.</w:t>
      </w:r>
    </w:p>
    <w:bookmarkEnd w:id="182"/>
    <w:bookmarkEnd w:id="183"/>
    <w:bookmarkStart w:id="184" w:name="sec:limites"/>
    <w:p>
      <w:pPr>
        <w:pStyle w:val="Heading2"/>
      </w:pPr>
      <w:r>
        <w:t xml:space="preserve">4.5 Limites et Perspectives</w:t>
      </w:r>
    </w:p>
    <w:p>
      <w:pPr>
        <w:pStyle w:val="FirstParagraph"/>
      </w:pPr>
      <w:r>
        <w:t xml:space="preserve">Malgré les résultats positifs, plusieurs limites méritent d’être soulignées :</w:t>
      </w:r>
    </w:p>
    <w:p>
      <w:pPr>
        <w:numPr>
          <w:ilvl w:val="0"/>
          <w:numId w:val="1039"/>
        </w:numPr>
      </w:pPr>
      <w:r>
        <w:rPr>
          <w:b/>
          <w:bCs/>
        </w:rPr>
        <w:t xml:space="preserve">Données simulées</w:t>
      </w:r>
      <w:r>
        <w:t xml:space="preserve"> </w:t>
      </w:r>
      <w:r>
        <w:t xml:space="preserve">: la validation repose sur le</w:t>
      </w:r>
      <w:r>
        <w:t xml:space="preserve"> </w:t>
      </w:r>
      <w:r>
        <w:rPr>
          <w:rStyle w:val="VerbatimChar"/>
        </w:rPr>
        <w:t xml:space="preserve">SemanticRewardSimulator</w:t>
      </w:r>
      <w:r>
        <w:t xml:space="preserve">. Un déploiement sur des données réelles (trafic Google Ads) est nécessaire pour confirmer la généralisation</w:t>
      </w:r>
      <w:r>
        <w:t xml:space="preserve"> </w:t>
      </w:r>
      <w:r>
        <w:t xml:space="preserve">[</w:t>
      </w:r>
      <w:hyperlink w:anchor="ref-chapelle2014simple">
        <w:r>
          <w:rPr>
            <w:rStyle w:val="Hyperlink"/>
          </w:rPr>
          <w:t xml:space="preserve">Chapelle et al. 2014</w:t>
        </w:r>
      </w:hyperlink>
      <w:r>
        <w:t xml:space="preserve">]</w:t>
      </w:r>
      <w:r>
        <w:t xml:space="preserve">.</w:t>
      </w:r>
    </w:p>
    <w:p>
      <w:pPr>
        <w:numPr>
          <w:ilvl w:val="0"/>
          <w:numId w:val="1039"/>
        </w:numPr>
      </w:pPr>
      <w:r>
        <w:rPr>
          <w:b/>
          <w:bCs/>
        </w:rPr>
        <w:t xml:space="preserve">Single-worker</w:t>
      </w:r>
      <w:r>
        <w:t xml:space="preserve"> </w:t>
      </w:r>
      <w:r>
        <w:t xml:space="preserve">: les tests de charge ont été conduits sur un seul worker Uvicorn. L’ajout de workers multiples avec état partagé via Redis et le scaling horizontal de Cloud Run restent à valider.</w:t>
      </w:r>
    </w:p>
    <w:p>
      <w:pPr>
        <w:numPr>
          <w:ilvl w:val="0"/>
          <w:numId w:val="1039"/>
        </w:numPr>
      </w:pPr>
      <w:r>
        <w:rPr>
          <w:b/>
          <w:bCs/>
        </w:rPr>
        <w:t xml:space="preserve">Fine-tuning des embeddings</w:t>
      </w:r>
      <w:r>
        <w:t xml:space="preserve"> </w:t>
      </w:r>
      <w:r>
        <w:t xml:space="preserve">: le modèle</w:t>
      </w:r>
      <w:r>
        <w:t xml:space="preserve"> </w:t>
      </w:r>
      <w:r>
        <w:rPr>
          <w:rStyle w:val="VerbatimChar"/>
        </w:rPr>
        <w:t xml:space="preserve">all-MiniLM-L6-v2</w:t>
      </w:r>
      <w:r>
        <w:t xml:space="preserve"> </w:t>
      </w:r>
      <w:r>
        <w:t xml:space="preserve">[</w:t>
      </w:r>
      <w:hyperlink w:anchor="ref-reimers2019sentence">
        <w:r>
          <w:rPr>
            <w:rStyle w:val="Hyperlink"/>
          </w:rPr>
          <w:t xml:space="preserve">Reimers and Gurevych 2019</w:t>
        </w:r>
      </w:hyperlink>
      <w:r>
        <w:t xml:space="preserve">]</w:t>
      </w:r>
      <w:r>
        <w:t xml:space="preserve"> </w:t>
      </w:r>
      <w:r>
        <w:t xml:space="preserve">est utilisé tel quel (</w:t>
      </w:r>
      <w:r>
        <w:rPr>
          <w:i/>
          <w:iCs/>
        </w:rPr>
        <w:t xml:space="preserve">frozen</w:t>
      </w:r>
      <w:r>
        <w:t xml:space="preserve">). Un fine-tuning sur des données publicitaires réelles pourrait améliorer la qualité des représentations sémantiques.</w:t>
      </w:r>
    </w:p>
    <w:p>
      <w:pPr>
        <w:numPr>
          <w:ilvl w:val="0"/>
          <w:numId w:val="1039"/>
        </w:numPr>
      </w:pPr>
      <w:r>
        <w:rPr>
          <w:b/>
          <w:bCs/>
        </w:rPr>
        <w:t xml:space="preserve">Intégration Google Ads API</w:t>
      </w:r>
      <w:r>
        <w:t xml:space="preserve"> </w:t>
      </w:r>
      <w:r>
        <w:t xml:space="preserve">: le système actuel simule le flux d’impressions. L’intégration avec l’API Google Ads permettrait une validation en conditions de production réelles.</w:t>
      </w:r>
    </w:p>
    <w:p>
      <w:pPr>
        <w:numPr>
          <w:ilvl w:val="0"/>
          <w:numId w:val="1039"/>
        </w:numPr>
      </w:pPr>
      <w:r>
        <w:rPr>
          <w:b/>
          <w:bCs/>
        </w:rPr>
        <w:t xml:space="preserve">Deep Reinforcement Learning</w:t>
      </w:r>
      <w:r>
        <w:t xml:space="preserve"> </w:t>
      </w:r>
      <w:r>
        <w:t xml:space="preserve">: l’extension vers des architectures RL profondes (PPO, SAC) avec historique d’états pourrait améliorer la modélisation des séquences d’interactions utilisateur.</w:t>
      </w:r>
    </w:p>
    <w:p>
      <w:pPr>
        <w:numPr>
          <w:ilvl w:val="0"/>
          <w:numId w:val="1039"/>
        </w:numPr>
      </w:pPr>
      <w:r>
        <w:rPr>
          <w:b/>
          <w:bCs/>
        </w:rPr>
        <w:t xml:space="preserve">A/B Testing</w:t>
      </w:r>
      <w:r>
        <w:t xml:space="preserve"> </w:t>
      </w:r>
      <w:r>
        <w:t xml:space="preserve">: un protocole de test A/B en production serait nécessaire pour quantifier le gain business réel par rapport aux politiques de recommandation existantes.</w:t>
      </w:r>
    </w:p>
    <w:bookmarkEnd w:id="184"/>
    <w:bookmarkStart w:id="185" w:name="conclusion-3"/>
    <w:p>
      <w:pPr>
        <w:pStyle w:val="Heading2"/>
      </w:pPr>
      <w:r>
        <w:t xml:space="preserve">Conclusion</w:t>
      </w:r>
    </w:p>
    <w:p>
      <w:pPr>
        <w:pStyle w:val="FirstParagraph"/>
      </w:pPr>
      <w:r>
        <w:t xml:space="preserve">Ce chapitre a démontré que le système de recommandation publicitaire multi-objectif, fondé sur le H-DeepBandit et la politique</w:t>
      </w:r>
      <w:r>
        <w:t xml:space="preserve"> </w:t>
      </w:r>
      <m:oMath>
        <m:r>
          <m:t>ε</m:t>
        </m:r>
      </m:oMath>
      <w:r>
        <w:t xml:space="preserve">-Constraint, est</w:t>
      </w:r>
      <w:r>
        <w:t xml:space="preserve"> </w:t>
      </w:r>
      <w:r>
        <w:rPr>
          <w:b/>
          <w:bCs/>
        </w:rPr>
        <w:t xml:space="preserve">viable en conditions temps réel</w:t>
      </w:r>
      <w:r>
        <w:t xml:space="preserve"> </w:t>
      </w:r>
      <w:r>
        <w:t xml:space="preserve">:</w:t>
      </w:r>
    </w:p>
    <w:p>
      <w:pPr>
        <w:numPr>
          <w:ilvl w:val="0"/>
          <w:numId w:val="1040"/>
        </w:numPr>
      </w:pPr>
      <w:r>
        <w:t xml:space="preserve">Une</w:t>
      </w:r>
      <w:r>
        <w:t xml:space="preserve"> </w:t>
      </w:r>
      <w:r>
        <w:rPr>
          <w:b/>
          <w:bCs/>
        </w:rPr>
        <w:t xml:space="preserve">architecture closed-loop</w:t>
      </w:r>
      <w:r>
        <w:t xml:space="preserve"> </w:t>
      </w:r>
      <w:r>
        <w:t xml:space="preserve">complète, de la capture d’impression à la mise à jour du modèle.</w:t>
      </w:r>
    </w:p>
    <w:p>
      <w:pPr>
        <w:numPr>
          <w:ilvl w:val="0"/>
          <w:numId w:val="1040"/>
        </w:numPr>
      </w:pPr>
      <w:r>
        <w:t xml:space="preserve">Un mécanisme de</w:t>
      </w:r>
      <w:r>
        <w:t xml:space="preserve"> </w:t>
      </w:r>
      <w:r>
        <w:rPr>
          <w:b/>
          <w:bCs/>
        </w:rPr>
        <w:t xml:space="preserve">delayed feedback</w:t>
      </w:r>
      <w:r>
        <w:t xml:space="preserve"> </w:t>
      </w:r>
      <w:r>
        <w:t xml:space="preserve">(FALCON) garantissant l’intégrité des estimations de revenue.</w:t>
      </w:r>
    </w:p>
    <w:p>
      <w:pPr>
        <w:numPr>
          <w:ilvl w:val="0"/>
          <w:numId w:val="1040"/>
        </w:numPr>
      </w:pPr>
      <w:r>
        <w:t xml:space="preserve">Un</w:t>
      </w:r>
      <w:r>
        <w:t xml:space="preserve"> </w:t>
      </w:r>
      <w:r>
        <w:rPr>
          <w:b/>
          <w:bCs/>
        </w:rPr>
        <w:t xml:space="preserve">déploiement cloud-native</w:t>
      </w:r>
      <w:r>
        <w:t xml:space="preserve"> </w:t>
      </w:r>
      <w:r>
        <w:t xml:space="preserve">dual (Docker local / GCP production) via le pattern Factory.</w:t>
      </w:r>
    </w:p>
    <w:p>
      <w:pPr>
        <w:numPr>
          <w:ilvl w:val="0"/>
          <w:numId w:val="1040"/>
        </w:numPr>
      </w:pPr>
      <w:r>
        <w:t xml:space="preserve">Une</w:t>
      </w:r>
      <w:r>
        <w:t xml:space="preserve"> </w:t>
      </w:r>
      <w:r>
        <w:rPr>
          <w:b/>
          <w:bCs/>
        </w:rPr>
        <w:t xml:space="preserve">latence de bout en bout</w:t>
      </w:r>
      <w:r>
        <w:t xml:space="preserve"> </w:t>
      </w:r>
      <w:r>
        <w:t xml:space="preserve">de</w:t>
      </w:r>
      <w:r>
        <w:t xml:space="preserve"> </w:t>
      </w:r>
      <m:oMath>
        <m:r>
          <m:rPr>
            <m:sty m:val="p"/>
          </m:rPr>
          <m:t>∼</m:t>
        </m:r>
        <m:r>
          <m:t>9</m:t>
        </m:r>
      </m:oMath>
      <w:r>
        <w:t xml:space="preserve"> ms, compatible avec les contraintes du RTB.</w:t>
      </w:r>
    </w:p>
    <w:p>
      <w:pPr>
        <w:numPr>
          <w:ilvl w:val="0"/>
          <w:numId w:val="1040"/>
        </w:numPr>
      </w:pPr>
      <w:r>
        <w:t xml:space="preserve">Un</w:t>
      </w:r>
      <w:r>
        <w:t xml:space="preserve"> </w:t>
      </w:r>
      <w:r>
        <w:rPr>
          <w:b/>
          <w:bCs/>
        </w:rPr>
        <w:t xml:space="preserve">débit</w:t>
      </w:r>
      <w:r>
        <w:t xml:space="preserve"> </w:t>
      </w:r>
      <w:r>
        <w:t xml:space="preserve">de 84 requêtes/seconde par worker, avec zéro erreur sous charge.</w:t>
      </w:r>
    </w:p>
    <w:p>
      <w:pPr>
        <w:pStyle w:val="FirstParagraph"/>
      </w:pPr>
      <w:r>
        <w:t xml:space="preserve">Ces résultats valident le passage du prototype de recherche à un système opérationnel, clôturant le triptyque théorie–expérimentation–industrialisation de ce projet.</w:t>
      </w:r>
    </w:p>
    <w:bookmarkEnd w:id="185"/>
    <w:bookmarkEnd w:id="186"/>
    <w:bookmarkStart w:id="264" w:name="conclusion-générale"/>
    <w:p>
      <w:pPr>
        <w:pStyle w:val="Heading1"/>
      </w:pPr>
      <w:r>
        <w:t xml:space="preserve">Chapitre 5 : Conclusion Générale</w:t>
      </w:r>
    </w:p>
    <w:p>
      <w:pPr>
        <w:pStyle w:val="FirstParagraph"/>
      </w:pPr>
      <w:r>
        <w:t xml:space="preserve">Ce Projet de Fin d’Études avait pour ambition de concevoir, implémenter et valider un</w:t>
      </w:r>
      <w:r>
        <w:t xml:space="preserve"> </w:t>
      </w:r>
      <w:r>
        <w:rPr>
          <w:b/>
          <w:bCs/>
        </w:rPr>
        <w:t xml:space="preserve">Système de Recommandation Publicitaire Multi-Objectif</w:t>
      </w:r>
      <w:r>
        <w:t xml:space="preserve"> </w:t>
      </w:r>
      <w:r>
        <w:t xml:space="preserve">capable d’opérer en temps réel. Le travail réalisé couvre l’ensemble du spectre théorie–expérimentation–industrialisation.</w:t>
      </w:r>
    </w:p>
    <w:bookmarkStart w:id="187" w:name="synthèse-des-contributions"/>
    <w:p>
      <w:pPr>
        <w:pStyle w:val="Heading2"/>
      </w:pPr>
      <w:r>
        <w:t xml:space="preserve">Synthèse des Contributions</w:t>
      </w:r>
    </w:p>
    <w:p>
      <w:pPr>
        <w:pStyle w:val="FirstParagraph"/>
      </w:pPr>
      <w:r>
        <w:rPr>
          <w:b/>
          <w:bCs/>
        </w:rPr>
        <w:t xml:space="preserve">Chapitre 1</w:t>
      </w:r>
      <w:r>
        <w:t xml:space="preserve"> </w:t>
      </w:r>
      <w:r>
        <w:t xml:space="preserve">a posé le cadre général du projet en analysant l’écosystème publicitaire digital, les systèmes de recommandation et le mécanisme du Real-Time Bidding. La problématique a été formalisée : comment optimiser</w:t>
      </w:r>
      <w:r>
        <w:t xml:space="preserve"> </w:t>
      </w:r>
      <w:r>
        <w:rPr>
          <w:i/>
          <w:iCs/>
        </w:rPr>
        <w:t xml:space="preserve">simultanément</w:t>
      </w:r>
      <w:r>
        <w:t xml:space="preserve"> </w:t>
      </w:r>
      <w:r>
        <w:t xml:space="preserve">l’engagement (CTR) et le revenu (eCPM) sous les contraintes de latence du RTB.</w:t>
      </w:r>
    </w:p>
    <w:p>
      <w:pPr>
        <w:pStyle w:val="BodyText"/>
      </w:pPr>
      <w:r>
        <w:rPr>
          <w:b/>
          <w:bCs/>
        </w:rPr>
        <w:t xml:space="preserve">Chapitre 2</w:t>
      </w:r>
      <w:r>
        <w:t xml:space="preserve"> </w:t>
      </w:r>
      <w:r>
        <w:t xml:space="preserve">a établi le cadre théorique en formalisant le problème comme un Programme en Nombres Entiers Multi-Objectifs (MOIP)</w:t>
      </w:r>
      <w:r>
        <w:t xml:space="preserve"> </w:t>
      </w:r>
      <w:r>
        <w:t xml:space="preserve">[</w:t>
      </w:r>
      <w:hyperlink w:anchor="ref-deb2001multi">
        <w:r>
          <w:rPr>
            <w:rStyle w:val="Hyperlink"/>
          </w:rPr>
          <w:t xml:space="preserve">Deb 2001</w:t>
        </w:r>
      </w:hyperlink>
      <w:r>
        <w:t xml:space="preserve">]</w:t>
      </w:r>
      <w:r>
        <w:t xml:space="preserve">. L’état de l’art a couvert sept familles d’agents d’estimation</w:t>
      </w:r>
      <w:r>
        <w:t xml:space="preserve"> </w:t>
      </w:r>
      <w:r>
        <w:t xml:space="preserve">[</w:t>
      </w:r>
      <w:hyperlink w:anchor="ref-li2010contextual">
        <w:r>
          <w:rPr>
            <w:rStyle w:val="Hyperlink"/>
          </w:rPr>
          <w:t xml:space="preserve">Li et al. 2010</w:t>
        </w:r>
      </w:hyperlink>
      <w:r>
        <w:t xml:space="preserve">;</w:t>
      </w:r>
      <w:r>
        <w:t xml:space="preserve"> </w:t>
      </w:r>
      <w:hyperlink w:anchor="ref-zhou2020neural">
        <w:r>
          <w:rPr>
            <w:rStyle w:val="Hyperlink"/>
          </w:rPr>
          <w:t xml:space="preserve">Zhou et al. 2020</w:t>
        </w:r>
      </w:hyperlink>
      <w:r>
        <w:t xml:space="preserve">;</w:t>
      </w:r>
      <w:r>
        <w:t xml:space="preserve"> </w:t>
      </w:r>
      <w:hyperlink w:anchor="ref-riquelme2018deep">
        <w:r>
          <w:rPr>
            <w:rStyle w:val="Hyperlink"/>
          </w:rPr>
          <w:t xml:space="preserve">Riquelme et al. 2018</w:t>
        </w:r>
      </w:hyperlink>
      <w:r>
        <w:t xml:space="preserve">]</w:t>
      </w:r>
      <w:r>
        <w:t xml:space="preserve"> </w:t>
      </w:r>
      <w:r>
        <w:t xml:space="preserve">et dix politiques d’optimisation multi-objectif</w:t>
      </w:r>
      <w:r>
        <w:t xml:space="preserve"> </w:t>
      </w:r>
      <w:r>
        <w:t xml:space="preserve">[</w:t>
      </w:r>
      <w:hyperlink w:anchor="ref-deb2002fast">
        <w:r>
          <w:rPr>
            <w:rStyle w:val="Hyperlink"/>
          </w:rPr>
          <w:t xml:space="preserve">Deb et al. 2002</w:t>
        </w:r>
      </w:hyperlink>
      <w:r>
        <w:t xml:space="preserve">;</w:t>
      </w:r>
      <w:r>
        <w:t xml:space="preserve"> </w:t>
      </w:r>
      <w:hyperlink w:anchor="ref-zhang2007moead">
        <w:r>
          <w:rPr>
            <w:rStyle w:val="Hyperlink"/>
          </w:rPr>
          <w:t xml:space="preserve">Q. Zhang and Li 2007</w:t>
        </w:r>
      </w:hyperlink>
      <w:r>
        <w:t xml:space="preserve">;</w:t>
      </w:r>
      <w:r>
        <w:t xml:space="preserve"> </w:t>
      </w:r>
      <w:hyperlink w:anchor="ref-ehrgott2005multicriteria">
        <w:r>
          <w:rPr>
            <w:rStyle w:val="Hyperlink"/>
          </w:rPr>
          <w:t xml:space="preserve">Ehrgott 2005</w:t>
        </w:r>
      </w:hyperlink>
      <w:r>
        <w:t xml:space="preserve">]</w:t>
      </w:r>
      <w:r>
        <w:t xml:space="preserve">. L’approche hybride sémantique a été proposée, fondée sur l’encodage SentenceTransformer</w:t>
      </w:r>
      <w:r>
        <w:t xml:space="preserve"> </w:t>
      </w:r>
      <w:r>
        <w:t xml:space="preserve">[</w:t>
      </w:r>
      <w:hyperlink w:anchor="ref-reimers2019sentence">
        <w:r>
          <w:rPr>
            <w:rStyle w:val="Hyperlink"/>
          </w:rPr>
          <w:t xml:space="preserve">Reimers and Gurevych 2019</w:t>
        </w:r>
      </w:hyperlink>
      <w:r>
        <w:t xml:space="preserve">]</w:t>
      </w:r>
      <w:r>
        <w:t xml:space="preserve"> </w:t>
      </w:r>
      <w:r>
        <w:t xml:space="preserve">et le modèle global partagé.</w:t>
      </w:r>
    </w:p>
    <w:p>
      <w:pPr>
        <w:pStyle w:val="BodyText"/>
      </w:pPr>
      <w:r>
        <w:rPr>
          <w:b/>
          <w:bCs/>
        </w:rPr>
        <w:t xml:space="preserve">Chapitre 3</w:t>
      </w:r>
      <w:r>
        <w:t xml:space="preserve"> </w:t>
      </w:r>
      <w:r>
        <w:t xml:space="preserve">a validé cette approche via un benchmark exhaustif de</w:t>
      </w:r>
      <w:r>
        <w:t xml:space="preserve"> </w:t>
      </w:r>
      <w:r>
        <w:rPr>
          <w:b/>
          <w:bCs/>
        </w:rPr>
        <w:t xml:space="preserve">142 configurations</w:t>
      </w:r>
      <w:r>
        <w:t xml:space="preserve"> </w:t>
      </w:r>
      <w:r>
        <w:t xml:space="preserve">(14 agents</w:t>
      </w:r>
      <w:r>
        <w:t xml:space="preserve"> </w:t>
      </w:r>
      <m:oMath>
        <m:r>
          <m:rPr>
            <m:sty m:val="p"/>
          </m:rPr>
          <m:t>×</m:t>
        </m:r>
      </m:oMath>
      <w:r>
        <w:t xml:space="preserve"> </w:t>
      </w:r>
      <w:r>
        <w:t xml:space="preserve">10 politiques + 2 LLM). Le champion identifié —</w:t>
      </w:r>
      <w:r>
        <w:t xml:space="preserve"> </w:t>
      </w:r>
      <w:r>
        <w:rPr>
          <w:b/>
          <w:bCs/>
        </w:rPr>
        <w:t xml:space="preserve">H-DeepBandit</w:t>
      </w:r>
      <w:r>
        <w:rPr>
          <w:b/>
          <w:bCs/>
        </w:rPr>
        <w:t xml:space="preserve"> </w:t>
      </w:r>
      <m:oMath>
        <m:r>
          <m:rPr>
            <m:sty m:val="p"/>
          </m:rPr>
          <m:t>×</m:t>
        </m:r>
      </m:oMath>
      <w:r>
        <w:rPr>
          <w:b/>
          <w:bCs/>
        </w:rPr>
        <w:t xml:space="preserve"> </w:t>
      </w:r>
      <m:oMath>
        <m:r>
          <m:t>ε</m:t>
        </m:r>
      </m:oMath>
      <w:r>
        <w:rPr>
          <w:b/>
          <w:bCs/>
        </w:rPr>
        <w:t xml:space="preserve">-Constraint</w:t>
      </w:r>
      <w:r>
        <w:t xml:space="preserve"> </w:t>
      </w:r>
      <w:r>
        <w:t xml:space="preserve">— est le seul point conjoint (0.663, 0.094) dominant strictement son homologue classique sur les</w:t>
      </w:r>
      <w:r>
        <w:t xml:space="preserve"> </w:t>
      </w:r>
      <w:r>
        <w:rPr>
          <w:i/>
          <w:iCs/>
        </w:rPr>
        <w:t xml:space="preserve">deux</w:t>
      </w:r>
      <w:r>
        <w:t xml:space="preserve"> </w:t>
      </w:r>
      <w:r>
        <w:t xml:space="preserve">objectifs. Le transfert zéro-shot a démontré un avantage de</w:t>
      </w:r>
      <w:r>
        <w:t xml:space="preserve"> </w:t>
      </w:r>
      <m:oMath>
        <m:r>
          <m:rPr>
            <m:sty m:val="p"/>
          </m:rPr>
          <m:t>+</m:t>
        </m:r>
        <m:r>
          <m:t>0.132</m:t>
        </m:r>
      </m:oMath>
      <w:r>
        <w:t xml:space="preserve"> </w:t>
      </w:r>
      <w:r>
        <w:t xml:space="preserve">en engagement face au cold-start.</w:t>
      </w:r>
    </w:p>
    <w:p>
      <w:pPr>
        <w:pStyle w:val="BodyText"/>
      </w:pPr>
      <w:r>
        <w:rPr>
          <w:b/>
          <w:bCs/>
        </w:rPr>
        <w:t xml:space="preserve">Chapitre 4</w:t>
      </w:r>
      <w:r>
        <w:t xml:space="preserve"> </w:t>
      </w:r>
      <w:r>
        <w:t xml:space="preserve">a traduit ce modèle en un système temps réel opérationnel : architecture closed-loop, gestion du delayed feedback (FALCON), déploiement cloud-native (Docker / GCP). La validation a confirmé une latence de</w:t>
      </w:r>
      <w:r>
        <w:t xml:space="preserve"> </w:t>
      </w:r>
      <m:oMath>
        <m:r>
          <m:rPr>
            <m:sty m:val="p"/>
          </m:rPr>
          <m:t>∼</m:t>
        </m:r>
        <m:r>
          <m:t>9</m:t>
        </m:r>
      </m:oMath>
      <w:r>
        <w:t xml:space="preserve"> ms, un débit de 84 requêtes/seconde, et zéro erreur sous charge.</w:t>
      </w:r>
    </w:p>
    <w:bookmarkEnd w:id="187"/>
    <w:bookmarkStart w:id="188" w:name="apport-pour-devoteam-maroc"/>
    <w:p>
      <w:pPr>
        <w:pStyle w:val="Heading2"/>
      </w:pPr>
      <w:r>
        <w:t xml:space="preserve">Apport pour Devoteam Maroc</w:t>
      </w:r>
    </w:p>
    <w:p>
      <w:pPr>
        <w:pStyle w:val="FirstParagraph"/>
      </w:pPr>
      <w:r>
        <w:t xml:space="preserve">Ce projet livre à Devoteam un</w:t>
      </w:r>
      <w:r>
        <w:t xml:space="preserve"> </w:t>
      </w:r>
      <w:r>
        <w:rPr>
          <w:b/>
          <w:bCs/>
        </w:rPr>
        <w:t xml:space="preserve">accélérateur technologique</w:t>
      </w:r>
      <w:r>
        <w:t xml:space="preserve"> </w:t>
      </w:r>
      <w:r>
        <w:t xml:space="preserve">réutilisable :</w:t>
      </w:r>
    </w:p>
    <w:p>
      <w:pPr>
        <w:numPr>
          <w:ilvl w:val="0"/>
          <w:numId w:val="1041"/>
        </w:numPr>
      </w:pPr>
      <w:r>
        <w:t xml:space="preserve">Une architecture</w:t>
      </w:r>
      <w:r>
        <w:t xml:space="preserve"> </w:t>
      </w:r>
      <w:r>
        <w:rPr>
          <w:b/>
          <w:bCs/>
        </w:rPr>
        <w:t xml:space="preserve">cloud-native</w:t>
      </w:r>
      <w:r>
        <w:t xml:space="preserve"> </w:t>
      </w:r>
      <w:r>
        <w:t xml:space="preserve">(Docker</w:t>
      </w:r>
      <w:r>
        <w:t xml:space="preserve"> </w:t>
      </w:r>
      <m:oMath>
        <m:r>
          <m:rPr>
            <m:sty m:val="p"/>
          </m:rPr>
          <m:t>→</m:t>
        </m:r>
      </m:oMath>
      <w:r>
        <w:t xml:space="preserve"> </w:t>
      </w:r>
      <w:r>
        <w:t xml:space="preserve">GCP Cloud Run) via le pattern Factory, permettant un déploiement transparent chez n’importe quel client.</w:t>
      </w:r>
    </w:p>
    <w:p>
      <w:pPr>
        <w:numPr>
          <w:ilvl w:val="0"/>
          <w:numId w:val="1041"/>
        </w:numPr>
      </w:pPr>
      <w:r>
        <w:t xml:space="preserve">Un système</w:t>
      </w:r>
      <w:r>
        <w:t xml:space="preserve"> </w:t>
      </w:r>
      <w:r>
        <w:rPr>
          <w:b/>
          <w:bCs/>
        </w:rPr>
        <w:t xml:space="preserve">auto-adaptatif</w:t>
      </w:r>
      <w:r>
        <w:t xml:space="preserve"> </w:t>
      </w:r>
      <w:r>
        <w:t xml:space="preserve">qui apprend en continu sans re-entraînement offline.</w:t>
      </w:r>
    </w:p>
    <w:p>
      <w:pPr>
        <w:numPr>
          <w:ilvl w:val="0"/>
          <w:numId w:val="1041"/>
        </w:numPr>
      </w:pPr>
      <w:r>
        <w:t xml:space="preserve">Un</w:t>
      </w:r>
      <w:r>
        <w:t xml:space="preserve"> </w:t>
      </w:r>
      <w:r>
        <w:rPr>
          <w:b/>
          <w:bCs/>
        </w:rPr>
        <w:t xml:space="preserve">framework de benchmark</w:t>
      </w:r>
      <w:r>
        <w:t xml:space="preserve"> </w:t>
      </w:r>
      <w:r>
        <w:t xml:space="preserve">(142 configurations) permettant d’évaluer objectivement les performances de tout nouvel agent ou politique.</w:t>
      </w:r>
    </w:p>
    <w:bookmarkEnd w:id="188"/>
    <w:bookmarkStart w:id="263" w:name="perspectives"/>
    <w:p>
      <w:pPr>
        <w:pStyle w:val="Heading2"/>
      </w:pPr>
      <w:r>
        <w:t xml:space="preserve">Perspectives</w:t>
      </w:r>
    </w:p>
    <w:p>
      <w:pPr>
        <w:pStyle w:val="FirstParagraph"/>
      </w:pPr>
      <w:r>
        <w:t xml:space="preserve">Plusieurs axes d’amélioration sont envisageables :</w:t>
      </w:r>
    </w:p>
    <w:p>
      <w:pPr>
        <w:numPr>
          <w:ilvl w:val="0"/>
          <w:numId w:val="1042"/>
        </w:numPr>
      </w:pPr>
      <w:r>
        <w:rPr>
          <w:b/>
          <w:bCs/>
        </w:rPr>
        <w:t xml:space="preserve">Intégration Google Ads API</w:t>
      </w:r>
      <w:r>
        <w:t xml:space="preserve"> </w:t>
      </w:r>
      <w:r>
        <w:t xml:space="preserve">: connecter le système aux flux réels d’impressions pour une validation en conditions de production.</w:t>
      </w:r>
    </w:p>
    <w:p>
      <w:pPr>
        <w:numPr>
          <w:ilvl w:val="0"/>
          <w:numId w:val="1042"/>
        </w:numPr>
      </w:pPr>
      <w:r>
        <w:rPr>
          <w:b/>
          <w:bCs/>
        </w:rPr>
        <w:t xml:space="preserve">Deep Reinforcement Learning</w:t>
      </w:r>
      <w:r>
        <w:t xml:space="preserve"> </w:t>
      </w:r>
      <w:r>
        <w:t xml:space="preserve">: explorer les architectures PPO/SAC avec mémoire d’états pour capturer les dynamiques séquentielles des utilisateurs.</w:t>
      </w:r>
    </w:p>
    <w:p>
      <w:pPr>
        <w:numPr>
          <w:ilvl w:val="0"/>
          <w:numId w:val="1042"/>
        </w:numPr>
      </w:pPr>
      <w:r>
        <w:rPr>
          <w:b/>
          <w:bCs/>
        </w:rPr>
        <w:t xml:space="preserve">A/B Testing en production</w:t>
      </w:r>
      <w:r>
        <w:t xml:space="preserve"> </w:t>
      </w:r>
      <w:r>
        <w:t xml:space="preserve">: déployer un protocole de test contrôlé pour quantifier le gain business réel.</w:t>
      </w:r>
    </w:p>
    <w:p>
      <w:pPr>
        <w:numPr>
          <w:ilvl w:val="0"/>
          <w:numId w:val="1042"/>
        </w:numPr>
      </w:pPr>
      <w:r>
        <w:rPr>
          <w:b/>
          <w:bCs/>
        </w:rPr>
        <w:t xml:space="preserve">Multi-tenant</w:t>
      </w:r>
      <w:r>
        <w:t xml:space="preserve"> </w:t>
      </w:r>
      <w:r>
        <w:t xml:space="preserve">: adapter l’architecture pour servir plusieurs clients simultanément avec des modèles isolés.</w:t>
      </w:r>
    </w:p>
    <w:p>
      <w:pPr>
        <w:numPr>
          <w:ilvl w:val="0"/>
          <w:numId w:val="1042"/>
        </w:numPr>
      </w:pPr>
      <w:r>
        <w:rPr>
          <w:b/>
          <w:bCs/>
        </w:rPr>
        <w:t xml:space="preserve">Fine-tuning des embeddings</w:t>
      </w:r>
      <w:r>
        <w:t xml:space="preserve"> </w:t>
      </w:r>
      <w:r>
        <w:t xml:space="preserve">: spécialiser le modèle SentenceTransformer sur des données publicitaires réelles.</w:t>
      </w:r>
    </w:p>
    <w:bookmarkStart w:id="262" w:name="refs"/>
    <w:bookmarkStart w:id="190" w:name="ref-agarwal2014taming"/>
    <w:p>
      <w:pPr>
        <w:pStyle w:val="Bibliography"/>
      </w:pPr>
      <w:r>
        <w:t xml:space="preserve">Agarwal, Alekh, Daniel Hsu, Satyen Kale, John Langford, Lihong Li, and Robert E. Schapire. 2014.</w:t>
      </w:r>
      <w:r>
        <w:t xml:space="preserve"> </w:t>
      </w:r>
      <w:r>
        <w:t xml:space="preserve">“</w:t>
      </w:r>
      <w:hyperlink r:id="rId189">
        <w:r>
          <w:rPr>
            <w:rStyle w:val="Hyperlink"/>
          </w:rPr>
          <w:t xml:space="preserve">Taming the Monster: A Fast and Simple Algorithm for Contextual Bandits</w:t>
        </w:r>
      </w:hyperlink>
      <w:r>
        <w:t xml:space="preserve">.”</w:t>
      </w:r>
      <w:r>
        <w:t xml:space="preserve"> </w:t>
      </w:r>
      <w:r>
        <w:rPr>
          <w:i/>
          <w:iCs/>
        </w:rPr>
        <w:t xml:space="preserve">Proceedings of the 31st International Conference on Machine Learning (ICML)</w:t>
      </w:r>
      <w:r>
        <w:t xml:space="preserve">, 1638–46.</w:t>
      </w:r>
    </w:p>
    <w:bookmarkEnd w:id="190"/>
    <w:bookmarkStart w:id="192" w:name="ref-agrawal2013thompson"/>
    <w:p>
      <w:pPr>
        <w:pStyle w:val="Bibliography"/>
      </w:pPr>
      <w:r>
        <w:t xml:space="preserve">Agrawal, Shipra, and Navin Goyal. 2013.</w:t>
      </w:r>
      <w:r>
        <w:t xml:space="preserve"> </w:t>
      </w:r>
      <w:r>
        <w:t xml:space="preserve">“</w:t>
      </w:r>
      <w:hyperlink r:id="rId191">
        <w:r>
          <w:rPr>
            <w:rStyle w:val="Hyperlink"/>
          </w:rPr>
          <w:t xml:space="preserve">Thompson Sampling for Contextual Bandits with Linear Payoffs</w:t>
        </w:r>
      </w:hyperlink>
      <w:r>
        <w:t xml:space="preserve">.”</w:t>
      </w:r>
      <w:r>
        <w:t xml:space="preserve"> </w:t>
      </w:r>
      <w:r>
        <w:rPr>
          <w:i/>
          <w:iCs/>
        </w:rPr>
        <w:t xml:space="preserve">Proceedings of the 30th International Conference on Machine Learning (ICML)</w:t>
      </w:r>
      <w:r>
        <w:t xml:space="preserve">, 127–35.</w:t>
      </w:r>
    </w:p>
    <w:bookmarkEnd w:id="192"/>
    <w:bookmarkStart w:id="194" w:name="ref-bobadilla2013recommender"/>
    <w:p>
      <w:pPr>
        <w:pStyle w:val="Bibliography"/>
      </w:pPr>
      <w:r>
        <w:t xml:space="preserve">Bobadilla, Jesús, Fernando Ortega, Antonio Hernando, and Abraham Gutiérrez. 2013.</w:t>
      </w:r>
      <w:r>
        <w:t xml:space="preserve"> </w:t>
      </w:r>
      <w:r>
        <w:t xml:space="preserve">“</w:t>
      </w:r>
      <w:hyperlink r:id="rId193">
        <w:r>
          <w:rPr>
            <w:rStyle w:val="Hyperlink"/>
          </w:rPr>
          <w:t xml:space="preserve">Recommender Systems Survey</w:t>
        </w:r>
      </w:hyperlink>
      <w:r>
        <w:t xml:space="preserve">.”</w:t>
      </w:r>
      <w:r>
        <w:t xml:space="preserve"> </w:t>
      </w:r>
      <w:r>
        <w:rPr>
          <w:i/>
          <w:iCs/>
        </w:rPr>
        <w:t xml:space="preserve">Knowledge-Based Systems</w:t>
      </w:r>
      <w:r>
        <w:t xml:space="preserve"> </w:t>
      </w:r>
      <w:r>
        <w:t xml:space="preserve">46: 109–32.</w:t>
      </w:r>
    </w:p>
    <w:bookmarkEnd w:id="194"/>
    <w:bookmarkStart w:id="196" w:name="ref-chapelle2014simple"/>
    <w:p>
      <w:pPr>
        <w:pStyle w:val="Bibliography"/>
      </w:pPr>
      <w:r>
        <w:t xml:space="preserve">Chapelle, Olivier, Eren Manavoglu, and Rómer Rosales. 2014.</w:t>
      </w:r>
      <w:r>
        <w:t xml:space="preserve"> </w:t>
      </w:r>
      <w:r>
        <w:t xml:space="preserve">“</w:t>
      </w:r>
      <w:hyperlink r:id="rId195">
        <w:r>
          <w:rPr>
            <w:rStyle w:val="Hyperlink"/>
          </w:rPr>
          <w:t xml:space="preserve">Simple and Scalable Response Prediction for Display Advertising</w:t>
        </w:r>
      </w:hyperlink>
      <w:r>
        <w:t xml:space="preserve">.”</w:t>
      </w:r>
      <w:r>
        <w:t xml:space="preserve"> </w:t>
      </w:r>
      <w:r>
        <w:rPr>
          <w:i/>
          <w:iCs/>
        </w:rPr>
        <w:t xml:space="preserve">ACM Transactions on Intelligent Systems and Technology</w:t>
      </w:r>
      <w:r>
        <w:t xml:space="preserve"> </w:t>
      </w:r>
      <w:r>
        <w:t xml:space="preserve">5 (4): 1–34.</w:t>
      </w:r>
    </w:p>
    <w:bookmarkEnd w:id="196"/>
    <w:bookmarkStart w:id="198" w:name="ref-deb2001multi"/>
    <w:p>
      <w:pPr>
        <w:pStyle w:val="Bibliography"/>
      </w:pPr>
      <w:r>
        <w:t xml:space="preserve">Deb, Kalyanmoy. 2001.</w:t>
      </w:r>
      <w:r>
        <w:t xml:space="preserve"> </w:t>
      </w:r>
      <w:hyperlink r:id="rId197">
        <w:r>
          <w:rPr>
            <w:rStyle w:val="Hyperlink"/>
            <w:i/>
            <w:iCs/>
          </w:rPr>
          <w:t xml:space="preserve">Multi-Objective Optimization Using Evolutionary Algorithms</w:t>
        </w:r>
      </w:hyperlink>
      <w:r>
        <w:t xml:space="preserve">. John Wiley &amp; Sons.</w:t>
      </w:r>
    </w:p>
    <w:bookmarkEnd w:id="198"/>
    <w:bookmarkStart w:id="200" w:name="ref-deb2002fast"/>
    <w:p>
      <w:pPr>
        <w:pStyle w:val="Bibliography"/>
      </w:pPr>
      <w:r>
        <w:t xml:space="preserve">Deb, Kalyanmoy, Amrit Pratap, Sameer Agarwal, and T. Meyarivan. 2002.</w:t>
      </w:r>
      <w:r>
        <w:t xml:space="preserve"> </w:t>
      </w:r>
      <w:r>
        <w:t xml:space="preserve">“</w:t>
      </w:r>
      <w:hyperlink r:id="rId199">
        <w:r>
          <w:rPr>
            <w:rStyle w:val="Hyperlink"/>
          </w:rPr>
          <w:t xml:space="preserve">A Fast and Elitist Multiobjective Genetic Algorithm:</w:t>
        </w:r>
        <w:r>
          <w:rPr>
            <w:rStyle w:val="Hyperlink"/>
          </w:rPr>
          <w:t xml:space="preserve"> </w:t>
        </w:r>
        <w:r>
          <w:rPr>
            <w:rStyle w:val="Hyperlink"/>
          </w:rPr>
          <w:t xml:space="preserve">NSGA-II</w:t>
        </w:r>
      </w:hyperlink>
      <w:r>
        <w:t xml:space="preserve">.”</w:t>
      </w:r>
      <w:r>
        <w:t xml:space="preserve"> </w:t>
      </w:r>
      <w:r>
        <w:rPr>
          <w:i/>
          <w:iCs/>
        </w:rPr>
        <w:t xml:space="preserve">IEEE Transactions on Evolutionary Computation</w:t>
      </w:r>
      <w:r>
        <w:t xml:space="preserve"> </w:t>
      </w:r>
      <w:r>
        <w:t xml:space="preserve">6 (2): 182–97.</w:t>
      </w:r>
    </w:p>
    <w:bookmarkEnd w:id="200"/>
    <w:bookmarkStart w:id="202" w:name="ref-ehrgott2005multicriteria"/>
    <w:p>
      <w:pPr>
        <w:pStyle w:val="Bibliography"/>
      </w:pPr>
      <w:r>
        <w:t xml:space="preserve">Ehrgott, Matthias. 2005.</w:t>
      </w:r>
      <w:r>
        <w:t xml:space="preserve"> </w:t>
      </w:r>
      <w:hyperlink r:id="rId201">
        <w:r>
          <w:rPr>
            <w:rStyle w:val="Hyperlink"/>
            <w:i/>
            <w:iCs/>
          </w:rPr>
          <w:t xml:space="preserve">Multicriteria Optimization</w:t>
        </w:r>
      </w:hyperlink>
      <w:r>
        <w:t xml:space="preserve">. 2nd ed. Springer.</w:t>
      </w:r>
    </w:p>
    <w:bookmarkEnd w:id="202"/>
    <w:bookmarkStart w:id="204" w:name="ref-ehrgott2000survey"/>
    <w:p>
      <w:pPr>
        <w:pStyle w:val="Bibliography"/>
      </w:pPr>
      <w:r>
        <w:t xml:space="preserve">Ehrgott, Matthias, and Xavier Gandibleux. 2000.</w:t>
      </w:r>
      <w:r>
        <w:t xml:space="preserve"> </w:t>
      </w:r>
      <w:r>
        <w:t xml:space="preserve">“</w:t>
      </w:r>
      <w:hyperlink r:id="rId203">
        <w:r>
          <w:rPr>
            <w:rStyle w:val="Hyperlink"/>
          </w:rPr>
          <w:t xml:space="preserve">A Survey and Annotated Bibliography of Multiobjective Combinatorial Optimization</w:t>
        </w:r>
      </w:hyperlink>
      <w:r>
        <w:t xml:space="preserve">.”</w:t>
      </w:r>
      <w:r>
        <w:t xml:space="preserve"> </w:t>
      </w:r>
      <w:r>
        <w:rPr>
          <w:i/>
          <w:iCs/>
        </w:rPr>
        <w:t xml:space="preserve">OR Spectrum</w:t>
      </w:r>
      <w:r>
        <w:t xml:space="preserve"> </w:t>
      </w:r>
      <w:r>
        <w:t xml:space="preserve">22 (4): 425–60.</w:t>
      </w:r>
    </w:p>
    <w:bookmarkEnd w:id="204"/>
    <w:bookmarkStart w:id="206" w:name="ref-taxrec2024"/>
    <w:p>
      <w:pPr>
        <w:pStyle w:val="Bibliography"/>
      </w:pPr>
      <w:r>
        <w:t xml:space="preserve">Fang, Kaiying, Sheng Li, and Xiangnan Ye. 2024.</w:t>
      </w:r>
      <w:r>
        <w:t xml:space="preserve"> </w:t>
      </w:r>
      <w:r>
        <w:t xml:space="preserve">“</w:t>
      </w:r>
      <w:hyperlink r:id="rId205">
        <w:r>
          <w:rPr>
            <w:rStyle w:val="Hyperlink"/>
          </w:rPr>
          <w:t xml:space="preserve">TaxRec: Taxonomic Categorization for Zero-Shot Recommendations with LLMs</w:t>
        </w:r>
      </w:hyperlink>
      <w:r>
        <w:t xml:space="preserve">.”</w:t>
      </w:r>
      <w:r>
        <w:t xml:space="preserve"> </w:t>
      </w:r>
      <w:r>
        <w:rPr>
          <w:i/>
          <w:iCs/>
        </w:rPr>
        <w:t xml:space="preserve">arXiv Preprint</w:t>
      </w:r>
      <w:r>
        <w:t xml:space="preserve">.</w:t>
      </w:r>
    </w:p>
    <w:bookmarkEnd w:id="206"/>
    <w:bookmarkStart w:id="208" w:name="ref-gentile2014online"/>
    <w:p>
      <w:pPr>
        <w:pStyle w:val="Bibliography"/>
      </w:pPr>
      <w:r>
        <w:t xml:space="preserve">Gentile, Claudio, Shuai Li, and Giovanni Zappella. 2014.</w:t>
      </w:r>
      <w:r>
        <w:t xml:space="preserve"> </w:t>
      </w:r>
      <w:r>
        <w:t xml:space="preserve">“</w:t>
      </w:r>
      <w:hyperlink r:id="rId207">
        <w:r>
          <w:rPr>
            <w:rStyle w:val="Hyperlink"/>
          </w:rPr>
          <w:t xml:space="preserve">Online Clustering of Bandits</w:t>
        </w:r>
      </w:hyperlink>
      <w:r>
        <w:t xml:space="preserve">.”</w:t>
      </w:r>
      <w:r>
        <w:t xml:space="preserve"> </w:t>
      </w:r>
      <w:r>
        <w:rPr>
          <w:i/>
          <w:iCs/>
        </w:rPr>
        <w:t xml:space="preserve">Proceedings of the 31st International Conference on Machine Learning (ICML)</w:t>
      </w:r>
      <w:r>
        <w:t xml:space="preserve">.</w:t>
      </w:r>
    </w:p>
    <w:bookmarkEnd w:id="208"/>
    <w:bookmarkStart w:id="210" w:name="ref-goldfarb2011online"/>
    <w:p>
      <w:pPr>
        <w:pStyle w:val="Bibliography"/>
      </w:pPr>
      <w:r>
        <w:t xml:space="preserve">Goldfarb, Avi, and Catherine Tucker. 2011.</w:t>
      </w:r>
      <w:r>
        <w:t xml:space="preserve"> </w:t>
      </w:r>
      <w:r>
        <w:t xml:space="preserve">“</w:t>
      </w:r>
      <w:hyperlink r:id="rId209">
        <w:r>
          <w:rPr>
            <w:rStyle w:val="Hyperlink"/>
          </w:rPr>
          <w:t xml:space="preserve">Online Display Advertising: Targeting and Obtrusiveness</w:t>
        </w:r>
      </w:hyperlink>
      <w:r>
        <w:t xml:space="preserve">.”</w:t>
      </w:r>
      <w:r>
        <w:t xml:space="preserve"> </w:t>
      </w:r>
      <w:r>
        <w:rPr>
          <w:i/>
          <w:iCs/>
        </w:rPr>
        <w:t xml:space="preserve">Marketing Science</w:t>
      </w:r>
      <w:r>
        <w:t xml:space="preserve"> </w:t>
      </w:r>
      <w:r>
        <w:t xml:space="preserve">30 (3): 389–404.</w:t>
      </w:r>
    </w:p>
    <w:bookmarkEnd w:id="210"/>
    <w:bookmarkStart w:id="212" w:name="ref-he2014practical"/>
    <w:p>
      <w:pPr>
        <w:pStyle w:val="Bibliography"/>
      </w:pPr>
      <w:r>
        <w:t xml:space="preserve">He, Xinran, Junfeng Pan, Ou Jin, et al. 2014.</w:t>
      </w:r>
      <w:r>
        <w:t xml:space="preserve"> </w:t>
      </w:r>
      <w:r>
        <w:t xml:space="preserve">“</w:t>
      </w:r>
      <w:hyperlink r:id="rId211">
        <w:r>
          <w:rPr>
            <w:rStyle w:val="Hyperlink"/>
          </w:rPr>
          <w:t xml:space="preserve">Practical Lessons from Predicting Clicks on Ads at Facebook</w:t>
        </w:r>
      </w:hyperlink>
      <w:r>
        <w:t xml:space="preserve">.”</w:t>
      </w:r>
      <w:r>
        <w:t xml:space="preserve"> </w:t>
      </w:r>
      <w:r>
        <w:rPr>
          <w:i/>
          <w:iCs/>
        </w:rPr>
        <w:t xml:space="preserve">Proceedings of the 8th International Workshop on Data Mining for Online Advertising (ADKDD)</w:t>
      </w:r>
      <w:r>
        <w:t xml:space="preserve">, 1–9.</w:t>
      </w:r>
    </w:p>
    <w:bookmarkEnd w:id="212"/>
    <w:bookmarkStart w:id="214" w:name="ref-hou2024zeroshot"/>
    <w:p>
      <w:pPr>
        <w:pStyle w:val="Bibliography"/>
      </w:pPr>
      <w:r>
        <w:t xml:space="preserve">Hou, Yuansheng, Chengyue Mu, Kaize Ding, et al. 2024.</w:t>
      </w:r>
      <w:r>
        <w:t xml:space="preserve"> </w:t>
      </w:r>
      <w:r>
        <w:t xml:space="preserve">“</w:t>
      </w:r>
      <w:hyperlink r:id="rId213">
        <w:r>
          <w:rPr>
            <w:rStyle w:val="Hyperlink"/>
          </w:rPr>
          <w:t xml:space="preserve">Zero-Shot Recommendation as Language Modeling</w:t>
        </w:r>
      </w:hyperlink>
      <w:r>
        <w:t xml:space="preserve">.”</w:t>
      </w:r>
      <w:r>
        <w:t xml:space="preserve"> </w:t>
      </w:r>
      <w:r>
        <w:rPr>
          <w:i/>
          <w:iCs/>
        </w:rPr>
        <w:t xml:space="preserve">Proceedings of the 46th European Conference on Information Retrieval (ECIR)</w:t>
      </w:r>
      <w:r>
        <w:t xml:space="preserve">.</w:t>
      </w:r>
    </w:p>
    <w:bookmarkEnd w:id="214"/>
    <w:bookmarkStart w:id="216" w:name="ref-hou2024zeroranker"/>
    <w:p>
      <w:pPr>
        <w:pStyle w:val="Bibliography"/>
      </w:pPr>
      <w:r>
        <w:t xml:space="preserve">Hou, Yupeng, Junjie Zhang, Zihan Lin, et al. 2024.</w:t>
      </w:r>
      <w:r>
        <w:t xml:space="preserve"> </w:t>
      </w:r>
      <w:r>
        <w:t xml:space="preserve">“</w:t>
      </w:r>
      <w:hyperlink r:id="rId215">
        <w:r>
          <w:rPr>
            <w:rStyle w:val="Hyperlink"/>
          </w:rPr>
          <w:t xml:space="preserve">Large Language Models Are Zero-Shot Rankers for Recommender Systems</w:t>
        </w:r>
      </w:hyperlink>
      <w:r>
        <w:t xml:space="preserve">.”</w:t>
      </w:r>
      <w:r>
        <w:t xml:space="preserve"> </w:t>
      </w:r>
      <w:r>
        <w:rPr>
          <w:i/>
          <w:iCs/>
        </w:rPr>
        <w:t xml:space="preserve">Proceedings of the 46th European Conference on Information Retrieval (ECIR)</w:t>
      </w:r>
      <w:r>
        <w:t xml:space="preserve">.</w:t>
      </w:r>
    </w:p>
    <w:bookmarkEnd w:id="216"/>
    <w:bookmarkStart w:id="218" w:name="ref-iab2024adspend"/>
    <w:p>
      <w:pPr>
        <w:pStyle w:val="Bibliography"/>
      </w:pPr>
      <w:r>
        <w:t xml:space="preserve">Interactive Advertising Bureau (IAB). 2024.</w:t>
      </w:r>
      <w:r>
        <w:t xml:space="preserve"> </w:t>
      </w:r>
      <w:hyperlink r:id="rId217">
        <w:r>
          <w:rPr>
            <w:rStyle w:val="Hyperlink"/>
            <w:i/>
            <w:iCs/>
          </w:rPr>
          <w:t xml:space="preserve">Internet Advertising Revenue Report: Full Year 2023 Results</w:t>
        </w:r>
      </w:hyperlink>
      <w:r>
        <w:t xml:space="preserve">. IAB / PwC.</w:t>
      </w:r>
    </w:p>
    <w:bookmarkEnd w:id="218"/>
    <w:bookmarkStart w:id="220" w:name="ref-joulani2013online"/>
    <w:p>
      <w:pPr>
        <w:pStyle w:val="Bibliography"/>
      </w:pPr>
      <w:r>
        <w:t xml:space="preserve">Joulani, Pooria, András Györfi, and Csaba Szepesvári. 2013.</w:t>
      </w:r>
      <w:r>
        <w:t xml:space="preserve"> </w:t>
      </w:r>
      <w:r>
        <w:t xml:space="preserve">“</w:t>
      </w:r>
      <w:hyperlink r:id="rId219">
        <w:r>
          <w:rPr>
            <w:rStyle w:val="Hyperlink"/>
          </w:rPr>
          <w:t xml:space="preserve">Online Learning Under Delayed Feedback</w:t>
        </w:r>
      </w:hyperlink>
      <w:r>
        <w:t xml:space="preserve">.”</w:t>
      </w:r>
      <w:r>
        <w:t xml:space="preserve"> </w:t>
      </w:r>
      <w:r>
        <w:rPr>
          <w:i/>
          <w:iCs/>
        </w:rPr>
        <w:t xml:space="preserve">Proceedings of the 30th International Conference on Machine Learning (ICML)</w:t>
      </w:r>
      <w:r>
        <w:t xml:space="preserve">.</w:t>
      </w:r>
    </w:p>
    <w:bookmarkEnd w:id="220"/>
    <w:bookmarkStart w:id="222" w:name="ref-koren2009matrix"/>
    <w:p>
      <w:pPr>
        <w:pStyle w:val="Bibliography"/>
      </w:pPr>
      <w:r>
        <w:t xml:space="preserve">Koren, Yehuda, Robert Bell, and Chris Volinsky. 2009.</w:t>
      </w:r>
      <w:r>
        <w:t xml:space="preserve"> </w:t>
      </w:r>
      <w:r>
        <w:t xml:space="preserve">“</w:t>
      </w:r>
      <w:hyperlink r:id="rId221">
        <w:r>
          <w:rPr>
            <w:rStyle w:val="Hyperlink"/>
          </w:rPr>
          <w:t xml:space="preserve">Matrix Factorization Techniques for Recommender Systems</w:t>
        </w:r>
      </w:hyperlink>
      <w:r>
        <w:t xml:space="preserve">.”</w:t>
      </w:r>
      <w:r>
        <w:t xml:space="preserve"> </w:t>
      </w:r>
      <w:r>
        <w:rPr>
          <w:i/>
          <w:iCs/>
        </w:rPr>
        <w:t xml:space="preserve">Computer</w:t>
      </w:r>
      <w:r>
        <w:t xml:space="preserve"> </w:t>
      </w:r>
      <w:r>
        <w:t xml:space="preserve">42 (8): 30–37.</w:t>
      </w:r>
    </w:p>
    <w:bookmarkEnd w:id="222"/>
    <w:bookmarkStart w:id="223" w:name="ref-ktena2019addressing"/>
    <w:p>
      <w:pPr>
        <w:pStyle w:val="Bibliography"/>
      </w:pPr>
      <w:r>
        <w:t xml:space="preserve">Ktena, Ira, Alymbek Aly, Anastasia Krithara, et al. 2019.</w:t>
      </w:r>
      <w:r>
        <w:t xml:space="preserve"> </w:t>
      </w:r>
      <w:r>
        <w:t xml:space="preserve">“Addressing Delayed Feedback for Continuous Training with Neural Networks in CTR Prediction.”</w:t>
      </w:r>
      <w:r>
        <w:t xml:space="preserve"> </w:t>
      </w:r>
      <w:r>
        <w:rPr>
          <w:i/>
          <w:iCs/>
        </w:rPr>
        <w:t xml:space="preserve">Proceedings of the 13th ACM Conference on Recommender Systems</w:t>
      </w:r>
      <w:r>
        <w:t xml:space="preserve">, 187–95.</w:t>
      </w:r>
    </w:p>
    <w:bookmarkEnd w:id="223"/>
    <w:bookmarkStart w:id="225" w:name="ref-lakshminarayanan2017simple"/>
    <w:p>
      <w:pPr>
        <w:pStyle w:val="Bibliography"/>
      </w:pPr>
      <w:r>
        <w:t xml:space="preserve">Lakshminarayanan, Balaji, Alexander Pritzel, and Charles Blundell. 2017.</w:t>
      </w:r>
      <w:r>
        <w:t xml:space="preserve"> </w:t>
      </w:r>
      <w:r>
        <w:t xml:space="preserve">“</w:t>
      </w:r>
      <w:hyperlink r:id="rId224">
        <w:r>
          <w:rPr>
            <w:rStyle w:val="Hyperlink"/>
          </w:rPr>
          <w:t xml:space="preserve">Simple and Scalable Predictive Uncertainty Estimation Using Deep Ensembles</w:t>
        </w:r>
      </w:hyperlink>
      <w:r>
        <w:t xml:space="preserve">.”</w:t>
      </w:r>
      <w:r>
        <w:t xml:space="preserve"> </w:t>
      </w:r>
      <w:r>
        <w:rPr>
          <w:i/>
          <w:iCs/>
        </w:rPr>
        <w:t xml:space="preserve">Advances in Neural Information Processing Systems (NeurIPS)</w:t>
      </w:r>
      <w:r>
        <w:t xml:space="preserve"> </w:t>
      </w:r>
      <w:r>
        <w:t xml:space="preserve">30.</w:t>
      </w:r>
    </w:p>
    <w:bookmarkEnd w:id="225"/>
    <w:bookmarkStart w:id="227" w:name="ref-lattimore2020bandit"/>
    <w:p>
      <w:pPr>
        <w:pStyle w:val="Bibliography"/>
      </w:pPr>
      <w:r>
        <w:t xml:space="preserve">Lattimore, Tor, and Csaba Szepesvári. 2020.</w:t>
      </w:r>
      <w:r>
        <w:t xml:space="preserve"> </w:t>
      </w:r>
      <w:hyperlink r:id="rId226">
        <w:r>
          <w:rPr>
            <w:rStyle w:val="Hyperlink"/>
            <w:i/>
            <w:iCs/>
          </w:rPr>
          <w:t xml:space="preserve">Bandit Algorithms</w:t>
        </w:r>
      </w:hyperlink>
      <w:r>
        <w:t xml:space="preserve">. Cambridge University Press.</w:t>
      </w:r>
    </w:p>
    <w:bookmarkEnd w:id="227"/>
    <w:bookmarkStart w:id="229" w:name="ref-li2010contextual"/>
    <w:p>
      <w:pPr>
        <w:pStyle w:val="Bibliography"/>
      </w:pPr>
      <w:r>
        <w:t xml:space="preserve">Li, Lihong, Wei Chu, John Langford, and Robert E. Schapire. 2010.</w:t>
      </w:r>
      <w:r>
        <w:t xml:space="preserve"> </w:t>
      </w:r>
      <w:r>
        <w:t xml:space="preserve">“</w:t>
      </w:r>
      <w:hyperlink r:id="rId228">
        <w:r>
          <w:rPr>
            <w:rStyle w:val="Hyperlink"/>
          </w:rPr>
          <w:t xml:space="preserve">A Contextual-Bandit Approach to Personalized News Article Recommendation</w:t>
        </w:r>
      </w:hyperlink>
      <w:r>
        <w:t xml:space="preserve">.”</w:t>
      </w:r>
      <w:r>
        <w:t xml:space="preserve"> </w:t>
      </w:r>
      <w:r>
        <w:rPr>
          <w:i/>
          <w:iCs/>
        </w:rPr>
        <w:t xml:space="preserve">Proceedings of the 19th International Conference on World Wide Web (WWW)</w:t>
      </w:r>
      <w:r>
        <w:t xml:space="preserve">, 661–70.</w:t>
      </w:r>
    </w:p>
    <w:bookmarkEnd w:id="229"/>
    <w:bookmarkStart w:id="231" w:name="ref-lin2024rella"/>
    <w:p>
      <w:pPr>
        <w:pStyle w:val="Bibliography"/>
      </w:pPr>
      <w:r>
        <w:t xml:space="preserve">Lin, Junjie, Xinyi Dai, Yupeng Xi, et al. 2024.</w:t>
      </w:r>
      <w:r>
        <w:t xml:space="preserve"> </w:t>
      </w:r>
      <w:r>
        <w:t xml:space="preserve">“</w:t>
      </w:r>
      <w:hyperlink r:id="rId230">
        <w:r>
          <w:rPr>
            <w:rStyle w:val="Hyperlink"/>
          </w:rPr>
          <w:t xml:space="preserve">How Can Recommender Systems Benefit from Large Language Models: A Survey</w:t>
        </w:r>
      </w:hyperlink>
      <w:r>
        <w:t xml:space="preserve">.”</w:t>
      </w:r>
      <w:r>
        <w:t xml:space="preserve"> </w:t>
      </w:r>
      <w:r>
        <w:rPr>
          <w:i/>
          <w:iCs/>
        </w:rPr>
        <w:t xml:space="preserve">ACM Transactions on Information Systems</w:t>
      </w:r>
      <w:r>
        <w:t xml:space="preserve"> </w:t>
      </w:r>
      <w:r>
        <w:t xml:space="preserve">42 (4): 1–47.</w:t>
      </w:r>
    </w:p>
    <w:bookmarkEnd w:id="231"/>
    <w:bookmarkStart w:id="233" w:name="ref-marler2004survey"/>
    <w:p>
      <w:pPr>
        <w:pStyle w:val="Bibliography"/>
      </w:pPr>
      <w:r>
        <w:t xml:space="preserve">Marler, R. Timothy, and Jasbir S. Arora. 2004.</w:t>
      </w:r>
      <w:r>
        <w:t xml:space="preserve"> </w:t>
      </w:r>
      <w:r>
        <w:t xml:space="preserve">“</w:t>
      </w:r>
      <w:hyperlink r:id="rId232">
        <w:r>
          <w:rPr>
            <w:rStyle w:val="Hyperlink"/>
          </w:rPr>
          <w:t xml:space="preserve">Survey of Multi-Objective Optimization Methods for Engineering</w:t>
        </w:r>
      </w:hyperlink>
      <w:r>
        <w:t xml:space="preserve">.”</w:t>
      </w:r>
      <w:r>
        <w:t xml:space="preserve"> </w:t>
      </w:r>
      <w:r>
        <w:rPr>
          <w:i/>
          <w:iCs/>
        </w:rPr>
        <w:t xml:space="preserve">Structural and Multidisciplinary Optimization</w:t>
      </w:r>
      <w:r>
        <w:t xml:space="preserve"> </w:t>
      </w:r>
      <w:r>
        <w:t xml:space="preserve">26 (6): 369–95.</w:t>
      </w:r>
    </w:p>
    <w:bookmarkEnd w:id="233"/>
    <w:bookmarkStart w:id="235" w:name="ref-mcmahan2013ad"/>
    <w:p>
      <w:pPr>
        <w:pStyle w:val="Bibliography"/>
      </w:pPr>
      <w:r>
        <w:t xml:space="preserve">McMahan, H. Brendan, Gary Holt, D. Sculley, et al. 2013.</w:t>
      </w:r>
      <w:r>
        <w:t xml:space="preserve"> </w:t>
      </w:r>
      <w:r>
        <w:t xml:space="preserve">“</w:t>
      </w:r>
      <w:hyperlink r:id="rId234">
        <w:r>
          <w:rPr>
            <w:rStyle w:val="Hyperlink"/>
          </w:rPr>
          <w:t xml:space="preserve">Ad Click Prediction: A View from the Trenches</w:t>
        </w:r>
      </w:hyperlink>
      <w:r>
        <w:t xml:space="preserve">.”</w:t>
      </w:r>
      <w:r>
        <w:t xml:space="preserve"> </w:t>
      </w:r>
      <w:r>
        <w:rPr>
          <w:i/>
          <w:iCs/>
        </w:rPr>
        <w:t xml:space="preserve">Proceedings of the 19th ACM SIGKDD International Conference on Knowledge Discovery and Data Mining (KDD)</w:t>
      </w:r>
      <w:r>
        <w:t xml:space="preserve">, 1222–30.</w:t>
      </w:r>
    </w:p>
    <w:bookmarkEnd w:id="235"/>
    <w:bookmarkStart w:id="237" w:name="ref-mikolov2013distributed"/>
    <w:p>
      <w:pPr>
        <w:pStyle w:val="Bibliography"/>
      </w:pPr>
      <w:r>
        <w:t xml:space="preserve">Mikolov, Tomas, Ilya Sutskever, Kai Chen, Greg S. Corrado, and Jeff Dean. 2013.</w:t>
      </w:r>
      <w:r>
        <w:t xml:space="preserve"> </w:t>
      </w:r>
      <w:r>
        <w:t xml:space="preserve">“</w:t>
      </w:r>
      <w:hyperlink r:id="rId236">
        <w:r>
          <w:rPr>
            <w:rStyle w:val="Hyperlink"/>
          </w:rPr>
          <w:t xml:space="preserve">Distributed Representations of Words and Phrases and Their Compositionality</w:t>
        </w:r>
      </w:hyperlink>
      <w:r>
        <w:t xml:space="preserve">.”</w:t>
      </w:r>
      <w:r>
        <w:t xml:space="preserve"> </w:t>
      </w:r>
      <w:r>
        <w:rPr>
          <w:i/>
          <w:iCs/>
        </w:rPr>
        <w:t xml:space="preserve">Advances in Neural Information Processing Systems (NeurIPS)</w:t>
      </w:r>
      <w:r>
        <w:t xml:space="preserve">.</w:t>
      </w:r>
    </w:p>
    <w:bookmarkEnd w:id="237"/>
    <w:bookmarkStart w:id="239" w:name="ref-osband2016deep"/>
    <w:p>
      <w:pPr>
        <w:pStyle w:val="Bibliography"/>
      </w:pPr>
      <w:r>
        <w:t xml:space="preserve">Osband, Ian, Charles Blundell, Alexander Pritzel, and Benjamin Van Roy. 2016.</w:t>
      </w:r>
      <w:r>
        <w:t xml:space="preserve"> </w:t>
      </w:r>
      <w:r>
        <w:t xml:space="preserve">“</w:t>
      </w:r>
      <w:hyperlink r:id="rId238">
        <w:r>
          <w:rPr>
            <w:rStyle w:val="Hyperlink"/>
          </w:rPr>
          <w:t xml:space="preserve">Deep Exploration via Bootstrapped</w:t>
        </w:r>
        <w:r>
          <w:rPr>
            <w:rStyle w:val="Hyperlink"/>
          </w:rPr>
          <w:t xml:space="preserve"> </w:t>
        </w:r>
        <w:r>
          <w:rPr>
            <w:rStyle w:val="Hyperlink"/>
          </w:rPr>
          <w:t xml:space="preserve">DQN</w:t>
        </w:r>
      </w:hyperlink>
      <w:r>
        <w:t xml:space="preserve">.”</w:t>
      </w:r>
      <w:r>
        <w:t xml:space="preserve"> </w:t>
      </w:r>
      <w:r>
        <w:rPr>
          <w:i/>
          <w:iCs/>
        </w:rPr>
        <w:t xml:space="preserve">Advances in Neural Information Processing Systems (NeurIPS)</w:t>
      </w:r>
      <w:r>
        <w:t xml:space="preserve"> </w:t>
      </w:r>
      <w:r>
        <w:t xml:space="preserve">29.</w:t>
      </w:r>
    </w:p>
    <w:bookmarkEnd w:id="239"/>
    <w:bookmarkStart w:id="241" w:name="ref-paszke2019pytorch"/>
    <w:p>
      <w:pPr>
        <w:pStyle w:val="Bibliography"/>
      </w:pPr>
      <w:r>
        <w:t xml:space="preserve">Paszke, Adam, Sam Gross, Francisco Massa, et al. 2019.</w:t>
      </w:r>
      <w:r>
        <w:t xml:space="preserve"> </w:t>
      </w:r>
      <w:r>
        <w:t xml:space="preserve">“</w:t>
      </w:r>
      <w:hyperlink r:id="rId240">
        <w:r>
          <w:rPr>
            <w:rStyle w:val="Hyperlink"/>
          </w:rPr>
          <w:t xml:space="preserve">PyTorch</w:t>
        </w:r>
        <w:r>
          <w:rPr>
            <w:rStyle w:val="Hyperlink"/>
          </w:rPr>
          <w:t xml:space="preserve">: An Imperative Style, High-Performance Deep Learning Library</w:t>
        </w:r>
      </w:hyperlink>
      <w:r>
        <w:t xml:space="preserve">.”</w:t>
      </w:r>
      <w:r>
        <w:t xml:space="preserve"> </w:t>
      </w:r>
      <w:r>
        <w:rPr>
          <w:i/>
          <w:iCs/>
        </w:rPr>
        <w:t xml:space="preserve">Advances in Neural Information Processing Systems (NeurIPS)</w:t>
      </w:r>
      <w:r>
        <w:t xml:space="preserve"> </w:t>
      </w:r>
      <w:r>
        <w:t xml:space="preserve">32.</w:t>
      </w:r>
    </w:p>
    <w:bookmarkEnd w:id="241"/>
    <w:bookmarkStart w:id="243" w:name="ref-reimers2019sentence"/>
    <w:p>
      <w:pPr>
        <w:pStyle w:val="Bibliography"/>
      </w:pPr>
      <w:r>
        <w:t xml:space="preserve">Reimers, Nils, and Iryna Gurevych. 2019.</w:t>
      </w:r>
      <w:r>
        <w:t xml:space="preserve"> </w:t>
      </w:r>
      <w:r>
        <w:t xml:space="preserve">“</w:t>
      </w:r>
      <w:hyperlink r:id="rId242">
        <w:r>
          <w:rPr>
            <w:rStyle w:val="Hyperlink"/>
          </w:rPr>
          <w:t xml:space="preserve">Sentence-</w:t>
        </w:r>
        <w:r>
          <w:rPr>
            <w:rStyle w:val="Hyperlink"/>
          </w:rPr>
          <w:t xml:space="preserve">BERT</w:t>
        </w:r>
        <w:r>
          <w:rPr>
            <w:rStyle w:val="Hyperlink"/>
          </w:rPr>
          <w:t xml:space="preserve">: Sentence Embeddings Using Siamese</w:t>
        </w:r>
        <w:r>
          <w:rPr>
            <w:rStyle w:val="Hyperlink"/>
          </w:rPr>
          <w:t xml:space="preserve"> </w:t>
        </w:r>
        <w:r>
          <w:rPr>
            <w:rStyle w:val="Hyperlink"/>
          </w:rPr>
          <w:t xml:space="preserve">BERT</w:t>
        </w:r>
        <w:r>
          <w:rPr>
            <w:rStyle w:val="Hyperlink"/>
          </w:rPr>
          <w:t xml:space="preserve">-Networks</w:t>
        </w:r>
      </w:hyperlink>
      <w:r>
        <w:t xml:space="preserve">.”</w:t>
      </w:r>
      <w:r>
        <w:t xml:space="preserve"> </w:t>
      </w:r>
      <w:r>
        <w:rPr>
          <w:i/>
          <w:iCs/>
        </w:rPr>
        <w:t xml:space="preserve">Proceedings of the 2019 Conference on Empirical Methods in Natural Language Processing (EMNLP)</w:t>
      </w:r>
      <w:r>
        <w:t xml:space="preserve">.</w:t>
      </w:r>
    </w:p>
    <w:bookmarkEnd w:id="243"/>
    <w:bookmarkStart w:id="245" w:name="ref-ricci2015recommender"/>
    <w:p>
      <w:pPr>
        <w:pStyle w:val="Bibliography"/>
      </w:pPr>
      <w:r>
        <w:t xml:space="preserve">Ricci, Francesco, Lior Rokach, and Bracha Shapira. 2015.</w:t>
      </w:r>
      <w:r>
        <w:t xml:space="preserve"> </w:t>
      </w:r>
      <w:hyperlink r:id="rId244">
        <w:r>
          <w:rPr>
            <w:rStyle w:val="Hyperlink"/>
            <w:i/>
            <w:iCs/>
          </w:rPr>
          <w:t xml:space="preserve">Recommender Systems Handbook</w:t>
        </w:r>
      </w:hyperlink>
      <w:r>
        <w:t xml:space="preserve">. 2nd ed. Springer.</w:t>
      </w:r>
    </w:p>
    <w:bookmarkEnd w:id="245"/>
    <w:bookmarkStart w:id="247" w:name="ref-riquelme2018deep"/>
    <w:p>
      <w:pPr>
        <w:pStyle w:val="Bibliography"/>
      </w:pPr>
      <w:r>
        <w:t xml:space="preserve">Riquelme, Carlos, George Tucker, and Jasper Snoek. 2018.</w:t>
      </w:r>
      <w:r>
        <w:t xml:space="preserve"> </w:t>
      </w:r>
      <w:r>
        <w:t xml:space="preserve">“</w:t>
      </w:r>
      <w:hyperlink r:id="rId246">
        <w:r>
          <w:rPr>
            <w:rStyle w:val="Hyperlink"/>
          </w:rPr>
          <w:t xml:space="preserve">Deep Bayesian Bandits Showdown: An Empirical Comparison of Bayesian Deep Networks for Thompson Sampling</w:t>
        </w:r>
      </w:hyperlink>
      <w:r>
        <w:t xml:space="preserve">.”</w:t>
      </w:r>
      <w:r>
        <w:t xml:space="preserve"> </w:t>
      </w:r>
      <w:r>
        <w:rPr>
          <w:i/>
          <w:iCs/>
        </w:rPr>
        <w:t xml:space="preserve">Proceedings of the 6th International Conference on Learning Representations (ICLR)</w:t>
      </w:r>
      <w:r>
        <w:t xml:space="preserve">.</w:t>
      </w:r>
    </w:p>
    <w:bookmarkEnd w:id="247"/>
    <w:bookmarkStart w:id="249" w:name="ref-slivkins2024introduction"/>
    <w:p>
      <w:pPr>
        <w:pStyle w:val="Bibliography"/>
      </w:pPr>
      <w:r>
        <w:t xml:space="preserve">Slivkins, Aleksandrs. 2024.</w:t>
      </w:r>
      <w:r>
        <w:t xml:space="preserve"> </w:t>
      </w:r>
      <w:r>
        <w:t xml:space="preserve">“</w:t>
      </w:r>
      <w:hyperlink r:id="rId248">
        <w:r>
          <w:rPr>
            <w:rStyle w:val="Hyperlink"/>
          </w:rPr>
          <w:t xml:space="preserve">Introduction to Multi-Armed Bandits</w:t>
        </w:r>
      </w:hyperlink>
      <w:r>
        <w:t xml:space="preserve">.”</w:t>
      </w:r>
      <w:r>
        <w:t xml:space="preserve"> </w:t>
      </w:r>
      <w:r>
        <w:rPr>
          <w:i/>
          <w:iCs/>
        </w:rPr>
        <w:t xml:space="preserve">Foundations and Trends in Machine Learning</w:t>
      </w:r>
      <w:r>
        <w:t xml:space="preserve"> </w:t>
      </w:r>
      <w:r>
        <w:t xml:space="preserve">17 (1-2): 1–286.</w:t>
      </w:r>
    </w:p>
    <w:bookmarkEnd w:id="249"/>
    <w:bookmarkStart w:id="251" w:name="ref-wu2024survey"/>
    <w:p>
      <w:pPr>
        <w:pStyle w:val="Bibliography"/>
      </w:pPr>
      <w:r>
        <w:t xml:space="preserve">Wu, Likang, Zhi Zheng, Zhaopeng Qiu, et al. 2024.</w:t>
      </w:r>
      <w:r>
        <w:t xml:space="preserve"> </w:t>
      </w:r>
      <w:r>
        <w:t xml:space="preserve">“</w:t>
      </w:r>
      <w:hyperlink r:id="rId250">
        <w:r>
          <w:rPr>
            <w:rStyle w:val="Hyperlink"/>
          </w:rPr>
          <w:t xml:space="preserve">A Survey on Large Language Models for Recommendation</w:t>
        </w:r>
      </w:hyperlink>
      <w:r>
        <w:t xml:space="preserve">.”</w:t>
      </w:r>
      <w:r>
        <w:t xml:space="preserve"> </w:t>
      </w:r>
      <w:r>
        <w:rPr>
          <w:i/>
          <w:iCs/>
        </w:rPr>
        <w:t xml:space="preserve">World Wide Web</w:t>
      </w:r>
      <w:r>
        <w:t xml:space="preserve">.</w:t>
      </w:r>
    </w:p>
    <w:bookmarkEnd w:id="251"/>
    <w:bookmarkStart w:id="253" w:name="ref-xuneural2024"/>
    <w:p>
      <w:pPr>
        <w:pStyle w:val="Bibliography"/>
      </w:pPr>
      <w:r>
        <w:t xml:space="preserve">Xu, Pan, Ruiquan Zhan, Zhijie Shi, and Quanquan Gu. 2023.</w:t>
      </w:r>
      <w:r>
        <w:t xml:space="preserve"> </w:t>
      </w:r>
      <w:r>
        <w:t xml:space="preserve">“</w:t>
      </w:r>
      <w:hyperlink r:id="rId252">
        <w:r>
          <w:rPr>
            <w:rStyle w:val="Hyperlink"/>
          </w:rPr>
          <w:t xml:space="preserve">Neural Bandits: Warm-Starting with Teacher Advice</w:t>
        </w:r>
      </w:hyperlink>
      <w:r>
        <w:t xml:space="preserve">.”</w:t>
      </w:r>
      <w:r>
        <w:t xml:space="preserve"> </w:t>
      </w:r>
      <w:r>
        <w:rPr>
          <w:i/>
          <w:iCs/>
        </w:rPr>
        <w:t xml:space="preserve">Advances in Neural Information Processing Systems (NeurIPS)</w:t>
      </w:r>
      <w:r>
        <w:t xml:space="preserve"> </w:t>
      </w:r>
      <w:r>
        <w:t xml:space="preserve">36.</w:t>
      </w:r>
    </w:p>
    <w:bookmarkEnd w:id="253"/>
    <w:bookmarkStart w:id="255" w:name="ref-yuan2013real"/>
    <w:p>
      <w:pPr>
        <w:pStyle w:val="Bibliography"/>
      </w:pPr>
      <w:r>
        <w:t xml:space="preserve">Yuan, Shuai, Jun Wang, and Xiaofei Zhao. 2013.</w:t>
      </w:r>
      <w:r>
        <w:t xml:space="preserve"> </w:t>
      </w:r>
      <w:r>
        <w:t xml:space="preserve">“</w:t>
      </w:r>
      <w:hyperlink r:id="rId254">
        <w:r>
          <w:rPr>
            <w:rStyle w:val="Hyperlink"/>
          </w:rPr>
          <w:t xml:space="preserve">Real-Time Bidding for Online Advertising: Measurement and Analysis</w:t>
        </w:r>
      </w:hyperlink>
      <w:r>
        <w:t xml:space="preserve">.”</w:t>
      </w:r>
      <w:r>
        <w:t xml:space="preserve"> </w:t>
      </w:r>
      <w:r>
        <w:rPr>
          <w:i/>
          <w:iCs/>
        </w:rPr>
        <w:t xml:space="preserve">Proceedings of the 7th International Workshop on Data Mining for Online Advertising (ADKDD)</w:t>
      </w:r>
      <w:r>
        <w:t xml:space="preserve">, 1–8.</w:t>
      </w:r>
    </w:p>
    <w:bookmarkEnd w:id="255"/>
    <w:bookmarkStart w:id="257" w:name="ref-zhang2007moead"/>
    <w:p>
      <w:pPr>
        <w:pStyle w:val="Bibliography"/>
      </w:pPr>
      <w:r>
        <w:t xml:space="preserve">Zhang, Qingfu, and Hui Li. 2007.</w:t>
      </w:r>
      <w:r>
        <w:t xml:space="preserve"> </w:t>
      </w:r>
      <w:r>
        <w:t xml:space="preserve">“</w:t>
      </w:r>
      <w:hyperlink r:id="rId256">
        <w:r>
          <w:rPr>
            <w:rStyle w:val="Hyperlink"/>
          </w:rPr>
          <w:t xml:space="preserve">MOEA/D</w:t>
        </w:r>
        <w:r>
          <w:rPr>
            <w:rStyle w:val="Hyperlink"/>
          </w:rPr>
          <w:t xml:space="preserve">: A Multiobjective Evolutionary Algorithm Based on Decomposition</w:t>
        </w:r>
      </w:hyperlink>
      <w:r>
        <w:t xml:space="preserve">.”</w:t>
      </w:r>
      <w:r>
        <w:t xml:space="preserve"> </w:t>
      </w:r>
      <w:r>
        <w:rPr>
          <w:i/>
          <w:iCs/>
        </w:rPr>
        <w:t xml:space="preserve">IEEE Transactions on Evolutionary Computation</w:t>
      </w:r>
      <w:r>
        <w:t xml:space="preserve"> </w:t>
      </w:r>
      <w:r>
        <w:t xml:space="preserve">11 (6): 712–31.</w:t>
      </w:r>
    </w:p>
    <w:bookmarkEnd w:id="257"/>
    <w:bookmarkStart w:id="259" w:name="ref-zhang2021neural"/>
    <w:p>
      <w:pPr>
        <w:pStyle w:val="Bibliography"/>
      </w:pPr>
      <w:r>
        <w:t xml:space="preserve">Zhang, Weitong, Dongruo Zhou, Lihong Li, and Quanquan Gu. 2021.</w:t>
      </w:r>
      <w:r>
        <w:t xml:space="preserve"> </w:t>
      </w:r>
      <w:r>
        <w:t xml:space="preserve">“</w:t>
      </w:r>
      <w:hyperlink r:id="rId258">
        <w:r>
          <w:rPr>
            <w:rStyle w:val="Hyperlink"/>
          </w:rPr>
          <w:t xml:space="preserve">Neural Thompson Sampling</w:t>
        </w:r>
      </w:hyperlink>
      <w:r>
        <w:t xml:space="preserve">.”</w:t>
      </w:r>
      <w:r>
        <w:t xml:space="preserve"> </w:t>
      </w:r>
      <w:r>
        <w:rPr>
          <w:i/>
          <w:iCs/>
        </w:rPr>
        <w:t xml:space="preserve">Proceedings of the 9th International Conference on Learning Representations (ICLR)</w:t>
      </w:r>
      <w:r>
        <w:t xml:space="preserve">.</w:t>
      </w:r>
    </w:p>
    <w:bookmarkEnd w:id="259"/>
    <w:bookmarkStart w:id="261" w:name="ref-zhou2020neural"/>
    <w:p>
      <w:pPr>
        <w:pStyle w:val="Bibliography"/>
      </w:pPr>
      <w:r>
        <w:t xml:space="preserve">Zhou, Dongruo, Lihong Li, and Quanquan Gu. 2020.</w:t>
      </w:r>
      <w:r>
        <w:t xml:space="preserve"> </w:t>
      </w:r>
      <w:r>
        <w:t xml:space="preserve">“</w:t>
      </w:r>
      <w:hyperlink r:id="rId260">
        <w:r>
          <w:rPr>
            <w:rStyle w:val="Hyperlink"/>
          </w:rPr>
          <w:t xml:space="preserve">Neural Contextual Bandits with UCB-Based Exploration</w:t>
        </w:r>
      </w:hyperlink>
      <w:r>
        <w:t xml:space="preserve">.”</w:t>
      </w:r>
      <w:r>
        <w:t xml:space="preserve"> </w:t>
      </w:r>
      <w:r>
        <w:rPr>
          <w:i/>
          <w:iCs/>
        </w:rPr>
        <w:t xml:space="preserve">Proceedings of the 37th International Conference on Machine Learning (ICML)</w:t>
      </w:r>
      <w:r>
        <w:t xml:space="preserve">, 11492–502.</w:t>
      </w:r>
    </w:p>
    <w:bookmarkEnd w:id="261"/>
    <w:bookmarkEnd w:id="262"/>
    <w:bookmarkEnd w:id="263"/>
    <w:bookmarkEnd w:id="264"/>
    <w:sectPr>
      <w:footnotePr>
        <w:numRestart w:val="eachSect"/>
      </w:footnotePr>
      <w:headerReference xmlns:r="http://schemas.openxmlformats.org/officeDocument/2006/relationships" xmlns:w="http://schemas.openxmlformats.org/wordprocessingml/2006/main"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pBdr>
        <w:bottom w:val="single" w:sz="4" w:space="1" w:color="003366"/>
      </w:pBdr>
      <w:jc w:val="right"/>
    </w:pPr>
    <w:r>
      <w:rPr>
        <w:rFonts w:ascii="Times New Roman" w:hAnsi="Times New Roman"/>
        <w:i/>
        <w:sz w:val="20"/>
        <w:color w:val="003366"/>
      </w:rPr>
    </w:r>
    <w:r>
      <w:rPr>
        <w:rFonts w:ascii="Times New Roman" w:hAnsi="Times New Roman"/>
        <w:i/>
        <w:sz w:val="20"/>
        <w:color w:val="003366"/>
      </w:rPr>
      <w:fldChar w:fldCharType="begin"/>
    </w:r>
    <w:r>
      <w:rPr>
        <w:rFonts w:ascii="Times New Roman" w:hAnsi="Times New Roman"/>
        <w:i/>
        <w:sz w:val="20"/>
        <w:color w:val="003366"/>
      </w:rPr>
      <w:instrText> STYLEREF 1 </w:instrText>
    </w:r>
    <w:r>
      <w:rPr>
        <w:rFonts w:ascii="Times New Roman" w:hAnsi="Times New Roman"/>
        <w:i/>
        <w:sz w:val="20"/>
        <w:color w:val="003366"/>
      </w:rP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asciiTheme="minorHAnsi" w:cs="Times New Roman" w:cstheme="minorBidi" w:eastAsia="Times New Roman" w:eastAsiaTheme="minorHAnsi" w:hAnsi="Times New Roman"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114" Target="media/rId114.png" /><Relationship Type="http://schemas.openxmlformats.org/officeDocument/2006/relationships/image" Id="rId108" Target="media/rId108.png" /><Relationship Type="http://schemas.openxmlformats.org/officeDocument/2006/relationships/image" Id="rId178" Target="media/rId178.png" /><Relationship Type="http://schemas.openxmlformats.org/officeDocument/2006/relationships/image" Id="rId119" Target="media/rId119.png" /><Relationship Type="http://schemas.openxmlformats.org/officeDocument/2006/relationships/image" Id="rId124" Target="media/rId124.png" /><Relationship Type="http://schemas.openxmlformats.org/officeDocument/2006/relationships/image" Id="rId171" Target="media/rId171.png" /><Relationship Type="http://schemas.openxmlformats.org/officeDocument/2006/relationships/image" Id="rId166" Target="media/rId166.png" /><Relationship Type="http://schemas.openxmlformats.org/officeDocument/2006/relationships/image" Id="rId161" Target="media/rId161.png" /><Relationship Type="http://schemas.openxmlformats.org/officeDocument/2006/relationships/image" Id="rId103" Target="media/rId103.png" /><Relationship Type="http://schemas.openxmlformats.org/officeDocument/2006/relationships/hyperlink" Id="rId236" Target="https://arxiv.org/abs/1310.4546" TargetMode="External" /><Relationship Type="http://schemas.openxmlformats.org/officeDocument/2006/relationships/hyperlink" Id="rId238" Target="https://arxiv.org/abs/1602.04621" TargetMode="External" /><Relationship Type="http://schemas.openxmlformats.org/officeDocument/2006/relationships/hyperlink" Id="rId224" Target="https://arxiv.org/abs/1612.01474" TargetMode="External" /><Relationship Type="http://schemas.openxmlformats.org/officeDocument/2006/relationships/hyperlink" Id="rId246" Target="https://arxiv.org/abs/1802.09127" TargetMode="External" /><Relationship Type="http://schemas.openxmlformats.org/officeDocument/2006/relationships/hyperlink" Id="rId248" Target="https://arxiv.org/abs/1904.07272" TargetMode="External" /><Relationship Type="http://schemas.openxmlformats.org/officeDocument/2006/relationships/hyperlink" Id="rId260" Target="https://arxiv.org/abs/1906.00903" TargetMode="External" /><Relationship Type="http://schemas.openxmlformats.org/officeDocument/2006/relationships/hyperlink" Id="rId242" Target="https://arxiv.org/abs/1908.10084" TargetMode="External" /><Relationship Type="http://schemas.openxmlformats.org/officeDocument/2006/relationships/hyperlink" Id="rId240" Target="https://arxiv.org/abs/1912.01703" TargetMode="External" /><Relationship Type="http://schemas.openxmlformats.org/officeDocument/2006/relationships/hyperlink" Id="rId258" Target="https://arxiv.org/abs/2010.00827" TargetMode="External" /><Relationship Type="http://schemas.openxmlformats.org/officeDocument/2006/relationships/hyperlink" Id="rId213" Target="https://arxiv.org/abs/2112.04184" TargetMode="External" /><Relationship Type="http://schemas.openxmlformats.org/officeDocument/2006/relationships/hyperlink" Id="rId215" Target="https://arxiv.org/abs/2305.08845" TargetMode="External" /><Relationship Type="http://schemas.openxmlformats.org/officeDocument/2006/relationships/hyperlink" Id="rId250" Target="https://arxiv.org/abs/2305.19860" TargetMode="External" /><Relationship Type="http://schemas.openxmlformats.org/officeDocument/2006/relationships/hyperlink" Id="rId230" Target="https://arxiv.org/abs/2306.05817" TargetMode="External" /><Relationship Type="http://schemas.openxmlformats.org/officeDocument/2006/relationships/hyperlink" Id="rId252" Target="https://arxiv.org/abs/2308.05596" TargetMode="External" /><Relationship Type="http://schemas.openxmlformats.org/officeDocument/2006/relationships/hyperlink" Id="rId205" Target="https://arxiv.org/abs/2406.00244" TargetMode="External" /><Relationship Type="http://schemas.openxmlformats.org/officeDocument/2006/relationships/hyperlink" Id="rId201" Target="https://doi.org/10.1007/3-540-27659-9" TargetMode="External" /><Relationship Type="http://schemas.openxmlformats.org/officeDocument/2006/relationships/hyperlink" Id="rId244" Target="https://doi.org/10.1007/978-1-4899-7637-6" TargetMode="External" /><Relationship Type="http://schemas.openxmlformats.org/officeDocument/2006/relationships/hyperlink" Id="rId232" Target="https://doi.org/10.1007/s00158-003-0368-6" TargetMode="External" /><Relationship Type="http://schemas.openxmlformats.org/officeDocument/2006/relationships/hyperlink" Id="rId203" Target="https://doi.org/10.1007/s002910000046" TargetMode="External" /><Relationship Type="http://schemas.openxmlformats.org/officeDocument/2006/relationships/hyperlink" Id="rId193" Target="https://doi.org/10.1016/j.knosys.2013.03.012" TargetMode="External" /><Relationship Type="http://schemas.openxmlformats.org/officeDocument/2006/relationships/hyperlink" Id="rId226" Target="https://doi.org/10.1017/9781108571401" TargetMode="External" /><Relationship Type="http://schemas.openxmlformats.org/officeDocument/2006/relationships/hyperlink" Id="rId199" Target="https://doi.org/10.1109/4235.996017" TargetMode="External" /><Relationship Type="http://schemas.openxmlformats.org/officeDocument/2006/relationships/hyperlink" Id="rId221" Target="https://doi.org/10.1109/MC.2009.263" TargetMode="External" /><Relationship Type="http://schemas.openxmlformats.org/officeDocument/2006/relationships/hyperlink" Id="rId256" Target="https://doi.org/10.1109/TEVC.2007.892759" TargetMode="External" /><Relationship Type="http://schemas.openxmlformats.org/officeDocument/2006/relationships/hyperlink" Id="rId228" Target="https://doi.org/10.1145/1772690.1772758" TargetMode="External" /><Relationship Type="http://schemas.openxmlformats.org/officeDocument/2006/relationships/hyperlink" Id="rId234" Target="https://doi.org/10.1145/2487575.2488200" TargetMode="External" /><Relationship Type="http://schemas.openxmlformats.org/officeDocument/2006/relationships/hyperlink" Id="rId254" Target="https://doi.org/10.1145/2501040.2501980" TargetMode="External" /><Relationship Type="http://schemas.openxmlformats.org/officeDocument/2006/relationships/hyperlink" Id="rId195" Target="https://doi.org/10.1145/2532128" TargetMode="External" /><Relationship Type="http://schemas.openxmlformats.org/officeDocument/2006/relationships/hyperlink" Id="rId211" Target="https://doi.org/10.1145/2648584.2648589" TargetMode="External" /><Relationship Type="http://schemas.openxmlformats.org/officeDocument/2006/relationships/hyperlink" Id="rId209" Target="https://doi.org/10.1287/mksc.1100.0583" TargetMode="External" /><Relationship Type="http://schemas.openxmlformats.org/officeDocument/2006/relationships/hyperlink" Id="rId191" Target="https://proceedings.mlr.press/v28/agrawal13.html" TargetMode="External" /><Relationship Type="http://schemas.openxmlformats.org/officeDocument/2006/relationships/hyperlink" Id="rId219" Target="https://proceedings.mlr.press/v28/joulani13.html" TargetMode="External" /><Relationship Type="http://schemas.openxmlformats.org/officeDocument/2006/relationships/hyperlink" Id="rId189" Target="https://proceedings.mlr.press/v32/agarwalb14.html" TargetMode="External" /><Relationship Type="http://schemas.openxmlformats.org/officeDocument/2006/relationships/hyperlink" Id="rId207" Target="https://proceedings.mlr.press/v32/gentile14.html" TargetMode="External" /><Relationship Type="http://schemas.openxmlformats.org/officeDocument/2006/relationships/hyperlink" Id="rId217" Target="https://www.iab.com/insights/internet-advertising-revenue-report/" TargetMode="External" /><Relationship Type="http://schemas.openxmlformats.org/officeDocument/2006/relationships/hyperlink" Id="rId197" Target="https://www.wiley.com/en-us/Multi-Objective+Optimization+Using+Evolutionary+Algorithms-p-9780471873396" TargetMode="External" /></Relationships>
</file>

<file path=word/_rels/footnotes.xml.rels><?xml version="1.0" encoding="UTF-8"?><Relationships xmlns="http://schemas.openxmlformats.org/package/2006/relationships"><Relationship Type="http://schemas.openxmlformats.org/officeDocument/2006/relationships/hyperlink" Id="rId236" Target="https://arxiv.org/abs/1310.4546" TargetMode="External" /><Relationship Type="http://schemas.openxmlformats.org/officeDocument/2006/relationships/hyperlink" Id="rId238" Target="https://arxiv.org/abs/1602.04621" TargetMode="External" /><Relationship Type="http://schemas.openxmlformats.org/officeDocument/2006/relationships/hyperlink" Id="rId224" Target="https://arxiv.org/abs/1612.01474" TargetMode="External" /><Relationship Type="http://schemas.openxmlformats.org/officeDocument/2006/relationships/hyperlink" Id="rId246" Target="https://arxiv.org/abs/1802.09127" TargetMode="External" /><Relationship Type="http://schemas.openxmlformats.org/officeDocument/2006/relationships/hyperlink" Id="rId248" Target="https://arxiv.org/abs/1904.07272" TargetMode="External" /><Relationship Type="http://schemas.openxmlformats.org/officeDocument/2006/relationships/hyperlink" Id="rId260" Target="https://arxiv.org/abs/1906.00903" TargetMode="External" /><Relationship Type="http://schemas.openxmlformats.org/officeDocument/2006/relationships/hyperlink" Id="rId242" Target="https://arxiv.org/abs/1908.10084" TargetMode="External" /><Relationship Type="http://schemas.openxmlformats.org/officeDocument/2006/relationships/hyperlink" Id="rId240" Target="https://arxiv.org/abs/1912.01703" TargetMode="External" /><Relationship Type="http://schemas.openxmlformats.org/officeDocument/2006/relationships/hyperlink" Id="rId258" Target="https://arxiv.org/abs/2010.00827" TargetMode="External" /><Relationship Type="http://schemas.openxmlformats.org/officeDocument/2006/relationships/hyperlink" Id="rId213" Target="https://arxiv.org/abs/2112.04184" TargetMode="External" /><Relationship Type="http://schemas.openxmlformats.org/officeDocument/2006/relationships/hyperlink" Id="rId215" Target="https://arxiv.org/abs/2305.08845" TargetMode="External" /><Relationship Type="http://schemas.openxmlformats.org/officeDocument/2006/relationships/hyperlink" Id="rId250" Target="https://arxiv.org/abs/2305.19860" TargetMode="External" /><Relationship Type="http://schemas.openxmlformats.org/officeDocument/2006/relationships/hyperlink" Id="rId230" Target="https://arxiv.org/abs/2306.05817" TargetMode="External" /><Relationship Type="http://schemas.openxmlformats.org/officeDocument/2006/relationships/hyperlink" Id="rId252" Target="https://arxiv.org/abs/2308.05596" TargetMode="External" /><Relationship Type="http://schemas.openxmlformats.org/officeDocument/2006/relationships/hyperlink" Id="rId205" Target="https://arxiv.org/abs/2406.00244" TargetMode="External" /><Relationship Type="http://schemas.openxmlformats.org/officeDocument/2006/relationships/hyperlink" Id="rId201" Target="https://doi.org/10.1007/3-540-27659-9" TargetMode="External" /><Relationship Type="http://schemas.openxmlformats.org/officeDocument/2006/relationships/hyperlink" Id="rId244" Target="https://doi.org/10.1007/978-1-4899-7637-6" TargetMode="External" /><Relationship Type="http://schemas.openxmlformats.org/officeDocument/2006/relationships/hyperlink" Id="rId232" Target="https://doi.org/10.1007/s00158-003-0368-6" TargetMode="External" /><Relationship Type="http://schemas.openxmlformats.org/officeDocument/2006/relationships/hyperlink" Id="rId203" Target="https://doi.org/10.1007/s002910000046" TargetMode="External" /><Relationship Type="http://schemas.openxmlformats.org/officeDocument/2006/relationships/hyperlink" Id="rId193" Target="https://doi.org/10.1016/j.knosys.2013.03.012" TargetMode="External" /><Relationship Type="http://schemas.openxmlformats.org/officeDocument/2006/relationships/hyperlink" Id="rId226" Target="https://doi.org/10.1017/9781108571401" TargetMode="External" /><Relationship Type="http://schemas.openxmlformats.org/officeDocument/2006/relationships/hyperlink" Id="rId199" Target="https://doi.org/10.1109/4235.996017" TargetMode="External" /><Relationship Type="http://schemas.openxmlformats.org/officeDocument/2006/relationships/hyperlink" Id="rId221" Target="https://doi.org/10.1109/MC.2009.263" TargetMode="External" /><Relationship Type="http://schemas.openxmlformats.org/officeDocument/2006/relationships/hyperlink" Id="rId256" Target="https://doi.org/10.1109/TEVC.2007.892759" TargetMode="External" /><Relationship Type="http://schemas.openxmlformats.org/officeDocument/2006/relationships/hyperlink" Id="rId228" Target="https://doi.org/10.1145/1772690.1772758" TargetMode="External" /><Relationship Type="http://schemas.openxmlformats.org/officeDocument/2006/relationships/hyperlink" Id="rId234" Target="https://doi.org/10.1145/2487575.2488200" TargetMode="External" /><Relationship Type="http://schemas.openxmlformats.org/officeDocument/2006/relationships/hyperlink" Id="rId254" Target="https://doi.org/10.1145/2501040.2501980" TargetMode="External" /><Relationship Type="http://schemas.openxmlformats.org/officeDocument/2006/relationships/hyperlink" Id="rId195" Target="https://doi.org/10.1145/2532128" TargetMode="External" /><Relationship Type="http://schemas.openxmlformats.org/officeDocument/2006/relationships/hyperlink" Id="rId211" Target="https://doi.org/10.1145/2648584.2648589" TargetMode="External" /><Relationship Type="http://schemas.openxmlformats.org/officeDocument/2006/relationships/hyperlink" Id="rId209" Target="https://doi.org/10.1287/mksc.1100.0583" TargetMode="External" /><Relationship Type="http://schemas.openxmlformats.org/officeDocument/2006/relationships/hyperlink" Id="rId191" Target="https://proceedings.mlr.press/v28/agrawal13.html" TargetMode="External" /><Relationship Type="http://schemas.openxmlformats.org/officeDocument/2006/relationships/hyperlink" Id="rId219" Target="https://proceedings.mlr.press/v28/joulani13.html" TargetMode="External" /><Relationship Type="http://schemas.openxmlformats.org/officeDocument/2006/relationships/hyperlink" Id="rId189" Target="https://proceedings.mlr.press/v32/agarwalb14.html" TargetMode="External" /><Relationship Type="http://schemas.openxmlformats.org/officeDocument/2006/relationships/hyperlink" Id="rId207" Target="https://proceedings.mlr.press/v32/gentile14.html" TargetMode="External" /><Relationship Type="http://schemas.openxmlformats.org/officeDocument/2006/relationships/hyperlink" Id="rId217" Target="https://www.iab.com/insights/internet-advertising-revenue-report/" TargetMode="External" /><Relationship Type="http://schemas.openxmlformats.org/officeDocument/2006/relationships/hyperlink" Id="rId197" Target="https://www.wiley.com/en-us/Multi-Objective+Optimization+Using+Evolutionary+Algorithms-p-97804718733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2026-03-31T09:58:05Z</dcterms:created>
  <dcterms:modified xsi:type="dcterms:W3CDTF">2026-03-31T09:58:05Z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biblio.bib</vt:lpwstr>
  </property>
  <property fmtid="{D5CDD505-2E9C-101B-9397-08002B2CF9AE}" pid="3" name="csl">
    <vt:lpwstr>authoryear.csl</vt:lpwstr>
  </property>
  <property fmtid="{D5CDD505-2E9C-101B-9397-08002B2CF9AE}" pid="4" name="link-citations">
    <vt:lpwstr>True</vt:lpwstr>
  </property>
</Properties>
</file>