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86CD"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المحاضرة الثالثة</w:t>
      </w:r>
    </w:p>
    <w:p w14:paraId="78582F60"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rtl/>
          <w14:ligatures w14:val="none"/>
        </w:rPr>
        <w:t>مادة: مصادر الاحتجاج اللغوي</w:t>
      </w:r>
    </w:p>
    <w:p w14:paraId="6A1E6BF6"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الموضوع: مفهوم الاحتجاج والسماع والاستدلال والاستشهاد والتمثيل والفرق بينها</w:t>
      </w:r>
    </w:p>
    <w:p w14:paraId="2C20A066" w14:textId="015C1228"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التاريخ الوارد في التفريغ</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الثلاثاء 1</w:t>
      </w:r>
      <w:r>
        <w:rPr>
          <w:rFonts w:ascii="Times New Roman" w:eastAsia="Times New Roman" w:hAnsi="Times New Roman" w:cs="Times New Roman" w:hint="cs"/>
          <w:kern w:val="0"/>
          <w:rtl/>
          <w14:ligatures w14:val="none"/>
        </w:rPr>
        <w:t>3</w:t>
      </w:r>
      <w:r w:rsidRPr="008E53C5">
        <w:rPr>
          <w:rFonts w:ascii="Times New Roman" w:eastAsia="Times New Roman" w:hAnsi="Times New Roman" w:cs="Times New Roman"/>
          <w:kern w:val="0"/>
          <w:rtl/>
          <w14:ligatures w14:val="none"/>
        </w:rPr>
        <w:t xml:space="preserve"> أكتوبر 202</w:t>
      </w:r>
      <w:r>
        <w:rPr>
          <w:rFonts w:ascii="Times New Roman" w:eastAsia="Times New Roman" w:hAnsi="Times New Roman" w:cs="Times New Roman" w:hint="cs"/>
          <w:kern w:val="0"/>
          <w:rtl/>
          <w14:ligatures w14:val="none"/>
        </w:rPr>
        <w:t>6</w:t>
      </w:r>
      <w:r w:rsidRPr="008E53C5">
        <w:rPr>
          <w:rFonts w:ascii="Times New Roman" w:eastAsia="Times New Roman" w:hAnsi="Times New Roman" w:cs="Times New Roman"/>
          <w:kern w:val="0"/>
          <w:rtl/>
          <w14:ligatures w14:val="none"/>
        </w:rPr>
        <w:t>م</w:t>
      </w:r>
      <w:r w:rsidRPr="008E53C5">
        <w:rPr>
          <w:rFonts w:ascii="Times New Roman" w:eastAsia="Times New Roman" w:hAnsi="Times New Roman" w:cs="Times New Roman"/>
          <w:kern w:val="0"/>
          <w14:ligatures w14:val="none"/>
        </w:rPr>
        <w:t>.</w:t>
      </w:r>
    </w:p>
    <w:p w14:paraId="7AB62F56"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28E474F2">
          <v:rect id="_x0000_i1025" style="width:0;height:1.5pt" o:hralign="center" o:hrstd="t" o:hr="t" fillcolor="#a0a0a0" stroked="f"/>
        </w:pict>
      </w:r>
    </w:p>
    <w:p w14:paraId="3A42DE9E"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أولًا: الاحتجاج اللغوي</w:t>
      </w:r>
    </w:p>
    <w:p w14:paraId="32632E4A"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الاحتجاج لغةً</w:t>
      </w:r>
    </w:p>
    <w:p w14:paraId="21F38D06"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الاحتجاج مأخوذ من </w:t>
      </w:r>
      <w:r w:rsidRPr="008E53C5">
        <w:rPr>
          <w:rFonts w:ascii="Times New Roman" w:eastAsia="Times New Roman" w:hAnsi="Times New Roman" w:cs="Times New Roman"/>
          <w:b/>
          <w:bCs/>
          <w:kern w:val="0"/>
          <w:rtl/>
          <w14:ligatures w14:val="none"/>
        </w:rPr>
        <w:t>الحُجّة والبرهان</w:t>
      </w:r>
      <w:r w:rsidRPr="008E53C5">
        <w:rPr>
          <w:rFonts w:ascii="Times New Roman" w:eastAsia="Times New Roman" w:hAnsi="Times New Roman" w:cs="Times New Roman"/>
          <w:kern w:val="0"/>
          <w14:ligatures w14:val="none"/>
        </w:rPr>
        <w:t>.</w:t>
      </w:r>
    </w:p>
    <w:p w14:paraId="1775E53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يقال: احتجَّ بالشيء، أي اتخذه حجةً ودليلًا</w:t>
      </w:r>
      <w:r w:rsidRPr="008E53C5">
        <w:rPr>
          <w:rFonts w:ascii="Times New Roman" w:eastAsia="Times New Roman" w:hAnsi="Times New Roman" w:cs="Times New Roman"/>
          <w:kern w:val="0"/>
          <w14:ligatures w14:val="none"/>
        </w:rPr>
        <w:t>.</w:t>
      </w:r>
    </w:p>
    <w:p w14:paraId="20E828A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والحجة هي الدليل والبرهان الذي يُدفع به الخصم وتُثبت به صحة القول</w:t>
      </w:r>
      <w:r w:rsidRPr="008E53C5">
        <w:rPr>
          <w:rFonts w:ascii="Times New Roman" w:eastAsia="Times New Roman" w:hAnsi="Times New Roman" w:cs="Times New Roman"/>
          <w:kern w:val="0"/>
          <w14:ligatures w14:val="none"/>
        </w:rPr>
        <w:t>.</w:t>
      </w:r>
    </w:p>
    <w:p w14:paraId="056B8FAB"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الاحتجاج اصطلاحًا</w:t>
      </w:r>
    </w:p>
    <w:p w14:paraId="0A734B2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الاحتجاج هو</w:t>
      </w:r>
      <w:r w:rsidRPr="008E53C5">
        <w:rPr>
          <w:rFonts w:ascii="Times New Roman" w:eastAsia="Times New Roman" w:hAnsi="Times New Roman" w:cs="Times New Roman"/>
          <w:kern w:val="0"/>
          <w14:ligatures w14:val="none"/>
        </w:rPr>
        <w:t>:</w:t>
      </w:r>
    </w:p>
    <w:p w14:paraId="0417855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الإتيان بما يؤكد المعنى أو القول أو المذهب أو الاتجاه، ويجري مجرى الاستشهاد على القول وإقامة الحجة على صحته</w:t>
      </w:r>
      <w:r w:rsidRPr="008E53C5">
        <w:rPr>
          <w:rFonts w:ascii="Times New Roman" w:eastAsia="Times New Roman" w:hAnsi="Times New Roman" w:cs="Times New Roman"/>
          <w:b/>
          <w:bCs/>
          <w:kern w:val="0"/>
          <w14:ligatures w14:val="none"/>
        </w:rPr>
        <w:t>.</w:t>
      </w:r>
    </w:p>
    <w:p w14:paraId="15642B56"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فهو وسيلة لإثبات صحة الرأي اللغوي أو القاعدة النحوية، وإقناع المتلقي بسلامة ما ذهب إليه صاحبه</w:t>
      </w:r>
      <w:r w:rsidRPr="008E53C5">
        <w:rPr>
          <w:rFonts w:ascii="Times New Roman" w:eastAsia="Times New Roman" w:hAnsi="Times New Roman" w:cs="Times New Roman"/>
          <w:kern w:val="0"/>
          <w14:ligatures w14:val="none"/>
        </w:rPr>
        <w:t>.</w:t>
      </w:r>
    </w:p>
    <w:p w14:paraId="3EDF40F5"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غاية الاحتجاج وأهميته</w:t>
      </w:r>
    </w:p>
    <w:p w14:paraId="15CBD21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تتمثل غاية الاحتجاج اللغوي في </w:t>
      </w:r>
      <w:r w:rsidRPr="008E53C5">
        <w:rPr>
          <w:rFonts w:ascii="Times New Roman" w:eastAsia="Times New Roman" w:hAnsi="Times New Roman" w:cs="Times New Roman"/>
          <w:b/>
          <w:bCs/>
          <w:kern w:val="0"/>
          <w:rtl/>
          <w14:ligatures w14:val="none"/>
        </w:rPr>
        <w:t>بناء الثقة في مرويات اللغة العربية وإثبات صحة الآراء والقواعد اللغوية والنحوية</w:t>
      </w:r>
      <w:r w:rsidRPr="008E53C5">
        <w:rPr>
          <w:rFonts w:ascii="Times New Roman" w:eastAsia="Times New Roman" w:hAnsi="Times New Roman" w:cs="Times New Roman"/>
          <w:kern w:val="0"/>
          <w14:ligatures w14:val="none"/>
        </w:rPr>
        <w:t>.</w:t>
      </w:r>
    </w:p>
    <w:p w14:paraId="47489DF1"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ومن غير الاستشهاد والاستدلال بالمرويات المسموعة في عصر الاحتجاج اللغوي، يصعب الانتصار لمذهب نحوي أو إثبات قاعدة نحوية</w:t>
      </w:r>
      <w:r w:rsidRPr="008E53C5">
        <w:rPr>
          <w:rFonts w:ascii="Times New Roman" w:eastAsia="Times New Roman" w:hAnsi="Times New Roman" w:cs="Times New Roman"/>
          <w:kern w:val="0"/>
          <w14:ligatures w14:val="none"/>
        </w:rPr>
        <w:t>.</w:t>
      </w:r>
    </w:p>
    <w:p w14:paraId="47E0069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ومن أهم وظائف الاحتجاج</w:t>
      </w:r>
      <w:r w:rsidRPr="008E53C5">
        <w:rPr>
          <w:rFonts w:ascii="Times New Roman" w:eastAsia="Times New Roman" w:hAnsi="Times New Roman" w:cs="Times New Roman"/>
          <w:kern w:val="0"/>
          <w14:ligatures w14:val="none"/>
        </w:rPr>
        <w:t>:</w:t>
      </w:r>
    </w:p>
    <w:p w14:paraId="786A6343" w14:textId="77777777" w:rsidR="008E53C5" w:rsidRPr="008E53C5" w:rsidRDefault="008E53C5" w:rsidP="008E53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تأكيد صحة القاعدة النحوية أو الرأي اللغوي</w:t>
      </w:r>
      <w:r w:rsidRPr="008E53C5">
        <w:rPr>
          <w:rFonts w:ascii="Times New Roman" w:eastAsia="Times New Roman" w:hAnsi="Times New Roman" w:cs="Times New Roman"/>
          <w:kern w:val="0"/>
          <w14:ligatures w14:val="none"/>
        </w:rPr>
        <w:t>.</w:t>
      </w:r>
    </w:p>
    <w:p w14:paraId="246F0451" w14:textId="77777777" w:rsidR="008E53C5" w:rsidRPr="008E53C5" w:rsidRDefault="008E53C5" w:rsidP="008E53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إقناع المتلقي بصحة القول</w:t>
      </w:r>
      <w:r w:rsidRPr="008E53C5">
        <w:rPr>
          <w:rFonts w:ascii="Times New Roman" w:eastAsia="Times New Roman" w:hAnsi="Times New Roman" w:cs="Times New Roman"/>
          <w:kern w:val="0"/>
          <w14:ligatures w14:val="none"/>
        </w:rPr>
        <w:t>.</w:t>
      </w:r>
    </w:p>
    <w:p w14:paraId="52055E62" w14:textId="77777777" w:rsidR="008E53C5" w:rsidRPr="008E53C5" w:rsidRDefault="008E53C5" w:rsidP="008E53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إقامة الدليل على الآراء اللغوية والنحوية</w:t>
      </w:r>
      <w:r w:rsidRPr="008E53C5">
        <w:rPr>
          <w:rFonts w:ascii="Times New Roman" w:eastAsia="Times New Roman" w:hAnsi="Times New Roman" w:cs="Times New Roman"/>
          <w:kern w:val="0"/>
          <w14:ligatures w14:val="none"/>
        </w:rPr>
        <w:t>.</w:t>
      </w:r>
    </w:p>
    <w:p w14:paraId="3302AFF7" w14:textId="77777777" w:rsidR="008E53C5" w:rsidRPr="008E53C5" w:rsidRDefault="008E53C5" w:rsidP="008E53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الرد على من يعترض على قاعدة أو مذهب لغوي</w:t>
      </w:r>
      <w:r w:rsidRPr="008E53C5">
        <w:rPr>
          <w:rFonts w:ascii="Times New Roman" w:eastAsia="Times New Roman" w:hAnsi="Times New Roman" w:cs="Times New Roman"/>
          <w:kern w:val="0"/>
          <w14:ligatures w14:val="none"/>
        </w:rPr>
        <w:t>.</w:t>
      </w:r>
    </w:p>
    <w:p w14:paraId="092572D2" w14:textId="77777777" w:rsidR="008E53C5" w:rsidRPr="008E53C5" w:rsidRDefault="008E53C5" w:rsidP="008E53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منح المعاني مكانةً أكبر في العقول، ورفع قدرها من خلال إقامة الحجة عليها</w:t>
      </w:r>
      <w:r w:rsidRPr="008E53C5">
        <w:rPr>
          <w:rFonts w:ascii="Times New Roman" w:eastAsia="Times New Roman" w:hAnsi="Times New Roman" w:cs="Times New Roman"/>
          <w:kern w:val="0"/>
          <w14:ligatures w14:val="none"/>
        </w:rPr>
        <w:t>.</w:t>
      </w:r>
    </w:p>
    <w:p w14:paraId="7CB29ED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ويُنسب إلى الجرجاني في المحاضرة أن الاحتجاج يعد تبرئةً للمتكلم من صنعة الكلام؛ أي إنه يبيّن أن القول ليس مجرد ادعاء، بل يستند إلى دليل يؤيده</w:t>
      </w:r>
      <w:r w:rsidRPr="008E53C5">
        <w:rPr>
          <w:rFonts w:ascii="Times New Roman" w:eastAsia="Times New Roman" w:hAnsi="Times New Roman" w:cs="Times New Roman"/>
          <w:kern w:val="0"/>
          <w14:ligatures w14:val="none"/>
        </w:rPr>
        <w:t>.</w:t>
      </w:r>
    </w:p>
    <w:p w14:paraId="6B84223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وبذلك تطمئن النفوس إلى القول الذي يقوم على الحجة، وتقر بصحته عندما يتوافر الدليل المقنع</w:t>
      </w:r>
      <w:r w:rsidRPr="008E53C5">
        <w:rPr>
          <w:rFonts w:ascii="Times New Roman" w:eastAsia="Times New Roman" w:hAnsi="Times New Roman" w:cs="Times New Roman"/>
          <w:kern w:val="0"/>
          <w14:ligatures w14:val="none"/>
        </w:rPr>
        <w:t>.</w:t>
      </w:r>
    </w:p>
    <w:p w14:paraId="4721E49C"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5F673C22">
          <v:rect id="_x0000_i1026" style="width:0;height:1.5pt" o:hralign="center" o:hrstd="t" o:hr="t" fillcolor="#a0a0a0" stroked="f"/>
        </w:pict>
      </w:r>
    </w:p>
    <w:p w14:paraId="7A4C10E8"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ثانيًا: السماع</w:t>
      </w:r>
    </w:p>
    <w:p w14:paraId="5331851F"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السماع ومكانته في أصول النحو</w:t>
      </w:r>
    </w:p>
    <w:p w14:paraId="2DCCE56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السماع مصدر من مصادر أصول النحو، وهو ما تلقاه النحاة عن العرب الفصحاء من كلامهم، ونقلوه بالرواية</w:t>
      </w:r>
      <w:r w:rsidRPr="008E53C5">
        <w:rPr>
          <w:rFonts w:ascii="Times New Roman" w:eastAsia="Times New Roman" w:hAnsi="Times New Roman" w:cs="Times New Roman"/>
          <w:kern w:val="0"/>
          <w14:ligatures w14:val="none"/>
        </w:rPr>
        <w:t>.</w:t>
      </w:r>
    </w:p>
    <w:p w14:paraId="2888A26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وسُمّي سماعًا لتلقي اللغة مباشرة من أفواه أهل الفصاحة</w:t>
      </w:r>
      <w:r w:rsidRPr="008E53C5">
        <w:rPr>
          <w:rFonts w:ascii="Times New Roman" w:eastAsia="Times New Roman" w:hAnsi="Times New Roman" w:cs="Times New Roman"/>
          <w:kern w:val="0"/>
          <w14:ligatures w14:val="none"/>
        </w:rPr>
        <w:t>.</w:t>
      </w:r>
    </w:p>
    <w:p w14:paraId="1CCA9C3D"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وقد اعتنى العرب بالسماع عناية كبيرة؛ فكانوا يرسلون أبناءهم إلى البادية للرضاعة وتعلم اللسان العربي الفصيح، واكتساب سلامة النطق وفصاحة التعبير</w:t>
      </w:r>
      <w:r w:rsidRPr="008E53C5">
        <w:rPr>
          <w:rFonts w:ascii="Times New Roman" w:eastAsia="Times New Roman" w:hAnsi="Times New Roman" w:cs="Times New Roman"/>
          <w:kern w:val="0"/>
          <w14:ligatures w14:val="none"/>
        </w:rPr>
        <w:t>.</w:t>
      </w:r>
    </w:p>
    <w:p w14:paraId="23D895B2"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تعريف السماع اصطلاحًا</w:t>
      </w:r>
    </w:p>
    <w:p w14:paraId="46F396B8"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قال ابن الأنباري</w:t>
      </w:r>
      <w:r w:rsidRPr="008E53C5">
        <w:rPr>
          <w:rFonts w:ascii="Times New Roman" w:eastAsia="Times New Roman" w:hAnsi="Times New Roman" w:cs="Times New Roman"/>
          <w:kern w:val="0"/>
          <w14:ligatures w14:val="none"/>
        </w:rPr>
        <w:t>:</w:t>
      </w:r>
    </w:p>
    <w:p w14:paraId="09E9EE8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t>«</w:t>
      </w:r>
      <w:r w:rsidRPr="008E53C5">
        <w:rPr>
          <w:rFonts w:ascii="Times New Roman" w:eastAsia="Times New Roman" w:hAnsi="Times New Roman" w:cs="Times New Roman"/>
          <w:kern w:val="0"/>
          <w:rtl/>
          <w14:ligatures w14:val="none"/>
        </w:rPr>
        <w:t>السماع هو الكلام العربي الفصيح المنقول النقل الصحيح الخارج عن حد القلة إلى حد الكثرة</w:t>
      </w:r>
      <w:r w:rsidRPr="008E53C5">
        <w:rPr>
          <w:rFonts w:ascii="Times New Roman" w:eastAsia="Times New Roman" w:hAnsi="Times New Roman" w:cs="Times New Roman"/>
          <w:kern w:val="0"/>
          <w14:ligatures w14:val="none"/>
        </w:rPr>
        <w:t>».</w:t>
      </w:r>
    </w:p>
    <w:p w14:paraId="6E6FA6A6"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وقال السيوطي</w:t>
      </w:r>
      <w:r w:rsidRPr="008E53C5">
        <w:rPr>
          <w:rFonts w:ascii="Times New Roman" w:eastAsia="Times New Roman" w:hAnsi="Times New Roman" w:cs="Times New Roman"/>
          <w:kern w:val="0"/>
          <w14:ligatures w14:val="none"/>
        </w:rPr>
        <w:t>:</w:t>
      </w:r>
    </w:p>
    <w:p w14:paraId="4C591BB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t>«</w:t>
      </w:r>
      <w:r w:rsidRPr="008E53C5">
        <w:rPr>
          <w:rFonts w:ascii="Times New Roman" w:eastAsia="Times New Roman" w:hAnsi="Times New Roman" w:cs="Times New Roman"/>
          <w:kern w:val="0"/>
          <w:rtl/>
          <w14:ligatures w14:val="none"/>
        </w:rPr>
        <w:t>هو ما ثبت في كلام من يوثق بفصاحته</w:t>
      </w:r>
      <w:r w:rsidRPr="008E53C5">
        <w:rPr>
          <w:rFonts w:ascii="Times New Roman" w:eastAsia="Times New Roman" w:hAnsi="Times New Roman" w:cs="Times New Roman"/>
          <w:kern w:val="0"/>
          <w14:ligatures w14:val="none"/>
        </w:rPr>
        <w:t>».</w:t>
      </w:r>
    </w:p>
    <w:p w14:paraId="1188835D"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ويُفهم من التعريفين أن السماع يقوم على ثلاثة أمور أساسية</w:t>
      </w:r>
      <w:r w:rsidRPr="008E53C5">
        <w:rPr>
          <w:rFonts w:ascii="Times New Roman" w:eastAsia="Times New Roman" w:hAnsi="Times New Roman" w:cs="Times New Roman"/>
          <w:kern w:val="0"/>
          <w14:ligatures w14:val="none"/>
        </w:rPr>
        <w:t>:</w:t>
      </w:r>
    </w:p>
    <w:p w14:paraId="3D243863" w14:textId="77777777" w:rsidR="008E53C5" w:rsidRPr="008E53C5" w:rsidRDefault="008E53C5" w:rsidP="008E53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أن يكون الكلام عربيًا فصيحًا</w:t>
      </w:r>
      <w:r w:rsidRPr="008E53C5">
        <w:rPr>
          <w:rFonts w:ascii="Times New Roman" w:eastAsia="Times New Roman" w:hAnsi="Times New Roman" w:cs="Times New Roman"/>
          <w:kern w:val="0"/>
          <w14:ligatures w14:val="none"/>
        </w:rPr>
        <w:t>.</w:t>
      </w:r>
    </w:p>
    <w:p w14:paraId="3194113F" w14:textId="77777777" w:rsidR="008E53C5" w:rsidRPr="008E53C5" w:rsidRDefault="008E53C5" w:rsidP="008E53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أن يكون منقولًا نقلًا صحيحًا</w:t>
      </w:r>
      <w:r w:rsidRPr="008E53C5">
        <w:rPr>
          <w:rFonts w:ascii="Times New Roman" w:eastAsia="Times New Roman" w:hAnsi="Times New Roman" w:cs="Times New Roman"/>
          <w:kern w:val="0"/>
          <w14:ligatures w14:val="none"/>
        </w:rPr>
        <w:t>.</w:t>
      </w:r>
    </w:p>
    <w:p w14:paraId="18666B37" w14:textId="77777777" w:rsidR="008E53C5" w:rsidRPr="008E53C5" w:rsidRDefault="008E53C5" w:rsidP="008E53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أن يصدر عن أهلٍ يُوثق بفصاحتهم</w:t>
      </w:r>
      <w:r w:rsidRPr="008E53C5">
        <w:rPr>
          <w:rFonts w:ascii="Times New Roman" w:eastAsia="Times New Roman" w:hAnsi="Times New Roman" w:cs="Times New Roman"/>
          <w:kern w:val="0"/>
          <w14:ligatures w14:val="none"/>
        </w:rPr>
        <w:t>.</w:t>
      </w:r>
    </w:p>
    <w:p w14:paraId="2C2BE1D7"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شروط السماع</w:t>
      </w:r>
    </w:p>
    <w:p w14:paraId="2A83CC2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ورد في المحاضرة أن للسماع ثلاثة شروط</w:t>
      </w:r>
      <w:r w:rsidRPr="008E53C5">
        <w:rPr>
          <w:rFonts w:ascii="Times New Roman" w:eastAsia="Times New Roman" w:hAnsi="Times New Roman" w:cs="Times New Roman"/>
          <w:kern w:val="0"/>
          <w14:ligatures w14:val="none"/>
        </w:rPr>
        <w:t>:</w:t>
      </w:r>
    </w:p>
    <w:p w14:paraId="1D3C9060"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الشرط الأول: التواتر</w:t>
      </w:r>
    </w:p>
    <w:p w14:paraId="377B64E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المقصود بالتواتر هنا أن يكون الكلام منقولًا نقلًا واسعًا تتضافر عليه الروايات، فلا ينفرد بنقله راوٍ واحد أو اثنان أو ثلاثة فحسب</w:t>
      </w:r>
      <w:r w:rsidRPr="008E53C5">
        <w:rPr>
          <w:rFonts w:ascii="Times New Roman" w:eastAsia="Times New Roman" w:hAnsi="Times New Roman" w:cs="Times New Roman"/>
          <w:kern w:val="0"/>
          <w14:ligatures w14:val="none"/>
        </w:rPr>
        <w:t>.</w:t>
      </w:r>
    </w:p>
    <w:p w14:paraId="13DBBED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وأشار الدرس إلى أن التواتر يتحقق من خلال شيوع الرواية وتعدد ناقليها، بحيث يُطمأن إلى ثبوت النص اللغوي</w:t>
      </w:r>
      <w:r w:rsidRPr="008E53C5">
        <w:rPr>
          <w:rFonts w:ascii="Times New Roman" w:eastAsia="Times New Roman" w:hAnsi="Times New Roman" w:cs="Times New Roman"/>
          <w:kern w:val="0"/>
          <w14:ligatures w14:val="none"/>
        </w:rPr>
        <w:t>.</w:t>
      </w:r>
    </w:p>
    <w:p w14:paraId="70347F9D"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الشرط الثاني: الاستعمال اللغوي</w:t>
      </w:r>
    </w:p>
    <w:p w14:paraId="2910978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يشترط أن تكون الكلمة مستعملة في كلام العرب، لا مهجورة ومتروكة</w:t>
      </w:r>
      <w:r w:rsidRPr="008E53C5">
        <w:rPr>
          <w:rFonts w:ascii="Times New Roman" w:eastAsia="Times New Roman" w:hAnsi="Times New Roman" w:cs="Times New Roman"/>
          <w:kern w:val="0"/>
          <w14:ligatures w14:val="none"/>
        </w:rPr>
        <w:t>.</w:t>
      </w:r>
    </w:p>
    <w:p w14:paraId="7C91183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فلا بد من إثبات ورودها في الاستعمال العربي المعروف، أما ما خالف الاستعمال اللغوي المألوف فقد يوصف بالشذوذ بحسب موضعه والقرائن المتعلقة به</w:t>
      </w:r>
      <w:r w:rsidRPr="008E53C5">
        <w:rPr>
          <w:rFonts w:ascii="Times New Roman" w:eastAsia="Times New Roman" w:hAnsi="Times New Roman" w:cs="Times New Roman"/>
          <w:kern w:val="0"/>
          <w14:ligatures w14:val="none"/>
        </w:rPr>
        <w:t>.</w:t>
      </w:r>
    </w:p>
    <w:p w14:paraId="655BB6F9"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الشرط الثالث: الرواية</w:t>
      </w:r>
    </w:p>
    <w:p w14:paraId="0A874DF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ويقصد بها الأخذ من كلام العرب الفصحاء ونقله عنهم، ولا سيما من الذين حافظوا على سلامة اللسان العربي</w:t>
      </w:r>
      <w:r w:rsidRPr="008E53C5">
        <w:rPr>
          <w:rFonts w:ascii="Times New Roman" w:eastAsia="Times New Roman" w:hAnsi="Times New Roman" w:cs="Times New Roman"/>
          <w:kern w:val="0"/>
          <w14:ligatures w14:val="none"/>
        </w:rPr>
        <w:t>.</w:t>
      </w:r>
    </w:p>
    <w:p w14:paraId="03C7D37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وكانت البادية من أهم البيئات التي قصدها العلماء للحصول على المادة اللغوية الفصيحة</w:t>
      </w:r>
      <w:r w:rsidRPr="008E53C5">
        <w:rPr>
          <w:rFonts w:ascii="Times New Roman" w:eastAsia="Times New Roman" w:hAnsi="Times New Roman" w:cs="Times New Roman"/>
          <w:kern w:val="0"/>
          <w14:ligatures w14:val="none"/>
        </w:rPr>
        <w:t>.</w:t>
      </w:r>
    </w:p>
    <w:p w14:paraId="2407DC3D"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167AC47D">
          <v:rect id="_x0000_i1027" style="width:0;height:1.5pt" o:hralign="center" o:hrstd="t" o:hr="t" fillcolor="#a0a0a0" stroked="f"/>
        </w:pict>
      </w:r>
    </w:p>
    <w:p w14:paraId="5C98D47E"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4. </w:t>
      </w:r>
      <w:r w:rsidRPr="008E53C5">
        <w:rPr>
          <w:rFonts w:ascii="Times New Roman" w:eastAsia="Times New Roman" w:hAnsi="Times New Roman" w:cs="Times New Roman"/>
          <w:b/>
          <w:bCs/>
          <w:kern w:val="0"/>
          <w:sz w:val="36"/>
          <w:szCs w:val="36"/>
          <w:rtl/>
          <w14:ligatures w14:val="none"/>
        </w:rPr>
        <w:t>مصادر السماع</w:t>
      </w:r>
    </w:p>
    <w:p w14:paraId="6E1CD8C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تتمثل مصادر السماع الأساسية في ثلاثة مصادر</w:t>
      </w:r>
      <w:r w:rsidRPr="008E53C5">
        <w:rPr>
          <w:rFonts w:ascii="Times New Roman" w:eastAsia="Times New Roman" w:hAnsi="Times New Roman" w:cs="Times New Roman"/>
          <w:kern w:val="0"/>
          <w14:ligatures w14:val="none"/>
        </w:rPr>
        <w:t>:</w:t>
      </w:r>
    </w:p>
    <w:p w14:paraId="63B59040"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أ. القرآن الكريم</w:t>
      </w:r>
    </w:p>
    <w:p w14:paraId="476BE38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يُعد القرآن الكريم من أعلى مصادر الاستشهاد اللغوي؛ لأنه نزل بلسان عربي مبين، وهو من أرقى مراتب الفصاحة</w:t>
      </w:r>
      <w:r w:rsidRPr="008E53C5">
        <w:rPr>
          <w:rFonts w:ascii="Times New Roman" w:eastAsia="Times New Roman" w:hAnsi="Times New Roman" w:cs="Times New Roman"/>
          <w:kern w:val="0"/>
          <w14:ligatures w14:val="none"/>
        </w:rPr>
        <w:t>.</w:t>
      </w:r>
    </w:p>
    <w:p w14:paraId="1105A58A"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قال الله تعالى</w:t>
      </w:r>
      <w:r w:rsidRPr="008E53C5">
        <w:rPr>
          <w:rFonts w:ascii="Times New Roman" w:eastAsia="Times New Roman" w:hAnsi="Times New Roman" w:cs="Times New Roman"/>
          <w:kern w:val="0"/>
          <w14:ligatures w14:val="none"/>
        </w:rPr>
        <w:t>:</w:t>
      </w:r>
    </w:p>
    <w:p w14:paraId="20AC68A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﴿بِلِسَانٍ عَرَبِيٍّ مُبِينٍ﴾</w:t>
      </w:r>
      <w:r w:rsidRPr="008E53C5">
        <w:rPr>
          <w:rFonts w:ascii="Times New Roman" w:eastAsia="Times New Roman" w:hAnsi="Times New Roman" w:cs="Times New Roman"/>
          <w:kern w:val="0"/>
          <w14:ligatures w14:val="none"/>
        </w:rPr>
        <w:t>.</w:t>
      </w:r>
    </w:p>
    <w:p w14:paraId="1137165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ولذلك يُعتمد على القرآن الكريم في إثبات صحة الاستعمالات اللغوية والنحوية، ولا يُردّ استعمال قرآني ثابت بسبب مخالفته لقاعدة وضعها النحوي، بل تُدرس القاعدة في ضوئه</w:t>
      </w:r>
      <w:r w:rsidRPr="008E53C5">
        <w:rPr>
          <w:rFonts w:ascii="Times New Roman" w:eastAsia="Times New Roman" w:hAnsi="Times New Roman" w:cs="Times New Roman"/>
          <w:kern w:val="0"/>
          <w14:ligatures w14:val="none"/>
        </w:rPr>
        <w:t>.</w:t>
      </w:r>
    </w:p>
    <w:p w14:paraId="09603138"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ب. الحديث النبوي الشريف</w:t>
      </w:r>
    </w:p>
    <w:p w14:paraId="4A4CD44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يُعد الحديث النبوي الشريف مصدرًا مهمًا من مصادر السماع؛ لأن النبي صلى الله عليه وسلم أوتي جوامع الكلم، وتميز بيانه بالفصاحة والبلاغة</w:t>
      </w:r>
      <w:r w:rsidRPr="008E53C5">
        <w:rPr>
          <w:rFonts w:ascii="Times New Roman" w:eastAsia="Times New Roman" w:hAnsi="Times New Roman" w:cs="Times New Roman"/>
          <w:kern w:val="0"/>
          <w14:ligatures w14:val="none"/>
        </w:rPr>
        <w:t>.</w:t>
      </w:r>
    </w:p>
    <w:p w14:paraId="0077DA8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وقد نشأ النبي صلى الله عليه وسلم في بني سعد بن بكر، وهي بيئة عُرفت بفصاحة اللسان العربي</w:t>
      </w:r>
      <w:r w:rsidRPr="008E53C5">
        <w:rPr>
          <w:rFonts w:ascii="Times New Roman" w:eastAsia="Times New Roman" w:hAnsi="Times New Roman" w:cs="Times New Roman"/>
          <w:kern w:val="0"/>
          <w14:ligatures w14:val="none"/>
        </w:rPr>
        <w:t>.</w:t>
      </w:r>
    </w:p>
    <w:p w14:paraId="1107D5E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ومع ذلك، فإن </w:t>
      </w:r>
      <w:r w:rsidRPr="008E53C5">
        <w:rPr>
          <w:rFonts w:ascii="Times New Roman" w:eastAsia="Times New Roman" w:hAnsi="Times New Roman" w:cs="Times New Roman"/>
          <w:b/>
          <w:bCs/>
          <w:kern w:val="0"/>
          <w:rtl/>
          <w14:ligatures w14:val="none"/>
        </w:rPr>
        <w:t>الاحتجاج بالحديث النبوي عند النحاة له مذاهب وآراء مختلفة</w:t>
      </w:r>
      <w:r w:rsidRPr="008E53C5">
        <w:rPr>
          <w:rFonts w:ascii="Times New Roman" w:eastAsia="Times New Roman" w:hAnsi="Times New Roman" w:cs="Times New Roman"/>
          <w:kern w:val="0"/>
          <w:rtl/>
          <w14:ligatures w14:val="none"/>
        </w:rPr>
        <w:t>، فقد اختلفوا في بعض جوانب الاحتجاج به، لا في مكانة النبي صلى الله عليه وسلم وفصاحة بيانه</w:t>
      </w:r>
      <w:r w:rsidRPr="008E53C5">
        <w:rPr>
          <w:rFonts w:ascii="Times New Roman" w:eastAsia="Times New Roman" w:hAnsi="Times New Roman" w:cs="Times New Roman"/>
          <w:kern w:val="0"/>
          <w14:ligatures w14:val="none"/>
        </w:rPr>
        <w:t>.</w:t>
      </w:r>
    </w:p>
    <w:p w14:paraId="74A686E3"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ج. كلام العرب</w:t>
      </w:r>
    </w:p>
    <w:p w14:paraId="3391BB1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يشمل كلام العرب قسمين رئيسيين</w:t>
      </w:r>
      <w:r w:rsidRPr="008E53C5">
        <w:rPr>
          <w:rFonts w:ascii="Times New Roman" w:eastAsia="Times New Roman" w:hAnsi="Times New Roman" w:cs="Times New Roman"/>
          <w:kern w:val="0"/>
          <w14:ligatures w14:val="none"/>
        </w:rPr>
        <w:t>:</w:t>
      </w:r>
    </w:p>
    <w:p w14:paraId="78C37D47" w14:textId="77777777" w:rsidR="008E53C5" w:rsidRPr="008E53C5" w:rsidRDefault="008E53C5" w:rsidP="008E53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الشعر العربي</w:t>
      </w:r>
      <w:r w:rsidRPr="008E53C5">
        <w:rPr>
          <w:rFonts w:ascii="Times New Roman" w:eastAsia="Times New Roman" w:hAnsi="Times New Roman" w:cs="Times New Roman"/>
          <w:kern w:val="0"/>
          <w14:ligatures w14:val="none"/>
        </w:rPr>
        <w:t>.</w:t>
      </w:r>
    </w:p>
    <w:p w14:paraId="7EAA0CC4" w14:textId="77777777" w:rsidR="008E53C5" w:rsidRPr="008E53C5" w:rsidRDefault="008E53C5" w:rsidP="008E53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النثر العربي</w:t>
      </w:r>
      <w:r w:rsidRPr="008E53C5">
        <w:rPr>
          <w:rFonts w:ascii="Times New Roman" w:eastAsia="Times New Roman" w:hAnsi="Times New Roman" w:cs="Times New Roman"/>
          <w:kern w:val="0"/>
          <w14:ligatures w14:val="none"/>
        </w:rPr>
        <w:t>.</w:t>
      </w:r>
    </w:p>
    <w:p w14:paraId="5CB8C4B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وقد اعتمد العلماء عليهما في إثبات القواعد اللغوية والنحوية، وفق شروط الاحتجاج المعروفة</w:t>
      </w:r>
      <w:r w:rsidRPr="008E53C5">
        <w:rPr>
          <w:rFonts w:ascii="Times New Roman" w:eastAsia="Times New Roman" w:hAnsi="Times New Roman" w:cs="Times New Roman"/>
          <w:kern w:val="0"/>
          <w14:ligatures w14:val="none"/>
        </w:rPr>
        <w:t>.</w:t>
      </w:r>
    </w:p>
    <w:p w14:paraId="375EC67E"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7ED0A49B">
          <v:rect id="_x0000_i1028" style="width:0;height:1.5pt" o:hralign="center" o:hrstd="t" o:hr="t" fillcolor="#a0a0a0" stroked="f"/>
        </w:pict>
      </w:r>
    </w:p>
    <w:p w14:paraId="49F1A3D8"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lastRenderedPageBreak/>
        <w:t>ثالثًا: عصر الاحتجاج اللغوي</w:t>
      </w:r>
    </w:p>
    <w:p w14:paraId="562767AA"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مفهوم عصر الاحتجاج</w:t>
      </w:r>
    </w:p>
    <w:p w14:paraId="40C0C890"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عصر الاحتجاج هو الفترة الزمنية التي يُعتمد فيها على كلام العرب لإثبات القواعد اللغوية والنحوية، وفق ما اشترطه العلماء من فصاحة المتكلم وصحة الرواية</w:t>
      </w:r>
      <w:r w:rsidRPr="008E53C5">
        <w:rPr>
          <w:rFonts w:ascii="Times New Roman" w:eastAsia="Times New Roman" w:hAnsi="Times New Roman" w:cs="Times New Roman"/>
          <w:kern w:val="0"/>
          <w14:ligatures w14:val="none"/>
        </w:rPr>
        <w:t>.</w:t>
      </w:r>
    </w:p>
    <w:p w14:paraId="3EDB140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وذكر الدرس أن العلماء وضعوا حدودًا زمنية للاحتجاج، فجعلوا </w:t>
      </w:r>
      <w:r w:rsidRPr="008E53C5">
        <w:rPr>
          <w:rFonts w:ascii="Times New Roman" w:eastAsia="Times New Roman" w:hAnsi="Times New Roman" w:cs="Times New Roman"/>
          <w:b/>
          <w:bCs/>
          <w:kern w:val="0"/>
          <w:rtl/>
          <w14:ligatures w14:val="none"/>
        </w:rPr>
        <w:t>سنة 150هـ</w:t>
      </w:r>
      <w:r w:rsidRPr="008E53C5">
        <w:rPr>
          <w:rFonts w:ascii="Times New Roman" w:eastAsia="Times New Roman" w:hAnsi="Times New Roman" w:cs="Times New Roman"/>
          <w:kern w:val="0"/>
          <w:rtl/>
          <w14:ligatures w14:val="none"/>
        </w:rPr>
        <w:t xml:space="preserve"> حدًّا فاصلًا في كلام أهل الحضر، واستمر الاحتجاج بكلام أهل البادية إلى </w:t>
      </w:r>
      <w:r w:rsidRPr="008E53C5">
        <w:rPr>
          <w:rFonts w:ascii="Times New Roman" w:eastAsia="Times New Roman" w:hAnsi="Times New Roman" w:cs="Times New Roman"/>
          <w:b/>
          <w:bCs/>
          <w:kern w:val="0"/>
          <w:rtl/>
          <w14:ligatures w14:val="none"/>
        </w:rPr>
        <w:t>سنة 300هـ، أي بداية القرن الرابع الهجري</w:t>
      </w:r>
      <w:r w:rsidRPr="008E53C5">
        <w:rPr>
          <w:rFonts w:ascii="Times New Roman" w:eastAsia="Times New Roman" w:hAnsi="Times New Roman" w:cs="Times New Roman"/>
          <w:kern w:val="0"/>
          <w14:ligatures w14:val="none"/>
        </w:rPr>
        <w:t>.</w:t>
      </w:r>
    </w:p>
    <w:p w14:paraId="759D2B7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وورد في المحاضرة ربط الحد الأول بوفاة الشاعر إبراهيم بن هرمة؛ ويُستحسن مراجعة تاريخ الوفاة المثبت في كراس الأستاذ، مع التمييز بين الحد الزمني العام للاحتجاج وتاريخ وفاة شاعر بعينه</w:t>
      </w:r>
      <w:r w:rsidRPr="008E53C5">
        <w:rPr>
          <w:rFonts w:ascii="Times New Roman" w:eastAsia="Times New Roman" w:hAnsi="Times New Roman" w:cs="Times New Roman"/>
          <w:kern w:val="0"/>
          <w14:ligatures w14:val="none"/>
        </w:rPr>
        <w:t>.</w:t>
      </w:r>
    </w:p>
    <w:p w14:paraId="2999278F"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الاحتجاج بكلام أهل الحضر والبادية</w:t>
      </w:r>
    </w:p>
    <w:p w14:paraId="738F5CC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بحسب التقسيم الوارد في المحاضرة</w:t>
      </w:r>
      <w:r w:rsidRPr="008E53C5">
        <w:rPr>
          <w:rFonts w:ascii="Times New Roman" w:eastAsia="Times New Roman" w:hAnsi="Times New Roman" w:cs="Times New Roman"/>
          <w:kern w:val="0"/>
          <w14:ligatures w14:val="none"/>
        </w:rPr>
        <w:t>:</w:t>
      </w:r>
    </w:p>
    <w:p w14:paraId="5DE66713" w14:textId="77777777" w:rsidR="008E53C5" w:rsidRPr="008E53C5" w:rsidRDefault="008E53C5" w:rsidP="008E53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أهل الحضر</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انتهى الاحتجاج بكلامهم عند الحد الزمني المحدد بسنة 150هـ</w:t>
      </w:r>
      <w:r w:rsidRPr="008E53C5">
        <w:rPr>
          <w:rFonts w:ascii="Times New Roman" w:eastAsia="Times New Roman" w:hAnsi="Times New Roman" w:cs="Times New Roman"/>
          <w:kern w:val="0"/>
          <w14:ligatures w14:val="none"/>
        </w:rPr>
        <w:t>.</w:t>
      </w:r>
    </w:p>
    <w:p w14:paraId="6B0D339E" w14:textId="77777777" w:rsidR="008E53C5" w:rsidRPr="008E53C5" w:rsidRDefault="008E53C5" w:rsidP="008E53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أهل البادية</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استمر الاحتجاج بكلامهم إلى بداية القرن الرابع الهجري، أي نحو سنة 300هـ</w:t>
      </w:r>
      <w:r w:rsidRPr="008E53C5">
        <w:rPr>
          <w:rFonts w:ascii="Times New Roman" w:eastAsia="Times New Roman" w:hAnsi="Times New Roman" w:cs="Times New Roman"/>
          <w:kern w:val="0"/>
          <w14:ligatures w14:val="none"/>
        </w:rPr>
        <w:t>.</w:t>
      </w:r>
    </w:p>
    <w:p w14:paraId="74822DEE"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وكان هذا التحديد مبنيًا على تصور العلماء لاختلاف البيئات اللغوية ومدى تعرضها للاختلاط بغير العرب</w:t>
      </w:r>
      <w:r w:rsidRPr="008E53C5">
        <w:rPr>
          <w:rFonts w:ascii="Times New Roman" w:eastAsia="Times New Roman" w:hAnsi="Times New Roman" w:cs="Times New Roman"/>
          <w:kern w:val="0"/>
          <w14:ligatures w14:val="none"/>
        </w:rPr>
        <w:t>.</w:t>
      </w:r>
    </w:p>
    <w:p w14:paraId="4128F547"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الشعراء الذين يُحتج بشعرهم</w:t>
      </w:r>
    </w:p>
    <w:p w14:paraId="5B567B5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قسّم الدرس الشعراء الذين يُستشهد بشعرهم إلى الفئات الآتية</w:t>
      </w:r>
      <w:r w:rsidRPr="008E53C5">
        <w:rPr>
          <w:rFonts w:ascii="Times New Roman" w:eastAsia="Times New Roman" w:hAnsi="Times New Roman" w:cs="Times New Roman"/>
          <w:kern w:val="0"/>
          <w14:ligatures w14:val="none"/>
        </w:rPr>
        <w:t>:</w:t>
      </w:r>
    </w:p>
    <w:p w14:paraId="1FC66437"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أ. شعراء العصر الجاهلي</w:t>
      </w:r>
    </w:p>
    <w:p w14:paraId="18FF60E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منهم</w:t>
      </w:r>
      <w:r w:rsidRPr="008E53C5">
        <w:rPr>
          <w:rFonts w:ascii="Times New Roman" w:eastAsia="Times New Roman" w:hAnsi="Times New Roman" w:cs="Times New Roman"/>
          <w:kern w:val="0"/>
          <w14:ligatures w14:val="none"/>
        </w:rPr>
        <w:t>:</w:t>
      </w:r>
    </w:p>
    <w:p w14:paraId="18347BD8" w14:textId="77777777" w:rsidR="008E53C5" w:rsidRPr="008E53C5" w:rsidRDefault="008E53C5" w:rsidP="008E53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امرؤ القيس</w:t>
      </w:r>
      <w:r w:rsidRPr="008E53C5">
        <w:rPr>
          <w:rFonts w:ascii="Times New Roman" w:eastAsia="Times New Roman" w:hAnsi="Times New Roman" w:cs="Times New Roman"/>
          <w:kern w:val="0"/>
          <w14:ligatures w14:val="none"/>
        </w:rPr>
        <w:t>.</w:t>
      </w:r>
    </w:p>
    <w:p w14:paraId="307FDAB9" w14:textId="77777777" w:rsidR="008E53C5" w:rsidRPr="008E53C5" w:rsidRDefault="008E53C5" w:rsidP="008E53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طرفة بن العبد</w:t>
      </w:r>
      <w:r w:rsidRPr="008E53C5">
        <w:rPr>
          <w:rFonts w:ascii="Times New Roman" w:eastAsia="Times New Roman" w:hAnsi="Times New Roman" w:cs="Times New Roman"/>
          <w:kern w:val="0"/>
          <w14:ligatures w14:val="none"/>
        </w:rPr>
        <w:t>.</w:t>
      </w:r>
    </w:p>
    <w:p w14:paraId="33F6A919" w14:textId="77777777" w:rsidR="008E53C5" w:rsidRPr="008E53C5" w:rsidRDefault="008E53C5" w:rsidP="008E53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زهير بن أبي سلمى</w:t>
      </w:r>
      <w:r w:rsidRPr="008E53C5">
        <w:rPr>
          <w:rFonts w:ascii="Times New Roman" w:eastAsia="Times New Roman" w:hAnsi="Times New Roman" w:cs="Times New Roman"/>
          <w:kern w:val="0"/>
          <w14:ligatures w14:val="none"/>
        </w:rPr>
        <w:t>.</w:t>
      </w:r>
    </w:p>
    <w:p w14:paraId="18C1FF46"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ب. الشعراء المخضرمون</w:t>
      </w:r>
    </w:p>
    <w:p w14:paraId="656AD61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وهم الذين أدركوا الجاهلية والإسلام، ومنهم</w:t>
      </w:r>
      <w:r w:rsidRPr="008E53C5">
        <w:rPr>
          <w:rFonts w:ascii="Times New Roman" w:eastAsia="Times New Roman" w:hAnsi="Times New Roman" w:cs="Times New Roman"/>
          <w:kern w:val="0"/>
          <w14:ligatures w14:val="none"/>
        </w:rPr>
        <w:t>:</w:t>
      </w:r>
    </w:p>
    <w:p w14:paraId="4EA39934" w14:textId="77777777" w:rsidR="008E53C5" w:rsidRPr="008E53C5" w:rsidRDefault="008E53C5" w:rsidP="008E53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حسان بن ثابت</w:t>
      </w:r>
      <w:r w:rsidRPr="008E53C5">
        <w:rPr>
          <w:rFonts w:ascii="Times New Roman" w:eastAsia="Times New Roman" w:hAnsi="Times New Roman" w:cs="Times New Roman"/>
          <w:kern w:val="0"/>
          <w14:ligatures w14:val="none"/>
        </w:rPr>
        <w:t>.</w:t>
      </w:r>
    </w:p>
    <w:p w14:paraId="753934DB" w14:textId="77777777" w:rsidR="008E53C5" w:rsidRPr="008E53C5" w:rsidRDefault="008E53C5" w:rsidP="008E53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لبيد بن ربيعة</w:t>
      </w:r>
      <w:r w:rsidRPr="008E53C5">
        <w:rPr>
          <w:rFonts w:ascii="Times New Roman" w:eastAsia="Times New Roman" w:hAnsi="Times New Roman" w:cs="Times New Roman"/>
          <w:kern w:val="0"/>
          <w14:ligatures w14:val="none"/>
        </w:rPr>
        <w:t>.</w:t>
      </w:r>
    </w:p>
    <w:p w14:paraId="2EADB503"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ج. الشعراء الإسلاميون</w:t>
      </w:r>
    </w:p>
    <w:p w14:paraId="59060CE1"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ومنهم</w:t>
      </w:r>
      <w:r w:rsidRPr="008E53C5">
        <w:rPr>
          <w:rFonts w:ascii="Times New Roman" w:eastAsia="Times New Roman" w:hAnsi="Times New Roman" w:cs="Times New Roman"/>
          <w:kern w:val="0"/>
          <w14:ligatures w14:val="none"/>
        </w:rPr>
        <w:t>:</w:t>
      </w:r>
    </w:p>
    <w:p w14:paraId="5828F6F1" w14:textId="77777777" w:rsidR="008E53C5" w:rsidRPr="008E53C5" w:rsidRDefault="008E53C5" w:rsidP="008E53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الفرزدق</w:t>
      </w:r>
      <w:r w:rsidRPr="008E53C5">
        <w:rPr>
          <w:rFonts w:ascii="Times New Roman" w:eastAsia="Times New Roman" w:hAnsi="Times New Roman" w:cs="Times New Roman"/>
          <w:kern w:val="0"/>
          <w14:ligatures w14:val="none"/>
        </w:rPr>
        <w:t>.</w:t>
      </w:r>
    </w:p>
    <w:p w14:paraId="36966846" w14:textId="77777777" w:rsidR="008E53C5" w:rsidRPr="008E53C5" w:rsidRDefault="008E53C5" w:rsidP="008E53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جرير</w:t>
      </w:r>
      <w:r w:rsidRPr="008E53C5">
        <w:rPr>
          <w:rFonts w:ascii="Times New Roman" w:eastAsia="Times New Roman" w:hAnsi="Times New Roman" w:cs="Times New Roman"/>
          <w:kern w:val="0"/>
          <w14:ligatures w14:val="none"/>
        </w:rPr>
        <w:t>.</w:t>
      </w:r>
    </w:p>
    <w:p w14:paraId="432B0E69" w14:textId="77777777" w:rsidR="008E53C5" w:rsidRPr="008E53C5" w:rsidRDefault="008E53C5" w:rsidP="008E53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الأخطل</w:t>
      </w:r>
      <w:r w:rsidRPr="008E53C5">
        <w:rPr>
          <w:rFonts w:ascii="Times New Roman" w:eastAsia="Times New Roman" w:hAnsi="Times New Roman" w:cs="Times New Roman"/>
          <w:kern w:val="0"/>
          <w14:ligatures w14:val="none"/>
        </w:rPr>
        <w:t>.</w:t>
      </w:r>
    </w:p>
    <w:p w14:paraId="65D4A8D6"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rtl/>
          <w14:ligatures w14:val="none"/>
        </w:rPr>
        <w:t>د. الشعراء المولدون</w:t>
      </w:r>
    </w:p>
    <w:p w14:paraId="2A5DF9A7"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وهم الشعراء الذين جاءوا بعد مرحلة الاحتجاج المقررة عند العلماء، ومنهم</w:t>
      </w:r>
      <w:r w:rsidRPr="008E53C5">
        <w:rPr>
          <w:rFonts w:ascii="Times New Roman" w:eastAsia="Times New Roman" w:hAnsi="Times New Roman" w:cs="Times New Roman"/>
          <w:kern w:val="0"/>
          <w14:ligatures w14:val="none"/>
        </w:rPr>
        <w:t>:</w:t>
      </w:r>
    </w:p>
    <w:p w14:paraId="723F4253" w14:textId="77777777" w:rsidR="008E53C5" w:rsidRPr="008E53C5" w:rsidRDefault="008E53C5" w:rsidP="008E53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بشار بن برد</w:t>
      </w:r>
      <w:r w:rsidRPr="008E53C5">
        <w:rPr>
          <w:rFonts w:ascii="Times New Roman" w:eastAsia="Times New Roman" w:hAnsi="Times New Roman" w:cs="Times New Roman"/>
          <w:kern w:val="0"/>
          <w14:ligatures w14:val="none"/>
        </w:rPr>
        <w:t>.</w:t>
      </w:r>
    </w:p>
    <w:p w14:paraId="7FE04F01" w14:textId="77777777" w:rsidR="008E53C5" w:rsidRPr="008E53C5" w:rsidRDefault="008E53C5" w:rsidP="008E53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أبو نواس</w:t>
      </w:r>
      <w:r w:rsidRPr="008E53C5">
        <w:rPr>
          <w:rFonts w:ascii="Times New Roman" w:eastAsia="Times New Roman" w:hAnsi="Times New Roman" w:cs="Times New Roman"/>
          <w:kern w:val="0"/>
          <w14:ligatures w14:val="none"/>
        </w:rPr>
        <w:t>.</w:t>
      </w:r>
    </w:p>
    <w:p w14:paraId="5B43C615" w14:textId="77777777" w:rsidR="008E53C5" w:rsidRPr="008E53C5" w:rsidRDefault="008E53C5" w:rsidP="008E53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أبو العتاهية</w:t>
      </w:r>
      <w:r w:rsidRPr="008E53C5">
        <w:rPr>
          <w:rFonts w:ascii="Times New Roman" w:eastAsia="Times New Roman" w:hAnsi="Times New Roman" w:cs="Times New Roman"/>
          <w:kern w:val="0"/>
          <w14:ligatures w14:val="none"/>
        </w:rPr>
        <w:t>.</w:t>
      </w:r>
    </w:p>
    <w:p w14:paraId="5213030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ولا يُحتج بشعر هؤلاء لإثبات القواعد اللغوية والنحوية وفق التقسيم الزمني التقليدي، وإن أمكن الاستفادة من شعرهم في أغراض أخرى</w:t>
      </w:r>
      <w:r w:rsidRPr="008E53C5">
        <w:rPr>
          <w:rFonts w:ascii="Times New Roman" w:eastAsia="Times New Roman" w:hAnsi="Times New Roman" w:cs="Times New Roman"/>
          <w:kern w:val="0"/>
          <w14:ligatures w14:val="none"/>
        </w:rPr>
        <w:t>.</w:t>
      </w:r>
    </w:p>
    <w:p w14:paraId="3E68C10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وينطبق على النثر العربي ما ينطبق على الشعر من حيث مراعاة زمن الاحتجاج، وفصاحة المتكلم، وصحة النقل</w:t>
      </w:r>
      <w:r w:rsidRPr="008E53C5">
        <w:rPr>
          <w:rFonts w:ascii="Times New Roman" w:eastAsia="Times New Roman" w:hAnsi="Times New Roman" w:cs="Times New Roman"/>
          <w:kern w:val="0"/>
          <w14:ligatures w14:val="none"/>
        </w:rPr>
        <w:t>.</w:t>
      </w:r>
    </w:p>
    <w:p w14:paraId="53C1B89A"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2547CD2A">
          <v:rect id="_x0000_i1029" style="width:0;height:1.5pt" o:hralign="center" o:hrstd="t" o:hr="t" fillcolor="#a0a0a0" stroked="f"/>
        </w:pict>
      </w:r>
    </w:p>
    <w:p w14:paraId="49D3D957"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رابعًا: الاستدلال</w:t>
      </w:r>
    </w:p>
    <w:p w14:paraId="5F45BFF0"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الاستدلال لغةً</w:t>
      </w:r>
    </w:p>
    <w:p w14:paraId="11E13228"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الاستدلال هو </w:t>
      </w:r>
      <w:r w:rsidRPr="008E53C5">
        <w:rPr>
          <w:rFonts w:ascii="Times New Roman" w:eastAsia="Times New Roman" w:hAnsi="Times New Roman" w:cs="Times New Roman"/>
          <w:b/>
          <w:bCs/>
          <w:kern w:val="0"/>
          <w:rtl/>
          <w14:ligatures w14:val="none"/>
        </w:rPr>
        <w:t>طلب الدليل</w:t>
      </w:r>
      <w:r w:rsidRPr="008E53C5">
        <w:rPr>
          <w:rFonts w:ascii="Times New Roman" w:eastAsia="Times New Roman" w:hAnsi="Times New Roman" w:cs="Times New Roman"/>
          <w:kern w:val="0"/>
          <w14:ligatures w14:val="none"/>
        </w:rPr>
        <w:t>.</w:t>
      </w:r>
    </w:p>
    <w:p w14:paraId="074DE57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قال ابن الأنباري</w:t>
      </w:r>
      <w:r w:rsidRPr="008E53C5">
        <w:rPr>
          <w:rFonts w:ascii="Times New Roman" w:eastAsia="Times New Roman" w:hAnsi="Times New Roman" w:cs="Times New Roman"/>
          <w:kern w:val="0"/>
          <w14:ligatures w14:val="none"/>
        </w:rPr>
        <w:t>:</w:t>
      </w:r>
    </w:p>
    <w:p w14:paraId="52683A1A"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t>«</w:t>
      </w:r>
      <w:r w:rsidRPr="008E53C5">
        <w:rPr>
          <w:rFonts w:ascii="Times New Roman" w:eastAsia="Times New Roman" w:hAnsi="Times New Roman" w:cs="Times New Roman"/>
          <w:kern w:val="0"/>
          <w:rtl/>
          <w14:ligatures w14:val="none"/>
        </w:rPr>
        <w:t>اعلم أن الاستدلال طلب الدليل، كما أن الاستفهام طلب الفهم، والاستعلام طلب العلم</w:t>
      </w:r>
      <w:r w:rsidRPr="008E53C5">
        <w:rPr>
          <w:rFonts w:ascii="Times New Roman" w:eastAsia="Times New Roman" w:hAnsi="Times New Roman" w:cs="Times New Roman"/>
          <w:kern w:val="0"/>
          <w14:ligatures w14:val="none"/>
        </w:rPr>
        <w:t>».</w:t>
      </w:r>
    </w:p>
    <w:p w14:paraId="0389E2A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فكما أن الاستفهام هو طلب الفهم، والاستعلام هو طلب العلم، فإن الاستدلال هو طلب الدليل الذي يُتوصل به إلى معرفة صحة أمر أو ثبوته</w:t>
      </w:r>
      <w:r w:rsidRPr="008E53C5">
        <w:rPr>
          <w:rFonts w:ascii="Times New Roman" w:eastAsia="Times New Roman" w:hAnsi="Times New Roman" w:cs="Times New Roman"/>
          <w:kern w:val="0"/>
          <w14:ligatures w14:val="none"/>
        </w:rPr>
        <w:t>.</w:t>
      </w:r>
    </w:p>
    <w:p w14:paraId="5BC99130"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الاستدلال اصطلاحًا</w:t>
      </w:r>
    </w:p>
    <w:p w14:paraId="5ED3BAD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ورد في المحاضرة عن الجرجاني تعريف الاستدلال بأنه</w:t>
      </w:r>
      <w:r w:rsidRPr="008E53C5">
        <w:rPr>
          <w:rFonts w:ascii="Times New Roman" w:eastAsia="Times New Roman" w:hAnsi="Times New Roman" w:cs="Times New Roman"/>
          <w:kern w:val="0"/>
          <w14:ligatures w14:val="none"/>
        </w:rPr>
        <w:t>:</w:t>
      </w:r>
    </w:p>
    <w:p w14:paraId="7BB30910"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t>«</w:t>
      </w:r>
      <w:r w:rsidRPr="008E53C5">
        <w:rPr>
          <w:rFonts w:ascii="Times New Roman" w:eastAsia="Times New Roman" w:hAnsi="Times New Roman" w:cs="Times New Roman"/>
          <w:kern w:val="0"/>
          <w:rtl/>
          <w14:ligatures w14:val="none"/>
        </w:rPr>
        <w:t>تقرير الدليل لإثبات المدلول</w:t>
      </w:r>
      <w:r w:rsidRPr="008E53C5">
        <w:rPr>
          <w:rFonts w:ascii="Times New Roman" w:eastAsia="Times New Roman" w:hAnsi="Times New Roman" w:cs="Times New Roman"/>
          <w:kern w:val="0"/>
          <w14:ligatures w14:val="none"/>
        </w:rPr>
        <w:t>».</w:t>
      </w:r>
    </w:p>
    <w:p w14:paraId="1E6FB7E8"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عند الأصوليين، فهو إقامة الدليل مطلقًا، سواء أكان من نص أم إجماع أم قياس</w:t>
      </w:r>
      <w:r w:rsidRPr="008E53C5">
        <w:rPr>
          <w:rFonts w:ascii="Times New Roman" w:eastAsia="Times New Roman" w:hAnsi="Times New Roman" w:cs="Times New Roman"/>
          <w:kern w:val="0"/>
          <w14:ligatures w14:val="none"/>
        </w:rPr>
        <w:t>.</w:t>
      </w:r>
    </w:p>
    <w:p w14:paraId="3EEEF3F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وفي مجال النحو، يُقصد بالاستدلال النحوي استخراج الأحكام النحوية بالاعتماد على الأدلة والمناهج التي اعتمدها النحاة، ومنها</w:t>
      </w:r>
      <w:r w:rsidRPr="008E53C5">
        <w:rPr>
          <w:rFonts w:ascii="Times New Roman" w:eastAsia="Times New Roman" w:hAnsi="Times New Roman" w:cs="Times New Roman"/>
          <w:kern w:val="0"/>
          <w14:ligatures w14:val="none"/>
        </w:rPr>
        <w:t>:</w:t>
      </w:r>
    </w:p>
    <w:p w14:paraId="7011CC14" w14:textId="77777777" w:rsidR="008E53C5" w:rsidRPr="008E53C5" w:rsidRDefault="008E53C5" w:rsidP="008E53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السماع</w:t>
      </w:r>
      <w:r w:rsidRPr="008E53C5">
        <w:rPr>
          <w:rFonts w:ascii="Times New Roman" w:eastAsia="Times New Roman" w:hAnsi="Times New Roman" w:cs="Times New Roman"/>
          <w:kern w:val="0"/>
          <w14:ligatures w14:val="none"/>
        </w:rPr>
        <w:t>.</w:t>
      </w:r>
    </w:p>
    <w:p w14:paraId="75CEFF71" w14:textId="77777777" w:rsidR="008E53C5" w:rsidRPr="008E53C5" w:rsidRDefault="008E53C5" w:rsidP="008E53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القياس</w:t>
      </w:r>
      <w:r w:rsidRPr="008E53C5">
        <w:rPr>
          <w:rFonts w:ascii="Times New Roman" w:eastAsia="Times New Roman" w:hAnsi="Times New Roman" w:cs="Times New Roman"/>
          <w:kern w:val="0"/>
          <w14:ligatures w14:val="none"/>
        </w:rPr>
        <w:t>.</w:t>
      </w:r>
    </w:p>
    <w:p w14:paraId="212A8CB6" w14:textId="77777777" w:rsidR="008E53C5" w:rsidRPr="008E53C5" w:rsidRDefault="008E53C5" w:rsidP="008E53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استصحاب الحال</w:t>
      </w:r>
      <w:r w:rsidRPr="008E53C5">
        <w:rPr>
          <w:rFonts w:ascii="Times New Roman" w:eastAsia="Times New Roman" w:hAnsi="Times New Roman" w:cs="Times New Roman"/>
          <w:kern w:val="0"/>
          <w14:ligatures w14:val="none"/>
        </w:rPr>
        <w:t>.</w:t>
      </w:r>
    </w:p>
    <w:p w14:paraId="7864E2ED"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مثال على الاستدلال النحوي</w:t>
      </w:r>
    </w:p>
    <w:p w14:paraId="5162A2D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قال الشاعر</w:t>
      </w:r>
      <w:r w:rsidRPr="008E53C5">
        <w:rPr>
          <w:rFonts w:ascii="Times New Roman" w:eastAsia="Times New Roman" w:hAnsi="Times New Roman" w:cs="Times New Roman"/>
          <w:kern w:val="0"/>
          <w14:ligatures w14:val="none"/>
        </w:rPr>
        <w:t>:</w:t>
      </w:r>
    </w:p>
    <w:p w14:paraId="500F19C1"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أبني كليبٍ إن عمي اللذا</w:t>
      </w:r>
      <w:r w:rsidRPr="008E53C5">
        <w:rPr>
          <w:rFonts w:ascii="Times New Roman" w:eastAsia="Times New Roman" w:hAnsi="Times New Roman" w:cs="Times New Roman"/>
          <w:kern w:val="0"/>
          <w14:ligatures w14:val="none"/>
        </w:rPr>
        <w:br/>
      </w:r>
      <w:r w:rsidRPr="008E53C5">
        <w:rPr>
          <w:rFonts w:ascii="Times New Roman" w:eastAsia="Times New Roman" w:hAnsi="Times New Roman" w:cs="Times New Roman"/>
          <w:kern w:val="0"/>
          <w:rtl/>
          <w14:ligatures w14:val="none"/>
        </w:rPr>
        <w:t>قتلا الملوك وفككا الأغلالا</w:t>
      </w:r>
    </w:p>
    <w:p w14:paraId="6E5BEBA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استُدل بهذا الشاهد في المحاضرة على مسألة تتعلق بصيغة المثنى وحذف النون في الموضع الذي تناوله شرح الأستاذ</w:t>
      </w:r>
      <w:r w:rsidRPr="008E53C5">
        <w:rPr>
          <w:rFonts w:ascii="Times New Roman" w:eastAsia="Times New Roman" w:hAnsi="Times New Roman" w:cs="Times New Roman"/>
          <w:kern w:val="0"/>
          <w14:ligatures w14:val="none"/>
        </w:rPr>
        <w:t>.</w:t>
      </w:r>
    </w:p>
    <w:p w14:paraId="576C977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ويُقصد من المثال بيان أن النحوي لا يكتفي بذكر البيت الشعري، بل يستخرج منه حكمًا نحويًا، ويستند إلى استعمال العرب في تقرير ذلك الحكم</w:t>
      </w:r>
      <w:r w:rsidRPr="008E53C5">
        <w:rPr>
          <w:rFonts w:ascii="Times New Roman" w:eastAsia="Times New Roman" w:hAnsi="Times New Roman" w:cs="Times New Roman"/>
          <w:kern w:val="0"/>
          <w14:ligatures w14:val="none"/>
        </w:rPr>
        <w:t>.</w:t>
      </w:r>
    </w:p>
    <w:p w14:paraId="7BFBD824"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4E968BAA">
          <v:rect id="_x0000_i1030" style="width:0;height:1.5pt" o:hralign="center" o:hrstd="t" o:hr="t" fillcolor="#a0a0a0" stroked="f"/>
        </w:pict>
      </w:r>
    </w:p>
    <w:p w14:paraId="079FDF75"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خامسًا: الاستشهاد</w:t>
      </w:r>
    </w:p>
    <w:p w14:paraId="1B4C4115"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الاستشهاد اصطلاحًا</w:t>
      </w:r>
    </w:p>
    <w:p w14:paraId="5769713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 xml:space="preserve">الاستشهاد هو </w:t>
      </w:r>
      <w:r w:rsidRPr="008E53C5">
        <w:rPr>
          <w:rFonts w:ascii="Times New Roman" w:eastAsia="Times New Roman" w:hAnsi="Times New Roman" w:cs="Times New Roman"/>
          <w:b/>
          <w:bCs/>
          <w:kern w:val="0"/>
          <w:rtl/>
          <w14:ligatures w14:val="none"/>
        </w:rPr>
        <w:t>ذكر نصوص أو عبارات من مصادر معروفة لدعم رأي نحوي أو قاعدة نحوية أو لتوضيح فكرة لغوية</w:t>
      </w:r>
      <w:r w:rsidRPr="008E53C5">
        <w:rPr>
          <w:rFonts w:ascii="Times New Roman" w:eastAsia="Times New Roman" w:hAnsi="Times New Roman" w:cs="Times New Roman"/>
          <w:kern w:val="0"/>
          <w14:ligatures w14:val="none"/>
        </w:rPr>
        <w:t>.</w:t>
      </w:r>
    </w:p>
    <w:p w14:paraId="0329E3E4"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ويستعمل الاستشهاد في الدراسات الأدبية واللغوية، وفي الأبحاث العامة، مثل الاستشهاد بآية قرآنية أو حديث نبوي أو بيت شعري لتوضيح معنى، أو تحليل أسلوب، أو دعم رأي</w:t>
      </w:r>
      <w:r w:rsidRPr="008E53C5">
        <w:rPr>
          <w:rFonts w:ascii="Times New Roman" w:eastAsia="Times New Roman" w:hAnsi="Times New Roman" w:cs="Times New Roman"/>
          <w:kern w:val="0"/>
          <w14:ligatures w14:val="none"/>
        </w:rPr>
        <w:t>.</w:t>
      </w:r>
    </w:p>
    <w:p w14:paraId="7918542D"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بداية الاستشهاد في الدراسات اللغوية</w:t>
      </w:r>
    </w:p>
    <w:p w14:paraId="356244F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ارتبط الاستشهاد في بدايات الدراسات اللغوية بتفسير القرآن الكريم وبيان معاني ألفاظه الغريبة</w:t>
      </w:r>
      <w:r w:rsidRPr="008E53C5">
        <w:rPr>
          <w:rFonts w:ascii="Times New Roman" w:eastAsia="Times New Roman" w:hAnsi="Times New Roman" w:cs="Times New Roman"/>
          <w:kern w:val="0"/>
          <w14:ligatures w14:val="none"/>
        </w:rPr>
        <w:t>.</w:t>
      </w:r>
    </w:p>
    <w:p w14:paraId="15FBFFC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ويذكر الدرس أن المفسرين كانوا من أوائل من اتخذوا الشعر العربي شواهد لفهم غريب القرآن، ومن أشهر الأمثلة ما نُقل عن عبد الله بن عباس رضي الله عنهما في مسائل نافع بن الأزرق</w:t>
      </w:r>
      <w:r w:rsidRPr="008E53C5">
        <w:rPr>
          <w:rFonts w:ascii="Times New Roman" w:eastAsia="Times New Roman" w:hAnsi="Times New Roman" w:cs="Times New Roman"/>
          <w:kern w:val="0"/>
          <w14:ligatures w14:val="none"/>
        </w:rPr>
        <w:t>.</w:t>
      </w:r>
    </w:p>
    <w:p w14:paraId="7F8F9B60"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فقد كان نافع بن الأزرق يسأل ابن عباس عن كلمات من القرآن الكريم، فإذا شرح له معناها سأله: هل تعرف العرب ذلك؟ فيستشهد ابن عباس بكلام العرب وشعرهم</w:t>
      </w:r>
      <w:r w:rsidRPr="008E53C5">
        <w:rPr>
          <w:rFonts w:ascii="Times New Roman" w:eastAsia="Times New Roman" w:hAnsi="Times New Roman" w:cs="Times New Roman"/>
          <w:kern w:val="0"/>
          <w14:ligatures w14:val="none"/>
        </w:rPr>
        <w:t>.</w:t>
      </w:r>
    </w:p>
    <w:p w14:paraId="4348B347"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وهذا يدل على أهمية الشعر العربي في تفسير ألفاظ القرآن، وعلى مكانة الاستشهاد في إثبات الاستعمالات اللغوية</w:t>
      </w:r>
      <w:r w:rsidRPr="008E53C5">
        <w:rPr>
          <w:rFonts w:ascii="Times New Roman" w:eastAsia="Times New Roman" w:hAnsi="Times New Roman" w:cs="Times New Roman"/>
          <w:kern w:val="0"/>
          <w14:ligatures w14:val="none"/>
        </w:rPr>
        <w:t>.</w:t>
      </w:r>
    </w:p>
    <w:p w14:paraId="571278F1"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الاستشهاد في القرن الثاني الهجري</w:t>
      </w:r>
    </w:p>
    <w:p w14:paraId="7AB6A0B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أصبح الشاهد الشعري وسيلة معتمدة في الاحتجاج اللغوي خلال القرن الثاني الهجري وما بعده</w:t>
      </w:r>
      <w:r w:rsidRPr="008E53C5">
        <w:rPr>
          <w:rFonts w:ascii="Times New Roman" w:eastAsia="Times New Roman" w:hAnsi="Times New Roman" w:cs="Times New Roman"/>
          <w:kern w:val="0"/>
          <w14:ligatures w14:val="none"/>
        </w:rPr>
        <w:t>.</w:t>
      </w:r>
    </w:p>
    <w:p w14:paraId="4B3FC320"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وكثرت الشواهد الشعرية في كتب</w:t>
      </w:r>
      <w:r w:rsidRPr="008E53C5">
        <w:rPr>
          <w:rFonts w:ascii="Times New Roman" w:eastAsia="Times New Roman" w:hAnsi="Times New Roman" w:cs="Times New Roman"/>
          <w:kern w:val="0"/>
          <w14:ligatures w14:val="none"/>
        </w:rPr>
        <w:t>:</w:t>
      </w:r>
    </w:p>
    <w:p w14:paraId="682D8335" w14:textId="77777777" w:rsidR="008E53C5" w:rsidRPr="008E53C5" w:rsidRDefault="008E53C5" w:rsidP="008E5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الإعراب</w:t>
      </w:r>
      <w:r w:rsidRPr="008E53C5">
        <w:rPr>
          <w:rFonts w:ascii="Times New Roman" w:eastAsia="Times New Roman" w:hAnsi="Times New Roman" w:cs="Times New Roman"/>
          <w:kern w:val="0"/>
          <w14:ligatures w14:val="none"/>
        </w:rPr>
        <w:t>.</w:t>
      </w:r>
    </w:p>
    <w:p w14:paraId="350F6744" w14:textId="77777777" w:rsidR="008E53C5" w:rsidRPr="008E53C5" w:rsidRDefault="008E53C5" w:rsidP="008E5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معاني القرآن</w:t>
      </w:r>
      <w:r w:rsidRPr="008E53C5">
        <w:rPr>
          <w:rFonts w:ascii="Times New Roman" w:eastAsia="Times New Roman" w:hAnsi="Times New Roman" w:cs="Times New Roman"/>
          <w:kern w:val="0"/>
          <w14:ligatures w14:val="none"/>
        </w:rPr>
        <w:t>.</w:t>
      </w:r>
    </w:p>
    <w:p w14:paraId="2AF95B78" w14:textId="77777777" w:rsidR="008E53C5" w:rsidRPr="008E53C5" w:rsidRDefault="008E53C5" w:rsidP="008E5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الدراسات النحوية واللغوية</w:t>
      </w:r>
      <w:r w:rsidRPr="008E53C5">
        <w:rPr>
          <w:rFonts w:ascii="Times New Roman" w:eastAsia="Times New Roman" w:hAnsi="Times New Roman" w:cs="Times New Roman"/>
          <w:kern w:val="0"/>
          <w14:ligatures w14:val="none"/>
        </w:rPr>
        <w:t>.</w:t>
      </w:r>
    </w:p>
    <w:p w14:paraId="3B36D42D"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ومن العلماء الذين اشتهر استعمال الشواهد الشعرية في مؤلفاتهم: الفراء والأخفش</w:t>
      </w:r>
      <w:r w:rsidRPr="008E53C5">
        <w:rPr>
          <w:rFonts w:ascii="Times New Roman" w:eastAsia="Times New Roman" w:hAnsi="Times New Roman" w:cs="Times New Roman"/>
          <w:kern w:val="0"/>
          <w14:ligatures w14:val="none"/>
        </w:rPr>
        <w:t>.</w:t>
      </w:r>
    </w:p>
    <w:p w14:paraId="4176840F"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lastRenderedPageBreak/>
        <w:t xml:space="preserve">4. </w:t>
      </w:r>
      <w:r w:rsidRPr="008E53C5">
        <w:rPr>
          <w:rFonts w:ascii="Times New Roman" w:eastAsia="Times New Roman" w:hAnsi="Times New Roman" w:cs="Times New Roman"/>
          <w:b/>
          <w:bCs/>
          <w:kern w:val="0"/>
          <w:sz w:val="36"/>
          <w:szCs w:val="36"/>
          <w:rtl/>
          <w14:ligatures w14:val="none"/>
        </w:rPr>
        <w:t>وظيفة الاستشهاد</w:t>
      </w:r>
    </w:p>
    <w:p w14:paraId="7AB518C0"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تتمثل وظيفة الاستشهاد في</w:t>
      </w:r>
      <w:r w:rsidRPr="008E53C5">
        <w:rPr>
          <w:rFonts w:ascii="Times New Roman" w:eastAsia="Times New Roman" w:hAnsi="Times New Roman" w:cs="Times New Roman"/>
          <w:kern w:val="0"/>
          <w14:ligatures w14:val="none"/>
        </w:rPr>
        <w:t>:</w:t>
      </w:r>
    </w:p>
    <w:p w14:paraId="10836DC5" w14:textId="77777777" w:rsidR="008E53C5" w:rsidRPr="008E53C5" w:rsidRDefault="008E53C5" w:rsidP="008E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دعم الرأي النحوي أو اللغوي</w:t>
      </w:r>
      <w:r w:rsidRPr="008E53C5">
        <w:rPr>
          <w:rFonts w:ascii="Times New Roman" w:eastAsia="Times New Roman" w:hAnsi="Times New Roman" w:cs="Times New Roman"/>
          <w:kern w:val="0"/>
          <w14:ligatures w14:val="none"/>
        </w:rPr>
        <w:t>.</w:t>
      </w:r>
    </w:p>
    <w:p w14:paraId="1D16E753" w14:textId="77777777" w:rsidR="008E53C5" w:rsidRPr="008E53C5" w:rsidRDefault="008E53C5" w:rsidP="008E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توضيح القاعدة وشرحها</w:t>
      </w:r>
      <w:r w:rsidRPr="008E53C5">
        <w:rPr>
          <w:rFonts w:ascii="Times New Roman" w:eastAsia="Times New Roman" w:hAnsi="Times New Roman" w:cs="Times New Roman"/>
          <w:kern w:val="0"/>
          <w14:ligatures w14:val="none"/>
        </w:rPr>
        <w:t>.</w:t>
      </w:r>
    </w:p>
    <w:p w14:paraId="12B51CF1" w14:textId="77777777" w:rsidR="008E53C5" w:rsidRPr="008E53C5" w:rsidRDefault="008E53C5" w:rsidP="008E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بيان صحة استعمال لغوي</w:t>
      </w:r>
      <w:r w:rsidRPr="008E53C5">
        <w:rPr>
          <w:rFonts w:ascii="Times New Roman" w:eastAsia="Times New Roman" w:hAnsi="Times New Roman" w:cs="Times New Roman"/>
          <w:kern w:val="0"/>
          <w14:ligatures w14:val="none"/>
        </w:rPr>
        <w:t>.</w:t>
      </w:r>
    </w:p>
    <w:p w14:paraId="49240F75" w14:textId="77777777" w:rsidR="008E53C5" w:rsidRPr="008E53C5" w:rsidRDefault="008E53C5" w:rsidP="008E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تفسير الألفاظ والمعاني</w:t>
      </w:r>
      <w:r w:rsidRPr="008E53C5">
        <w:rPr>
          <w:rFonts w:ascii="Times New Roman" w:eastAsia="Times New Roman" w:hAnsi="Times New Roman" w:cs="Times New Roman"/>
          <w:kern w:val="0"/>
          <w14:ligatures w14:val="none"/>
        </w:rPr>
        <w:t>.</w:t>
      </w:r>
    </w:p>
    <w:p w14:paraId="0771E768" w14:textId="77777777" w:rsidR="008E53C5" w:rsidRPr="008E53C5" w:rsidRDefault="008E53C5" w:rsidP="008E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تحليل الأساليب البلاغية والأدبية</w:t>
      </w:r>
      <w:r w:rsidRPr="008E53C5">
        <w:rPr>
          <w:rFonts w:ascii="Times New Roman" w:eastAsia="Times New Roman" w:hAnsi="Times New Roman" w:cs="Times New Roman"/>
          <w:kern w:val="0"/>
          <w14:ligatures w14:val="none"/>
        </w:rPr>
        <w:t>.</w:t>
      </w:r>
    </w:p>
    <w:p w14:paraId="37C72379"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0078D692">
          <v:rect id="_x0000_i1031" style="width:0;height:1.5pt" o:hralign="center" o:hrstd="t" o:hr="t" fillcolor="#a0a0a0" stroked="f"/>
        </w:pict>
      </w:r>
    </w:p>
    <w:p w14:paraId="6DA8B69D"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سادسًا: التمثيل</w:t>
      </w:r>
    </w:p>
    <w:p w14:paraId="7C72A72F"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1. </w:t>
      </w:r>
      <w:r w:rsidRPr="008E53C5">
        <w:rPr>
          <w:rFonts w:ascii="Times New Roman" w:eastAsia="Times New Roman" w:hAnsi="Times New Roman" w:cs="Times New Roman"/>
          <w:b/>
          <w:bCs/>
          <w:kern w:val="0"/>
          <w:sz w:val="36"/>
          <w:szCs w:val="36"/>
          <w:rtl/>
          <w14:ligatures w14:val="none"/>
        </w:rPr>
        <w:t>مفهوم التمثيل</w:t>
      </w:r>
    </w:p>
    <w:p w14:paraId="5584A38B"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يقصد بالتمثيل في هذا السياق إيراد نص أو عبارة لتوضيح قاعدة أو بيان كيفية تطبيقها، وقد يكون المثال مأخوذًا من كلام العرب، وقد يكون مصنوعًا لأغراض التعليم والإيضاح</w:t>
      </w:r>
      <w:r w:rsidRPr="008E53C5">
        <w:rPr>
          <w:rFonts w:ascii="Times New Roman" w:eastAsia="Times New Roman" w:hAnsi="Times New Roman" w:cs="Times New Roman"/>
          <w:kern w:val="0"/>
          <w14:ligatures w14:val="none"/>
        </w:rPr>
        <w:t>.</w:t>
      </w:r>
    </w:p>
    <w:p w14:paraId="5C82F3D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وعليه، فإن المثال التعليمي لا يشترط أن يكون نصًا منقولًا عن شاعر أو خطيب، بل يمكن أن يصوغه المدرس أو الباحث لتقريب القاعدة إلى ذهن المتعلم</w:t>
      </w:r>
      <w:r w:rsidRPr="008E53C5">
        <w:rPr>
          <w:rFonts w:ascii="Times New Roman" w:eastAsia="Times New Roman" w:hAnsi="Times New Roman" w:cs="Times New Roman"/>
          <w:kern w:val="0"/>
          <w14:ligatures w14:val="none"/>
        </w:rPr>
        <w:t>.</w:t>
      </w:r>
    </w:p>
    <w:p w14:paraId="26D28CD4"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2. </w:t>
      </w:r>
      <w:r w:rsidRPr="008E53C5">
        <w:rPr>
          <w:rFonts w:ascii="Times New Roman" w:eastAsia="Times New Roman" w:hAnsi="Times New Roman" w:cs="Times New Roman"/>
          <w:b/>
          <w:bCs/>
          <w:kern w:val="0"/>
          <w:sz w:val="36"/>
          <w:szCs w:val="36"/>
          <w:rtl/>
          <w14:ligatures w14:val="none"/>
        </w:rPr>
        <w:t>التمثيل في الدراسات النحوية واللغوية</w:t>
      </w:r>
    </w:p>
    <w:p w14:paraId="76715A2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لا يحتج أئمة اللغة والنحو والصرف لإثبات القواعد إلا بالشواهد التي يُوثق بفصاحتها وصحة نقلها وفق شروط الاحتجاج</w:t>
      </w:r>
      <w:r w:rsidRPr="008E53C5">
        <w:rPr>
          <w:rFonts w:ascii="Times New Roman" w:eastAsia="Times New Roman" w:hAnsi="Times New Roman" w:cs="Times New Roman"/>
          <w:kern w:val="0"/>
          <w14:ligatures w14:val="none"/>
        </w:rPr>
        <w:t>.</w:t>
      </w:r>
    </w:p>
    <w:p w14:paraId="759DAD9D"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الشواهد المأخوذة من شعر المولدين أو العصور المتأخرة، فيمكن استعمالها في التعليم والتمثيل والاستئناس، لكنها لا تُتخذ حجة لتقعيد القواعد اللغوية والنحوية وفق المنهج التقليدي للاحتجاج</w:t>
      </w:r>
      <w:r w:rsidRPr="008E53C5">
        <w:rPr>
          <w:rFonts w:ascii="Times New Roman" w:eastAsia="Times New Roman" w:hAnsi="Times New Roman" w:cs="Times New Roman"/>
          <w:kern w:val="0"/>
          <w14:ligatures w14:val="none"/>
        </w:rPr>
        <w:t>.</w:t>
      </w:r>
    </w:p>
    <w:p w14:paraId="3D1A59A5"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فالغاية من المثال المصنوع أو المتأخر هي التعليم والإيضاح، لا تأسيس القاعدة النحوية</w:t>
      </w:r>
      <w:r w:rsidRPr="008E53C5">
        <w:rPr>
          <w:rFonts w:ascii="Times New Roman" w:eastAsia="Times New Roman" w:hAnsi="Times New Roman" w:cs="Times New Roman"/>
          <w:kern w:val="0"/>
          <w14:ligatures w14:val="none"/>
        </w:rPr>
        <w:t>.</w:t>
      </w:r>
    </w:p>
    <w:p w14:paraId="36EDE14A"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3. </w:t>
      </w:r>
      <w:r w:rsidRPr="008E53C5">
        <w:rPr>
          <w:rFonts w:ascii="Times New Roman" w:eastAsia="Times New Roman" w:hAnsi="Times New Roman" w:cs="Times New Roman"/>
          <w:b/>
          <w:bCs/>
          <w:kern w:val="0"/>
          <w:sz w:val="36"/>
          <w:szCs w:val="36"/>
          <w:rtl/>
          <w14:ligatures w14:val="none"/>
        </w:rPr>
        <w:t>التمثيل في البلاغة</w:t>
      </w:r>
    </w:p>
    <w:p w14:paraId="5EE89F42"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يختلف الأمر في علم البلاغة؛ إذ يجوز الاستشهاد بأشعار المولدين في بيان المعاني والأساليب البلاغية، بحسب ما ورد في المحاضرة، لأن الغرض هنا يتعلق بدراسة المعاني وطرائق التعبير، لا بإثبات أصل لغوي أو نحوي على النحو نفسه الذي تتطلبه صناعة الاحتجاج</w:t>
      </w:r>
      <w:r w:rsidRPr="008E53C5">
        <w:rPr>
          <w:rFonts w:ascii="Times New Roman" w:eastAsia="Times New Roman" w:hAnsi="Times New Roman" w:cs="Times New Roman"/>
          <w:kern w:val="0"/>
          <w14:ligatures w14:val="none"/>
        </w:rPr>
        <w:t>.</w:t>
      </w:r>
    </w:p>
    <w:p w14:paraId="1D329CD7"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14:ligatures w14:val="none"/>
        </w:rPr>
        <w:t xml:space="preserve">4. </w:t>
      </w:r>
      <w:r w:rsidRPr="008E53C5">
        <w:rPr>
          <w:rFonts w:ascii="Times New Roman" w:eastAsia="Times New Roman" w:hAnsi="Times New Roman" w:cs="Times New Roman"/>
          <w:b/>
          <w:bCs/>
          <w:kern w:val="0"/>
          <w:sz w:val="36"/>
          <w:szCs w:val="36"/>
          <w:rtl/>
          <w14:ligatures w14:val="none"/>
        </w:rPr>
        <w:t>وظيفة التمثيل</w:t>
      </w:r>
    </w:p>
    <w:p w14:paraId="39B7B33B"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من أهم وظائف التمثيل</w:t>
      </w:r>
      <w:r w:rsidRPr="008E53C5">
        <w:rPr>
          <w:rFonts w:ascii="Times New Roman" w:eastAsia="Times New Roman" w:hAnsi="Times New Roman" w:cs="Times New Roman"/>
          <w:kern w:val="0"/>
          <w14:ligatures w14:val="none"/>
        </w:rPr>
        <w:t>:</w:t>
      </w:r>
    </w:p>
    <w:p w14:paraId="5763B114" w14:textId="77777777" w:rsidR="008E53C5" w:rsidRPr="008E53C5" w:rsidRDefault="008E53C5" w:rsidP="008E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توضيح القاعدة</w:t>
      </w:r>
      <w:r w:rsidRPr="008E53C5">
        <w:rPr>
          <w:rFonts w:ascii="Times New Roman" w:eastAsia="Times New Roman" w:hAnsi="Times New Roman" w:cs="Times New Roman"/>
          <w:kern w:val="0"/>
          <w14:ligatures w14:val="none"/>
        </w:rPr>
        <w:t>.</w:t>
      </w:r>
    </w:p>
    <w:p w14:paraId="268D3385" w14:textId="77777777" w:rsidR="008E53C5" w:rsidRPr="008E53C5" w:rsidRDefault="008E53C5" w:rsidP="008E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تقريب المعنى إلى المتعلم</w:t>
      </w:r>
      <w:r w:rsidRPr="008E53C5">
        <w:rPr>
          <w:rFonts w:ascii="Times New Roman" w:eastAsia="Times New Roman" w:hAnsi="Times New Roman" w:cs="Times New Roman"/>
          <w:kern w:val="0"/>
          <w14:ligatures w14:val="none"/>
        </w:rPr>
        <w:t>.</w:t>
      </w:r>
    </w:p>
    <w:p w14:paraId="11FE3456" w14:textId="77777777" w:rsidR="008E53C5" w:rsidRPr="008E53C5" w:rsidRDefault="008E53C5" w:rsidP="008E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بيان كيفية تطبيق الحكم</w:t>
      </w:r>
      <w:r w:rsidRPr="008E53C5">
        <w:rPr>
          <w:rFonts w:ascii="Times New Roman" w:eastAsia="Times New Roman" w:hAnsi="Times New Roman" w:cs="Times New Roman"/>
          <w:kern w:val="0"/>
          <w14:ligatures w14:val="none"/>
        </w:rPr>
        <w:t>.</w:t>
      </w:r>
    </w:p>
    <w:p w14:paraId="602A7180" w14:textId="77777777" w:rsidR="008E53C5" w:rsidRPr="008E53C5" w:rsidRDefault="008E53C5" w:rsidP="008E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تدريب الطالب على التحليل</w:t>
      </w:r>
      <w:r w:rsidRPr="008E53C5">
        <w:rPr>
          <w:rFonts w:ascii="Times New Roman" w:eastAsia="Times New Roman" w:hAnsi="Times New Roman" w:cs="Times New Roman"/>
          <w:kern w:val="0"/>
          <w14:ligatures w14:val="none"/>
        </w:rPr>
        <w:t>.</w:t>
      </w:r>
    </w:p>
    <w:p w14:paraId="5751266C" w14:textId="77777777" w:rsidR="008E53C5" w:rsidRPr="008E53C5" w:rsidRDefault="008E53C5" w:rsidP="008E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الانتقال من القاعدة النظرية إلى المثال العملي</w:t>
      </w:r>
      <w:r w:rsidRPr="008E53C5">
        <w:rPr>
          <w:rFonts w:ascii="Times New Roman" w:eastAsia="Times New Roman" w:hAnsi="Times New Roman" w:cs="Times New Roman"/>
          <w:kern w:val="0"/>
          <w14:ligatures w14:val="none"/>
        </w:rPr>
        <w:t>.</w:t>
      </w:r>
    </w:p>
    <w:p w14:paraId="5F3BDECA"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36CC6267">
          <v:rect id="_x0000_i1032" style="width:0;height:1.5pt" o:hralign="center" o:hrstd="t" o:hr="t" fillcolor="#a0a0a0" stroked="f"/>
        </w:pict>
      </w:r>
    </w:p>
    <w:p w14:paraId="16DED842"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سابعًا: الفرق بين الاحتجاج والسماع والاستدلال والاستشهاد والتمثيل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3514"/>
        <w:gridCol w:w="2773"/>
      </w:tblGrid>
      <w:tr w:rsidR="008E53C5" w:rsidRPr="008E53C5" w14:paraId="1CC5D0E8" w14:textId="77777777">
        <w:trPr>
          <w:tblCellSpacing w:w="15" w:type="dxa"/>
        </w:trPr>
        <w:tc>
          <w:tcPr>
            <w:tcW w:w="0" w:type="auto"/>
            <w:vAlign w:val="center"/>
            <w:hideMark/>
          </w:tcPr>
          <w:p w14:paraId="7E1B0C87" w14:textId="77777777" w:rsidR="008E53C5" w:rsidRPr="008E53C5" w:rsidRDefault="008E53C5" w:rsidP="008E53C5">
            <w:pPr>
              <w:spacing w:after="0" w:line="240" w:lineRule="auto"/>
              <w:jc w:val="center"/>
              <w:rPr>
                <w:rFonts w:ascii="Times New Roman" w:eastAsia="Times New Roman" w:hAnsi="Times New Roman" w:cs="Times New Roman"/>
                <w:b/>
                <w:bCs/>
                <w:kern w:val="0"/>
                <w14:ligatures w14:val="none"/>
              </w:rPr>
            </w:pPr>
            <w:r w:rsidRPr="008E53C5">
              <w:rPr>
                <w:rFonts w:ascii="Times New Roman" w:eastAsia="Times New Roman" w:hAnsi="Times New Roman" w:cs="Times New Roman"/>
                <w:b/>
                <w:bCs/>
                <w:kern w:val="0"/>
                <w:rtl/>
                <w14:ligatures w14:val="none"/>
              </w:rPr>
              <w:t>المصطلح</w:t>
            </w:r>
          </w:p>
        </w:tc>
        <w:tc>
          <w:tcPr>
            <w:tcW w:w="0" w:type="auto"/>
            <w:vAlign w:val="center"/>
            <w:hideMark/>
          </w:tcPr>
          <w:p w14:paraId="6EBC8BDB" w14:textId="77777777" w:rsidR="008E53C5" w:rsidRPr="008E53C5" w:rsidRDefault="008E53C5" w:rsidP="008E53C5">
            <w:pPr>
              <w:spacing w:after="0" w:line="240" w:lineRule="auto"/>
              <w:jc w:val="center"/>
              <w:rPr>
                <w:rFonts w:ascii="Times New Roman" w:eastAsia="Times New Roman" w:hAnsi="Times New Roman" w:cs="Times New Roman"/>
                <w:b/>
                <w:bCs/>
                <w:kern w:val="0"/>
                <w14:ligatures w14:val="none"/>
              </w:rPr>
            </w:pPr>
            <w:r w:rsidRPr="008E53C5">
              <w:rPr>
                <w:rFonts w:ascii="Times New Roman" w:eastAsia="Times New Roman" w:hAnsi="Times New Roman" w:cs="Times New Roman"/>
                <w:b/>
                <w:bCs/>
                <w:kern w:val="0"/>
                <w:rtl/>
                <w14:ligatures w14:val="none"/>
              </w:rPr>
              <w:t>مفهومه</w:t>
            </w:r>
          </w:p>
        </w:tc>
        <w:tc>
          <w:tcPr>
            <w:tcW w:w="0" w:type="auto"/>
            <w:vAlign w:val="center"/>
            <w:hideMark/>
          </w:tcPr>
          <w:p w14:paraId="524E314A" w14:textId="77777777" w:rsidR="008E53C5" w:rsidRPr="008E53C5" w:rsidRDefault="008E53C5" w:rsidP="008E53C5">
            <w:pPr>
              <w:spacing w:after="0" w:line="240" w:lineRule="auto"/>
              <w:jc w:val="center"/>
              <w:rPr>
                <w:rFonts w:ascii="Times New Roman" w:eastAsia="Times New Roman" w:hAnsi="Times New Roman" w:cs="Times New Roman"/>
                <w:b/>
                <w:bCs/>
                <w:kern w:val="0"/>
                <w14:ligatures w14:val="none"/>
              </w:rPr>
            </w:pPr>
            <w:r w:rsidRPr="008E53C5">
              <w:rPr>
                <w:rFonts w:ascii="Times New Roman" w:eastAsia="Times New Roman" w:hAnsi="Times New Roman" w:cs="Times New Roman"/>
                <w:b/>
                <w:bCs/>
                <w:kern w:val="0"/>
                <w:rtl/>
                <w14:ligatures w14:val="none"/>
              </w:rPr>
              <w:t>وظيفته الأساسية</w:t>
            </w:r>
          </w:p>
        </w:tc>
      </w:tr>
      <w:tr w:rsidR="008E53C5" w:rsidRPr="008E53C5" w14:paraId="3993E011" w14:textId="77777777">
        <w:trPr>
          <w:tblCellSpacing w:w="15" w:type="dxa"/>
        </w:trPr>
        <w:tc>
          <w:tcPr>
            <w:tcW w:w="0" w:type="auto"/>
            <w:vAlign w:val="center"/>
            <w:hideMark/>
          </w:tcPr>
          <w:p w14:paraId="6BEC12C5"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الاحتجاج</w:t>
            </w:r>
          </w:p>
        </w:tc>
        <w:tc>
          <w:tcPr>
            <w:tcW w:w="0" w:type="auto"/>
            <w:vAlign w:val="center"/>
            <w:hideMark/>
          </w:tcPr>
          <w:p w14:paraId="5A98FC23"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إقامة الحجة على صحة رأي أو قاعدة</w:t>
            </w:r>
          </w:p>
        </w:tc>
        <w:tc>
          <w:tcPr>
            <w:tcW w:w="0" w:type="auto"/>
            <w:vAlign w:val="center"/>
            <w:hideMark/>
          </w:tcPr>
          <w:p w14:paraId="3A0DAC32"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إثبات صحة القاعدة والدفاع عنها</w:t>
            </w:r>
          </w:p>
        </w:tc>
      </w:tr>
      <w:tr w:rsidR="008E53C5" w:rsidRPr="008E53C5" w14:paraId="601DFCAA" w14:textId="77777777">
        <w:trPr>
          <w:tblCellSpacing w:w="15" w:type="dxa"/>
        </w:trPr>
        <w:tc>
          <w:tcPr>
            <w:tcW w:w="0" w:type="auto"/>
            <w:vAlign w:val="center"/>
            <w:hideMark/>
          </w:tcPr>
          <w:p w14:paraId="7907C736"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السماع</w:t>
            </w:r>
          </w:p>
        </w:tc>
        <w:tc>
          <w:tcPr>
            <w:tcW w:w="0" w:type="auto"/>
            <w:vAlign w:val="center"/>
            <w:hideMark/>
          </w:tcPr>
          <w:p w14:paraId="3A72570E"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ما نُقل عن العرب الفصحاء من كلامهم</w:t>
            </w:r>
          </w:p>
        </w:tc>
        <w:tc>
          <w:tcPr>
            <w:tcW w:w="0" w:type="auto"/>
            <w:vAlign w:val="center"/>
            <w:hideMark/>
          </w:tcPr>
          <w:p w14:paraId="4F82986A"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توفير المادة اللغوية التي يُعتمد عليها</w:t>
            </w:r>
          </w:p>
        </w:tc>
      </w:tr>
      <w:tr w:rsidR="008E53C5" w:rsidRPr="008E53C5" w14:paraId="1575FC52" w14:textId="77777777">
        <w:trPr>
          <w:tblCellSpacing w:w="15" w:type="dxa"/>
        </w:trPr>
        <w:tc>
          <w:tcPr>
            <w:tcW w:w="0" w:type="auto"/>
            <w:vAlign w:val="center"/>
            <w:hideMark/>
          </w:tcPr>
          <w:p w14:paraId="7972DDA5"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الاستدلال</w:t>
            </w:r>
          </w:p>
        </w:tc>
        <w:tc>
          <w:tcPr>
            <w:tcW w:w="0" w:type="auto"/>
            <w:vAlign w:val="center"/>
            <w:hideMark/>
          </w:tcPr>
          <w:p w14:paraId="46AE059E"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طلب الدليل أو إقامة الدليل لإثبات المدلول</w:t>
            </w:r>
          </w:p>
        </w:tc>
        <w:tc>
          <w:tcPr>
            <w:tcW w:w="0" w:type="auto"/>
            <w:vAlign w:val="center"/>
            <w:hideMark/>
          </w:tcPr>
          <w:p w14:paraId="1D1A4FD9"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الوصول إلى الحكم عن طريق الدليل</w:t>
            </w:r>
          </w:p>
        </w:tc>
      </w:tr>
      <w:tr w:rsidR="008E53C5" w:rsidRPr="008E53C5" w14:paraId="71452BF4" w14:textId="77777777">
        <w:trPr>
          <w:tblCellSpacing w:w="15" w:type="dxa"/>
        </w:trPr>
        <w:tc>
          <w:tcPr>
            <w:tcW w:w="0" w:type="auto"/>
            <w:vAlign w:val="center"/>
            <w:hideMark/>
          </w:tcPr>
          <w:p w14:paraId="6A5D8A03"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الاستشهاد</w:t>
            </w:r>
          </w:p>
        </w:tc>
        <w:tc>
          <w:tcPr>
            <w:tcW w:w="0" w:type="auto"/>
            <w:vAlign w:val="center"/>
            <w:hideMark/>
          </w:tcPr>
          <w:p w14:paraId="21848615"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إيراد نص معروف لدعم رأي أو توضيح قاعدة</w:t>
            </w:r>
          </w:p>
        </w:tc>
        <w:tc>
          <w:tcPr>
            <w:tcW w:w="0" w:type="auto"/>
            <w:vAlign w:val="center"/>
            <w:hideMark/>
          </w:tcPr>
          <w:p w14:paraId="7418AA2B"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تقوية الرأي أو بيان صحة الاستعمال</w:t>
            </w:r>
          </w:p>
        </w:tc>
      </w:tr>
      <w:tr w:rsidR="008E53C5" w:rsidRPr="008E53C5" w14:paraId="5A7437A9" w14:textId="77777777">
        <w:trPr>
          <w:tblCellSpacing w:w="15" w:type="dxa"/>
        </w:trPr>
        <w:tc>
          <w:tcPr>
            <w:tcW w:w="0" w:type="auto"/>
            <w:vAlign w:val="center"/>
            <w:hideMark/>
          </w:tcPr>
          <w:p w14:paraId="05B4250F"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التمثيل</w:t>
            </w:r>
          </w:p>
        </w:tc>
        <w:tc>
          <w:tcPr>
            <w:tcW w:w="0" w:type="auto"/>
            <w:vAlign w:val="center"/>
            <w:hideMark/>
          </w:tcPr>
          <w:p w14:paraId="6AFE55D6"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إيراد مثال لتوضيح قاعدة أو تطبيقها</w:t>
            </w:r>
          </w:p>
        </w:tc>
        <w:tc>
          <w:tcPr>
            <w:tcW w:w="0" w:type="auto"/>
            <w:vAlign w:val="center"/>
            <w:hideMark/>
          </w:tcPr>
          <w:p w14:paraId="3A2FE515"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التعليم والإيضاح والتدريب</w:t>
            </w:r>
          </w:p>
        </w:tc>
      </w:tr>
    </w:tbl>
    <w:p w14:paraId="378830DA"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rtl/>
          <w14:ligatures w14:val="none"/>
        </w:rPr>
        <w:t>توضيح الفرق بينها</w:t>
      </w:r>
    </w:p>
    <w:p w14:paraId="7EC6E898"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14:ligatures w14:val="none"/>
        </w:rPr>
        <w:t xml:space="preserve">1. </w:t>
      </w:r>
      <w:r w:rsidRPr="008E53C5">
        <w:rPr>
          <w:rFonts w:ascii="Times New Roman" w:eastAsia="Times New Roman" w:hAnsi="Times New Roman" w:cs="Times New Roman"/>
          <w:b/>
          <w:bCs/>
          <w:kern w:val="0"/>
          <w:sz w:val="27"/>
          <w:szCs w:val="27"/>
          <w:rtl/>
          <w14:ligatures w14:val="none"/>
        </w:rPr>
        <w:t>الاحتجاج والاستدلال</w:t>
      </w:r>
    </w:p>
    <w:p w14:paraId="2FD60169"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الاحتجاج أعمّ من مجرد طلب الدليل؛ لأنه يتجه إلى إثبات صحة القول أو القاعدة والدفاع عنها</w:t>
      </w:r>
      <w:r w:rsidRPr="008E53C5">
        <w:rPr>
          <w:rFonts w:ascii="Times New Roman" w:eastAsia="Times New Roman" w:hAnsi="Times New Roman" w:cs="Times New Roman"/>
          <w:kern w:val="0"/>
          <w14:ligatures w14:val="none"/>
        </w:rPr>
        <w:t>.</w:t>
      </w:r>
    </w:p>
    <w:p w14:paraId="4000EC17"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الاستدلال فيتعلق بطلب الدليل أو إقامة الدليل للوصول إلى الحكم</w:t>
      </w:r>
      <w:r w:rsidRPr="008E53C5">
        <w:rPr>
          <w:rFonts w:ascii="Times New Roman" w:eastAsia="Times New Roman" w:hAnsi="Times New Roman" w:cs="Times New Roman"/>
          <w:kern w:val="0"/>
          <w14:ligatures w14:val="none"/>
        </w:rPr>
        <w:t>.</w:t>
      </w:r>
    </w:p>
    <w:p w14:paraId="7E6E0B1D"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14:ligatures w14:val="none"/>
        </w:rPr>
        <w:t xml:space="preserve">2. </w:t>
      </w:r>
      <w:r w:rsidRPr="008E53C5">
        <w:rPr>
          <w:rFonts w:ascii="Times New Roman" w:eastAsia="Times New Roman" w:hAnsi="Times New Roman" w:cs="Times New Roman"/>
          <w:b/>
          <w:bCs/>
          <w:kern w:val="0"/>
          <w:sz w:val="27"/>
          <w:szCs w:val="27"/>
          <w:rtl/>
          <w14:ligatures w14:val="none"/>
        </w:rPr>
        <w:t>الاستدلال والاستشهاد</w:t>
      </w:r>
    </w:p>
    <w:p w14:paraId="5EAD52CA"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الاستدلال هو العملية التي يُتوصل بها إلى الحكم بواسطة الدليل</w:t>
      </w:r>
      <w:r w:rsidRPr="008E53C5">
        <w:rPr>
          <w:rFonts w:ascii="Times New Roman" w:eastAsia="Times New Roman" w:hAnsi="Times New Roman" w:cs="Times New Roman"/>
          <w:kern w:val="0"/>
          <w14:ligatures w14:val="none"/>
        </w:rPr>
        <w:t>.</w:t>
      </w:r>
    </w:p>
    <w:p w14:paraId="3A4E07F1"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الاستشهاد فهو إيراد نص أو شاهد يدعم الرأي أو القاعدة، وقد يكون هذا الشاهد جزءًا من عملية الاستدلال</w:t>
      </w:r>
      <w:r w:rsidRPr="008E53C5">
        <w:rPr>
          <w:rFonts w:ascii="Times New Roman" w:eastAsia="Times New Roman" w:hAnsi="Times New Roman" w:cs="Times New Roman"/>
          <w:kern w:val="0"/>
          <w14:ligatures w14:val="none"/>
        </w:rPr>
        <w:t>.</w:t>
      </w:r>
    </w:p>
    <w:p w14:paraId="5E938C5B"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14:ligatures w14:val="none"/>
        </w:rPr>
        <w:t xml:space="preserve">3. </w:t>
      </w:r>
      <w:r w:rsidRPr="008E53C5">
        <w:rPr>
          <w:rFonts w:ascii="Times New Roman" w:eastAsia="Times New Roman" w:hAnsi="Times New Roman" w:cs="Times New Roman"/>
          <w:b/>
          <w:bCs/>
          <w:kern w:val="0"/>
          <w:sz w:val="27"/>
          <w:szCs w:val="27"/>
          <w:rtl/>
          <w14:ligatures w14:val="none"/>
        </w:rPr>
        <w:t>الاستشهاد والتمثيل</w:t>
      </w:r>
    </w:p>
    <w:p w14:paraId="5D7C56C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الاستشهاد يعتمد على نص منقول يُستفاد منه في إثبات رأي أو دعم قاعدة أو توضيح معنى</w:t>
      </w:r>
      <w:r w:rsidRPr="008E53C5">
        <w:rPr>
          <w:rFonts w:ascii="Times New Roman" w:eastAsia="Times New Roman" w:hAnsi="Times New Roman" w:cs="Times New Roman"/>
          <w:kern w:val="0"/>
          <w14:ligatures w14:val="none"/>
        </w:rPr>
        <w:t>.</w:t>
      </w:r>
    </w:p>
    <w:p w14:paraId="061AC4DA"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التمثيل فقد يكون مثالًا مصنوعًا للتعليم، ولا يُشترط أن يكون منقولًا عن مصدر لغوي قديم</w:t>
      </w:r>
      <w:r w:rsidRPr="008E53C5">
        <w:rPr>
          <w:rFonts w:ascii="Times New Roman" w:eastAsia="Times New Roman" w:hAnsi="Times New Roman" w:cs="Times New Roman"/>
          <w:kern w:val="0"/>
          <w14:ligatures w14:val="none"/>
        </w:rPr>
        <w:t>.</w:t>
      </w:r>
    </w:p>
    <w:p w14:paraId="4BFE9285" w14:textId="77777777" w:rsidR="008E53C5" w:rsidRPr="008E53C5" w:rsidRDefault="008E53C5" w:rsidP="008E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3C5">
        <w:rPr>
          <w:rFonts w:ascii="Times New Roman" w:eastAsia="Times New Roman" w:hAnsi="Times New Roman" w:cs="Times New Roman"/>
          <w:b/>
          <w:bCs/>
          <w:kern w:val="0"/>
          <w:sz w:val="27"/>
          <w:szCs w:val="27"/>
          <w14:ligatures w14:val="none"/>
        </w:rPr>
        <w:t xml:space="preserve">4. </w:t>
      </w:r>
      <w:r w:rsidRPr="008E53C5">
        <w:rPr>
          <w:rFonts w:ascii="Times New Roman" w:eastAsia="Times New Roman" w:hAnsi="Times New Roman" w:cs="Times New Roman"/>
          <w:b/>
          <w:bCs/>
          <w:kern w:val="0"/>
          <w:sz w:val="27"/>
          <w:szCs w:val="27"/>
          <w:rtl/>
          <w14:ligatures w14:val="none"/>
        </w:rPr>
        <w:t>السماع وعلاقته بالمصطلحات الأخرى</w:t>
      </w:r>
    </w:p>
    <w:p w14:paraId="0047E26B"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السماع هو مصدر للمادة اللغوية التي يعتمد عليها النحوي، أما الاستدلال والاحتجاج والاستشهاد فهي عمليات أو طرائق للاستفادة من الأدلة والنصوص</w:t>
      </w:r>
      <w:r w:rsidRPr="008E53C5">
        <w:rPr>
          <w:rFonts w:ascii="Times New Roman" w:eastAsia="Times New Roman" w:hAnsi="Times New Roman" w:cs="Times New Roman"/>
          <w:kern w:val="0"/>
          <w14:ligatures w14:val="none"/>
        </w:rPr>
        <w:t>.</w:t>
      </w:r>
    </w:p>
    <w:p w14:paraId="60C5DE23"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ولهذا فإن النص المسموع قد يُستشهد به، ويُستدل به، ويُحتج به، بحسب الغرض من استعماله</w:t>
      </w:r>
      <w:r w:rsidRPr="008E53C5">
        <w:rPr>
          <w:rFonts w:ascii="Times New Roman" w:eastAsia="Times New Roman" w:hAnsi="Times New Roman" w:cs="Times New Roman"/>
          <w:kern w:val="0"/>
          <w14:ligatures w14:val="none"/>
        </w:rPr>
        <w:t>.</w:t>
      </w:r>
    </w:p>
    <w:p w14:paraId="21E7D88F" w14:textId="77777777" w:rsidR="008E53C5" w:rsidRPr="008E53C5" w:rsidRDefault="008E53C5" w:rsidP="008E53C5">
      <w:pPr>
        <w:spacing w:after="0"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14:ligatures w14:val="none"/>
        </w:rPr>
        <w:pict w14:anchorId="59E7C835">
          <v:rect id="_x0000_i1033" style="width:0;height:1.5pt" o:hralign="center" o:hrstd="t" o:hr="t" fillcolor="#a0a0a0" stroked="f"/>
        </w:pict>
      </w:r>
    </w:p>
    <w:p w14:paraId="566BA0C4" w14:textId="77777777" w:rsidR="008E53C5" w:rsidRPr="008E53C5" w:rsidRDefault="008E53C5" w:rsidP="008E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3C5">
        <w:rPr>
          <w:rFonts w:ascii="Times New Roman" w:eastAsia="Times New Roman" w:hAnsi="Times New Roman" w:cs="Times New Roman"/>
          <w:b/>
          <w:bCs/>
          <w:kern w:val="36"/>
          <w:sz w:val="48"/>
          <w:szCs w:val="48"/>
          <w:rtl/>
          <w14:ligatures w14:val="none"/>
        </w:rPr>
        <w:t>ثامنًا: الخلاصة العامة للمحاضرة</w:t>
      </w:r>
    </w:p>
    <w:p w14:paraId="7A036F98"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lastRenderedPageBreak/>
        <w:t>وفق التصور الذي عرضته المحاضرة، يُعد الاحتجاج الدائرة الأوسع من حيث الغاية؛ لأنه يسعى إلى إثبات صحة القاعدة أو الرأي، ويأتي الاستدلال بوصفه عملية إقامة الدليل، ويكون الاستشهاد إحدى الوسائل التي يُستعان بها في دعم الدليل وتوضيح القاعدة</w:t>
      </w:r>
      <w:r w:rsidRPr="008E53C5">
        <w:rPr>
          <w:rFonts w:ascii="Times New Roman" w:eastAsia="Times New Roman" w:hAnsi="Times New Roman" w:cs="Times New Roman"/>
          <w:kern w:val="0"/>
          <w14:ligatures w14:val="none"/>
        </w:rPr>
        <w:t>.</w:t>
      </w:r>
    </w:p>
    <w:p w14:paraId="70DD05BD"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أما التمثيل، فوظيفته الأساسية التعليم والإيضاح، وقد يكون المثال مصنوعًا لهذا الغرض</w:t>
      </w:r>
      <w:r w:rsidRPr="008E53C5">
        <w:rPr>
          <w:rFonts w:ascii="Times New Roman" w:eastAsia="Times New Roman" w:hAnsi="Times New Roman" w:cs="Times New Roman"/>
          <w:kern w:val="0"/>
          <w14:ligatures w14:val="none"/>
        </w:rPr>
        <w:t>.</w:t>
      </w:r>
    </w:p>
    <w:p w14:paraId="6A3216A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kern w:val="0"/>
          <w:rtl/>
          <w14:ligatures w14:val="none"/>
        </w:rPr>
        <w:t>ويمكن التعبير عن ذلك على النحو الآتي</w:t>
      </w:r>
      <w:r w:rsidRPr="008E53C5">
        <w:rPr>
          <w:rFonts w:ascii="Times New Roman" w:eastAsia="Times New Roman" w:hAnsi="Times New Roman" w:cs="Times New Roman"/>
          <w:kern w:val="0"/>
          <w14:ligatures w14:val="none"/>
        </w:rPr>
        <w:t>:</w:t>
      </w:r>
    </w:p>
    <w:p w14:paraId="1E9CBDCC"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السماع</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مصدر المادة اللغوية</w:t>
      </w:r>
      <w:r w:rsidRPr="008E53C5">
        <w:rPr>
          <w:rFonts w:ascii="Times New Roman" w:eastAsia="Times New Roman" w:hAnsi="Times New Roman" w:cs="Times New Roman"/>
          <w:kern w:val="0"/>
          <w14:ligatures w14:val="none"/>
        </w:rPr>
        <w:t>.</w:t>
      </w:r>
    </w:p>
    <w:p w14:paraId="7E29F181"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الاستشهاد</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إيراد الشاهد لدعم الرأي أو توضيحه</w:t>
      </w:r>
      <w:r w:rsidRPr="008E53C5">
        <w:rPr>
          <w:rFonts w:ascii="Times New Roman" w:eastAsia="Times New Roman" w:hAnsi="Times New Roman" w:cs="Times New Roman"/>
          <w:kern w:val="0"/>
          <w14:ligatures w14:val="none"/>
        </w:rPr>
        <w:t>.</w:t>
      </w:r>
    </w:p>
    <w:p w14:paraId="2A22DD1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الاستدلال</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إقامة الدليل للوصول إلى الحكم</w:t>
      </w:r>
      <w:r w:rsidRPr="008E53C5">
        <w:rPr>
          <w:rFonts w:ascii="Times New Roman" w:eastAsia="Times New Roman" w:hAnsi="Times New Roman" w:cs="Times New Roman"/>
          <w:kern w:val="0"/>
          <w14:ligatures w14:val="none"/>
        </w:rPr>
        <w:t>.</w:t>
      </w:r>
    </w:p>
    <w:p w14:paraId="1689C076"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الاحتجاج</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توظيف الدليل لإثبات صحة القول أو القاعدة</w:t>
      </w:r>
      <w:r w:rsidRPr="008E53C5">
        <w:rPr>
          <w:rFonts w:ascii="Times New Roman" w:eastAsia="Times New Roman" w:hAnsi="Times New Roman" w:cs="Times New Roman"/>
          <w:kern w:val="0"/>
          <w14:ligatures w14:val="none"/>
        </w:rPr>
        <w:t>.</w:t>
      </w:r>
    </w:p>
    <w:p w14:paraId="3DA92C4F" w14:textId="77777777" w:rsidR="008E53C5" w:rsidRPr="008E53C5" w:rsidRDefault="008E53C5" w:rsidP="008E53C5">
      <w:p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التمثيل</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تقديم مثال يوضح القاعدة أو طريقة تطبيقها</w:t>
      </w:r>
      <w:r w:rsidRPr="008E53C5">
        <w:rPr>
          <w:rFonts w:ascii="Times New Roman" w:eastAsia="Times New Roman" w:hAnsi="Times New Roman" w:cs="Times New Roman"/>
          <w:kern w:val="0"/>
          <w14:ligatures w14:val="none"/>
        </w:rPr>
        <w:t>.</w:t>
      </w:r>
    </w:p>
    <w:p w14:paraId="1E15AA71" w14:textId="77777777" w:rsidR="008E53C5" w:rsidRPr="008E53C5" w:rsidRDefault="008E53C5" w:rsidP="008E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3C5">
        <w:rPr>
          <w:rFonts w:ascii="Times New Roman" w:eastAsia="Times New Roman" w:hAnsi="Times New Roman" w:cs="Times New Roman"/>
          <w:b/>
          <w:bCs/>
          <w:kern w:val="0"/>
          <w:sz w:val="36"/>
          <w:szCs w:val="36"/>
          <w:rtl/>
          <w14:ligatures w14:val="none"/>
        </w:rPr>
        <w:t>خلاصة للحفظ</w:t>
      </w:r>
    </w:p>
    <w:p w14:paraId="40387F6D" w14:textId="77777777" w:rsidR="008E53C5" w:rsidRPr="008E53C5" w:rsidRDefault="008E53C5" w:rsidP="008E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الاحتجاج</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إثبات صحة القول أو القاعدة</w:t>
      </w:r>
      <w:r w:rsidRPr="008E53C5">
        <w:rPr>
          <w:rFonts w:ascii="Times New Roman" w:eastAsia="Times New Roman" w:hAnsi="Times New Roman" w:cs="Times New Roman"/>
          <w:kern w:val="0"/>
          <w14:ligatures w14:val="none"/>
        </w:rPr>
        <w:t>.</w:t>
      </w:r>
    </w:p>
    <w:p w14:paraId="527D5249" w14:textId="77777777" w:rsidR="008E53C5" w:rsidRPr="008E53C5" w:rsidRDefault="008E53C5" w:rsidP="008E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السماع</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تلقي كلام العرب الفصحاء ونقله</w:t>
      </w:r>
      <w:r w:rsidRPr="008E53C5">
        <w:rPr>
          <w:rFonts w:ascii="Times New Roman" w:eastAsia="Times New Roman" w:hAnsi="Times New Roman" w:cs="Times New Roman"/>
          <w:kern w:val="0"/>
          <w14:ligatures w14:val="none"/>
        </w:rPr>
        <w:t>.</w:t>
      </w:r>
    </w:p>
    <w:p w14:paraId="2CCAA49F" w14:textId="77777777" w:rsidR="008E53C5" w:rsidRPr="008E53C5" w:rsidRDefault="008E53C5" w:rsidP="008E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الاستدلال</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طلب الدليل أو إقامته لإثبات المدلول</w:t>
      </w:r>
      <w:r w:rsidRPr="008E53C5">
        <w:rPr>
          <w:rFonts w:ascii="Times New Roman" w:eastAsia="Times New Roman" w:hAnsi="Times New Roman" w:cs="Times New Roman"/>
          <w:kern w:val="0"/>
          <w14:ligatures w14:val="none"/>
        </w:rPr>
        <w:t>.</w:t>
      </w:r>
    </w:p>
    <w:p w14:paraId="751A2307" w14:textId="77777777" w:rsidR="008E53C5" w:rsidRPr="008E53C5" w:rsidRDefault="008E53C5" w:rsidP="008E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الاستشهاد</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الاستعانة بنص معروف لدعم الرأي أو توضيحه</w:t>
      </w:r>
      <w:r w:rsidRPr="008E53C5">
        <w:rPr>
          <w:rFonts w:ascii="Times New Roman" w:eastAsia="Times New Roman" w:hAnsi="Times New Roman" w:cs="Times New Roman"/>
          <w:kern w:val="0"/>
          <w14:ligatures w14:val="none"/>
        </w:rPr>
        <w:t>.</w:t>
      </w:r>
    </w:p>
    <w:p w14:paraId="06BEB763" w14:textId="77777777" w:rsidR="008E53C5" w:rsidRPr="008E53C5" w:rsidRDefault="008E53C5" w:rsidP="008E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3C5">
        <w:rPr>
          <w:rFonts w:ascii="Times New Roman" w:eastAsia="Times New Roman" w:hAnsi="Times New Roman" w:cs="Times New Roman"/>
          <w:b/>
          <w:bCs/>
          <w:kern w:val="0"/>
          <w:rtl/>
          <w14:ligatures w14:val="none"/>
        </w:rPr>
        <w:t>التمثيل</w:t>
      </w:r>
      <w:r w:rsidRPr="008E53C5">
        <w:rPr>
          <w:rFonts w:ascii="Times New Roman" w:eastAsia="Times New Roman" w:hAnsi="Times New Roman" w:cs="Times New Roman"/>
          <w:b/>
          <w:bCs/>
          <w:kern w:val="0"/>
          <w14:ligatures w14:val="none"/>
        </w:rPr>
        <w:t>:</w:t>
      </w:r>
      <w:r w:rsidRPr="008E53C5">
        <w:rPr>
          <w:rFonts w:ascii="Times New Roman" w:eastAsia="Times New Roman" w:hAnsi="Times New Roman" w:cs="Times New Roman"/>
          <w:kern w:val="0"/>
          <w14:ligatures w14:val="none"/>
        </w:rPr>
        <w:t xml:space="preserve"> </w:t>
      </w:r>
      <w:r w:rsidRPr="008E53C5">
        <w:rPr>
          <w:rFonts w:ascii="Times New Roman" w:eastAsia="Times New Roman" w:hAnsi="Times New Roman" w:cs="Times New Roman"/>
          <w:kern w:val="0"/>
          <w:rtl/>
          <w14:ligatures w14:val="none"/>
        </w:rPr>
        <w:t>تقديم مثال للتعليم والإيضاح</w:t>
      </w:r>
      <w:r w:rsidRPr="008E53C5">
        <w:rPr>
          <w:rFonts w:ascii="Times New Roman" w:eastAsia="Times New Roman" w:hAnsi="Times New Roman" w:cs="Times New Roman"/>
          <w:kern w:val="0"/>
          <w14:ligatures w14:val="none"/>
        </w:rPr>
        <w:t>.</w:t>
      </w:r>
    </w:p>
    <w:p w14:paraId="6C9043D6" w14:textId="77777777" w:rsidR="008666DF" w:rsidRPr="008E53C5" w:rsidRDefault="008666DF" w:rsidP="008E53C5"/>
    <w:sectPr w:rsidR="008666DF" w:rsidRPr="008E53C5" w:rsidSect="003D6F6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B34"/>
    <w:multiLevelType w:val="multilevel"/>
    <w:tmpl w:val="7A0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E96"/>
    <w:multiLevelType w:val="multilevel"/>
    <w:tmpl w:val="996E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04EB3"/>
    <w:multiLevelType w:val="multilevel"/>
    <w:tmpl w:val="D7E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4BCB"/>
    <w:multiLevelType w:val="multilevel"/>
    <w:tmpl w:val="C32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E4222"/>
    <w:multiLevelType w:val="multilevel"/>
    <w:tmpl w:val="BA7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96563"/>
    <w:multiLevelType w:val="multilevel"/>
    <w:tmpl w:val="95B4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C5A76"/>
    <w:multiLevelType w:val="multilevel"/>
    <w:tmpl w:val="696A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C1A4C"/>
    <w:multiLevelType w:val="multilevel"/>
    <w:tmpl w:val="28F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243D2"/>
    <w:multiLevelType w:val="multilevel"/>
    <w:tmpl w:val="DBD6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850B1"/>
    <w:multiLevelType w:val="multilevel"/>
    <w:tmpl w:val="ABAC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B62B5"/>
    <w:multiLevelType w:val="multilevel"/>
    <w:tmpl w:val="FDE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C1A53"/>
    <w:multiLevelType w:val="multilevel"/>
    <w:tmpl w:val="0DE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04C96"/>
    <w:multiLevelType w:val="multilevel"/>
    <w:tmpl w:val="CBD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523782">
    <w:abstractNumId w:val="8"/>
  </w:num>
  <w:num w:numId="2" w16cid:durableId="1715424456">
    <w:abstractNumId w:val="12"/>
  </w:num>
  <w:num w:numId="3" w16cid:durableId="1082023080">
    <w:abstractNumId w:val="9"/>
  </w:num>
  <w:num w:numId="4" w16cid:durableId="1298610921">
    <w:abstractNumId w:val="10"/>
  </w:num>
  <w:num w:numId="5" w16cid:durableId="1678461707">
    <w:abstractNumId w:val="7"/>
  </w:num>
  <w:num w:numId="6" w16cid:durableId="1748266724">
    <w:abstractNumId w:val="6"/>
  </w:num>
  <w:num w:numId="7" w16cid:durableId="851261686">
    <w:abstractNumId w:val="0"/>
  </w:num>
  <w:num w:numId="8" w16cid:durableId="755444178">
    <w:abstractNumId w:val="11"/>
  </w:num>
  <w:num w:numId="9" w16cid:durableId="2067335138">
    <w:abstractNumId w:val="3"/>
  </w:num>
  <w:num w:numId="10" w16cid:durableId="14356967">
    <w:abstractNumId w:val="2"/>
  </w:num>
  <w:num w:numId="11" w16cid:durableId="1905219266">
    <w:abstractNumId w:val="1"/>
  </w:num>
  <w:num w:numId="12" w16cid:durableId="947857622">
    <w:abstractNumId w:val="4"/>
  </w:num>
  <w:num w:numId="13" w16cid:durableId="1638879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DF"/>
    <w:rsid w:val="003D6F6F"/>
    <w:rsid w:val="008666DF"/>
    <w:rsid w:val="008E53C5"/>
    <w:rsid w:val="00BC2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AD0E"/>
  <w15:chartTrackingRefBased/>
  <w15:docId w15:val="{4D8DD780-ECCB-442C-893D-A778A250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6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6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666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666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666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666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666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666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666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666D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666D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666D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666D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666DF"/>
    <w:rPr>
      <w:rFonts w:eastAsiaTheme="majorEastAsia" w:cstheme="majorBidi"/>
      <w:color w:val="0F4761" w:themeColor="accent1" w:themeShade="BF"/>
    </w:rPr>
  </w:style>
  <w:style w:type="character" w:customStyle="1" w:styleId="6Char">
    <w:name w:val="عنوان 6 Char"/>
    <w:basedOn w:val="a0"/>
    <w:link w:val="6"/>
    <w:uiPriority w:val="9"/>
    <w:semiHidden/>
    <w:rsid w:val="008666DF"/>
    <w:rPr>
      <w:rFonts w:eastAsiaTheme="majorEastAsia" w:cstheme="majorBidi"/>
      <w:i/>
      <w:iCs/>
      <w:color w:val="595959" w:themeColor="text1" w:themeTint="A6"/>
    </w:rPr>
  </w:style>
  <w:style w:type="character" w:customStyle="1" w:styleId="7Char">
    <w:name w:val="عنوان 7 Char"/>
    <w:basedOn w:val="a0"/>
    <w:link w:val="7"/>
    <w:uiPriority w:val="9"/>
    <w:semiHidden/>
    <w:rsid w:val="008666DF"/>
    <w:rPr>
      <w:rFonts w:eastAsiaTheme="majorEastAsia" w:cstheme="majorBidi"/>
      <w:color w:val="595959" w:themeColor="text1" w:themeTint="A6"/>
    </w:rPr>
  </w:style>
  <w:style w:type="character" w:customStyle="1" w:styleId="8Char">
    <w:name w:val="عنوان 8 Char"/>
    <w:basedOn w:val="a0"/>
    <w:link w:val="8"/>
    <w:uiPriority w:val="9"/>
    <w:semiHidden/>
    <w:rsid w:val="008666DF"/>
    <w:rPr>
      <w:rFonts w:eastAsiaTheme="majorEastAsia" w:cstheme="majorBidi"/>
      <w:i/>
      <w:iCs/>
      <w:color w:val="272727" w:themeColor="text1" w:themeTint="D8"/>
    </w:rPr>
  </w:style>
  <w:style w:type="character" w:customStyle="1" w:styleId="9Char">
    <w:name w:val="عنوان 9 Char"/>
    <w:basedOn w:val="a0"/>
    <w:link w:val="9"/>
    <w:uiPriority w:val="9"/>
    <w:semiHidden/>
    <w:rsid w:val="008666DF"/>
    <w:rPr>
      <w:rFonts w:eastAsiaTheme="majorEastAsia" w:cstheme="majorBidi"/>
      <w:color w:val="272727" w:themeColor="text1" w:themeTint="D8"/>
    </w:rPr>
  </w:style>
  <w:style w:type="paragraph" w:styleId="a3">
    <w:name w:val="Title"/>
    <w:basedOn w:val="a"/>
    <w:next w:val="a"/>
    <w:link w:val="Char"/>
    <w:uiPriority w:val="10"/>
    <w:qFormat/>
    <w:rsid w:val="0086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666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66D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666D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666DF"/>
    <w:pPr>
      <w:spacing w:before="160"/>
      <w:jc w:val="center"/>
    </w:pPr>
    <w:rPr>
      <w:i/>
      <w:iCs/>
      <w:color w:val="404040" w:themeColor="text1" w:themeTint="BF"/>
    </w:rPr>
  </w:style>
  <w:style w:type="character" w:customStyle="1" w:styleId="Char1">
    <w:name w:val="اقتباس Char"/>
    <w:basedOn w:val="a0"/>
    <w:link w:val="a5"/>
    <w:uiPriority w:val="29"/>
    <w:rsid w:val="008666DF"/>
    <w:rPr>
      <w:i/>
      <w:iCs/>
      <w:color w:val="404040" w:themeColor="text1" w:themeTint="BF"/>
    </w:rPr>
  </w:style>
  <w:style w:type="paragraph" w:styleId="a6">
    <w:name w:val="List Paragraph"/>
    <w:basedOn w:val="a"/>
    <w:uiPriority w:val="34"/>
    <w:qFormat/>
    <w:rsid w:val="008666DF"/>
    <w:pPr>
      <w:ind w:left="720"/>
      <w:contextualSpacing/>
    </w:pPr>
  </w:style>
  <w:style w:type="character" w:styleId="a7">
    <w:name w:val="Intense Emphasis"/>
    <w:basedOn w:val="a0"/>
    <w:uiPriority w:val="21"/>
    <w:qFormat/>
    <w:rsid w:val="008666DF"/>
    <w:rPr>
      <w:i/>
      <w:iCs/>
      <w:color w:val="0F4761" w:themeColor="accent1" w:themeShade="BF"/>
    </w:rPr>
  </w:style>
  <w:style w:type="paragraph" w:styleId="a8">
    <w:name w:val="Intense Quote"/>
    <w:basedOn w:val="a"/>
    <w:next w:val="a"/>
    <w:link w:val="Char2"/>
    <w:uiPriority w:val="30"/>
    <w:qFormat/>
    <w:rsid w:val="0086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666DF"/>
    <w:rPr>
      <w:i/>
      <w:iCs/>
      <w:color w:val="0F4761" w:themeColor="accent1" w:themeShade="BF"/>
    </w:rPr>
  </w:style>
  <w:style w:type="character" w:styleId="a9">
    <w:name w:val="Intense Reference"/>
    <w:basedOn w:val="a0"/>
    <w:uiPriority w:val="32"/>
    <w:qFormat/>
    <w:rsid w:val="00866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1627</Words>
  <Characters>9279</Characters>
  <Application>Microsoft Office Word</Application>
  <DocSecurity>0</DocSecurity>
  <Lines>77</Lines>
  <Paragraphs>21</Paragraphs>
  <ScaleCrop>false</ScaleCrop>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 djeda</dc:creator>
  <cp:keywords/>
  <dc:description/>
  <cp:lastModifiedBy>abderrahman djeda</cp:lastModifiedBy>
  <cp:revision>2</cp:revision>
  <dcterms:created xsi:type="dcterms:W3CDTF">2026-10-15T12:38:00Z</dcterms:created>
  <dcterms:modified xsi:type="dcterms:W3CDTF">2026-10-15T12:52:00Z</dcterms:modified>
</cp:coreProperties>
</file>