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6B60" w:rsidRDefault="00000000">
      <w:pPr>
        <w:spacing w:before="400" w:after="100"/>
        <w:jc w:val="center"/>
      </w:pPr>
      <w:r>
        <w:rPr>
          <w:b/>
          <w:bCs/>
          <w:caps/>
          <w:color w:val="1F3864"/>
          <w:sz w:val="36"/>
          <w:szCs w:val="36"/>
        </w:rPr>
        <w:t>TABLE DES MATIÈRES</w:t>
      </w:r>
    </w:p>
    <w:p w:rsidR="00D06B60" w:rsidRDefault="00D06B60">
      <w:pPr>
        <w:pBdr>
          <w:bottom w:val="thick" w:sz="12" w:space="8" w:color="2E75B6"/>
        </w:pBdr>
        <w:spacing w:after="600"/>
        <w:jc w:val="center"/>
      </w:pPr>
    </w:p>
    <w:p w:rsidR="00D06B60" w:rsidRDefault="00000000">
      <w:pPr>
        <w:tabs>
          <w:tab w:val="right" w:leader="dot" w:pos="8600"/>
        </w:tabs>
        <w:spacing w:before="160" w:after="100"/>
      </w:pPr>
      <w:r>
        <w:rPr>
          <w:b/>
          <w:bCs/>
          <w:color w:val="1F3864"/>
        </w:rPr>
        <w:t>Dédicace</w:t>
      </w:r>
      <w:r>
        <w:rPr>
          <w:b/>
          <w:bCs/>
          <w:color w:val="595959"/>
        </w:rPr>
        <w:tab/>
        <w:t>i</w:t>
      </w:r>
    </w:p>
    <w:p w:rsidR="00D06B60" w:rsidRDefault="00000000">
      <w:pPr>
        <w:tabs>
          <w:tab w:val="right" w:leader="dot" w:pos="8600"/>
        </w:tabs>
        <w:spacing w:before="160" w:after="100"/>
      </w:pPr>
      <w:r>
        <w:rPr>
          <w:b/>
          <w:bCs/>
          <w:color w:val="1F3864"/>
        </w:rPr>
        <w:t>Remerciements</w:t>
      </w:r>
      <w:r>
        <w:rPr>
          <w:b/>
          <w:bCs/>
          <w:color w:val="595959"/>
        </w:rPr>
        <w:tab/>
        <w:t>ii</w:t>
      </w:r>
    </w:p>
    <w:p w:rsidR="00D06B60" w:rsidRDefault="00000000">
      <w:pPr>
        <w:tabs>
          <w:tab w:val="right" w:leader="dot" w:pos="8600"/>
        </w:tabs>
        <w:spacing w:before="160" w:after="100"/>
      </w:pPr>
      <w:r>
        <w:rPr>
          <w:b/>
          <w:bCs/>
          <w:color w:val="1F3864"/>
        </w:rPr>
        <w:t>Résumé / Abstract</w:t>
      </w:r>
      <w:r>
        <w:rPr>
          <w:b/>
          <w:bCs/>
          <w:color w:val="595959"/>
        </w:rPr>
        <w:tab/>
        <w:t>iii</w:t>
      </w:r>
    </w:p>
    <w:p w:rsidR="00D06B60" w:rsidRDefault="00000000">
      <w:pPr>
        <w:tabs>
          <w:tab w:val="right" w:leader="dot" w:pos="8600"/>
        </w:tabs>
        <w:spacing w:before="160" w:after="100"/>
      </w:pPr>
      <w:r>
        <w:rPr>
          <w:b/>
          <w:bCs/>
          <w:color w:val="1F3864"/>
        </w:rPr>
        <w:t>Table des Matières</w:t>
      </w:r>
      <w:r>
        <w:rPr>
          <w:b/>
          <w:bCs/>
          <w:color w:val="595959"/>
        </w:rPr>
        <w:tab/>
        <w:t>iv</w:t>
      </w:r>
    </w:p>
    <w:p w:rsidR="00D06B60" w:rsidRDefault="00000000">
      <w:pPr>
        <w:tabs>
          <w:tab w:val="right" w:leader="dot" w:pos="8600"/>
        </w:tabs>
        <w:spacing w:before="160" w:after="100"/>
      </w:pPr>
      <w:r>
        <w:rPr>
          <w:b/>
          <w:bCs/>
          <w:color w:val="1F3864"/>
        </w:rPr>
        <w:t>Liste des Figures et Tableaux</w:t>
      </w:r>
      <w:r>
        <w:rPr>
          <w:b/>
          <w:bCs/>
          <w:color w:val="595959"/>
        </w:rPr>
        <w:tab/>
        <w:t>vi</w:t>
      </w:r>
    </w:p>
    <w:p w:rsidR="00D06B60" w:rsidRDefault="00000000">
      <w:pPr>
        <w:tabs>
          <w:tab w:val="right" w:leader="dot" w:pos="8600"/>
        </w:tabs>
        <w:spacing w:before="160" w:after="100"/>
      </w:pPr>
      <w:r>
        <w:rPr>
          <w:b/>
          <w:bCs/>
          <w:color w:val="1F3864"/>
        </w:rPr>
        <w:t>Liste des Abréviations</w:t>
      </w:r>
      <w:r>
        <w:rPr>
          <w:b/>
          <w:bCs/>
          <w:color w:val="595959"/>
        </w:rPr>
        <w:tab/>
        <w:t>vii</w:t>
      </w:r>
    </w:p>
    <w:p w:rsidR="00D06B60" w:rsidRDefault="00D06B60">
      <w:pPr>
        <w:spacing w:before="200" w:after="100"/>
      </w:pPr>
    </w:p>
    <w:p w:rsidR="00D06B60" w:rsidRDefault="00000000">
      <w:pPr>
        <w:tabs>
          <w:tab w:val="right" w:leader="dot" w:pos="8600"/>
        </w:tabs>
        <w:spacing w:before="160" w:after="100"/>
      </w:pPr>
      <w:r>
        <w:rPr>
          <w:b/>
          <w:bCs/>
          <w:color w:val="1F3864"/>
          <w:sz w:val="24"/>
          <w:szCs w:val="24"/>
        </w:rPr>
        <w:t>INTRODUCTION GÉNÉRALE</w:t>
      </w:r>
      <w:r>
        <w:rPr>
          <w:b/>
          <w:bCs/>
          <w:color w:val="595959"/>
          <w:sz w:val="24"/>
          <w:szCs w:val="24"/>
        </w:rPr>
        <w:tab/>
        <w:t>01</w:t>
      </w:r>
    </w:p>
    <w:p w:rsidR="00D06B60" w:rsidRDefault="00D06B60">
      <w:pPr>
        <w:spacing w:before="200" w:after="100"/>
      </w:pPr>
    </w:p>
    <w:p w:rsidR="00D06B60" w:rsidRDefault="00000000">
      <w:pPr>
        <w:pBdr>
          <w:bottom w:val="single" w:sz="6" w:space="4" w:color="2E75B6"/>
        </w:pBdr>
        <w:spacing w:before="300" w:after="200"/>
      </w:pPr>
      <w:r>
        <w:rPr>
          <w:b/>
          <w:bCs/>
          <w:caps/>
          <w:color w:val="1F3864"/>
          <w:sz w:val="30"/>
          <w:szCs w:val="30"/>
        </w:rPr>
        <w:t>CHAPITRE I — FONDEMENTS THÉORIQUES : DATA-DRIVEN MARKETING &amp; RETAIL</w:t>
      </w:r>
    </w:p>
    <w:p w:rsidR="00D06B60" w:rsidRDefault="00D06B60">
      <w:pPr>
        <w:spacing w:before="60" w:after="40"/>
      </w:pPr>
    </w:p>
    <w:p w:rsidR="00D06B60" w:rsidRDefault="00000000">
      <w:pPr>
        <w:tabs>
          <w:tab w:val="right" w:leader="dot" w:pos="8600"/>
        </w:tabs>
        <w:spacing w:before="80" w:after="60"/>
        <w:ind w:left="360"/>
      </w:pPr>
      <w:r>
        <w:rPr>
          <w:b/>
          <w:bCs/>
          <w:i/>
          <w:iCs/>
          <w:color w:val="2E75B6"/>
        </w:rPr>
        <w:t>Introduction du Chapitre I</w:t>
      </w:r>
      <w:r>
        <w:rPr>
          <w:b/>
          <w:bCs/>
          <w:color w:val="595959"/>
        </w:rPr>
        <w:tab/>
        <w:t>07</w:t>
      </w:r>
    </w:p>
    <w:p w:rsidR="00D06B60" w:rsidRDefault="00000000">
      <w:pPr>
        <w:tabs>
          <w:tab w:val="right" w:leader="dot" w:pos="8600"/>
        </w:tabs>
        <w:spacing w:before="80" w:after="60"/>
        <w:ind w:left="360"/>
      </w:pPr>
      <w:r>
        <w:rPr>
          <w:color w:val="2E75B6"/>
        </w:rPr>
        <w:t>Section 1.1 — La Segmentation Client : Concepts, Enjeux et Évolution</w:t>
      </w:r>
      <w:r>
        <w:rPr>
          <w:color w:val="595959"/>
        </w:rPr>
        <w:tab/>
        <w:t>08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1.1.1 — Définition et intérêt stratégique de la segmentation client</w:t>
      </w:r>
      <w:r>
        <w:rPr>
          <w:color w:val="595959"/>
        </w:rPr>
        <w:tab/>
        <w:t>08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1.1.2 — Approches traditionnelles de segmentation (RFM, démographique, comportementale)</w:t>
      </w:r>
      <w:r>
        <w:rPr>
          <w:color w:val="595959"/>
        </w:rPr>
        <w:tab/>
        <w:t>10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 xml:space="preserve">1.1.3 — Limites des méthodes classiques face à la complexité des données </w:t>
      </w:r>
      <w:proofErr w:type="spellStart"/>
      <w:r>
        <w:rPr>
          <w:color w:val="000000"/>
        </w:rPr>
        <w:t>retail</w:t>
      </w:r>
      <w:proofErr w:type="spellEnd"/>
      <w:r>
        <w:rPr>
          <w:color w:val="595959"/>
        </w:rPr>
        <w:tab/>
        <w:t>12</w:t>
      </w:r>
    </w:p>
    <w:p w:rsidR="00D06B60" w:rsidRPr="00A85BC3" w:rsidRDefault="00000000">
      <w:pPr>
        <w:tabs>
          <w:tab w:val="right" w:leader="dot" w:pos="8600"/>
        </w:tabs>
        <w:spacing w:before="80" w:after="60"/>
        <w:ind w:left="360"/>
        <w:rPr>
          <w:lang w:val="en-GB"/>
        </w:rPr>
      </w:pPr>
      <w:r w:rsidRPr="00A85BC3">
        <w:rPr>
          <w:color w:val="2E75B6"/>
          <w:lang w:val="en-GB"/>
        </w:rPr>
        <w:t>Section 1.2 — Customer Lifetime Value (CLV</w:t>
      </w:r>
      <w:proofErr w:type="gramStart"/>
      <w:r w:rsidRPr="00A85BC3">
        <w:rPr>
          <w:color w:val="2E75B6"/>
          <w:lang w:val="en-GB"/>
        </w:rPr>
        <w:t>) :</w:t>
      </w:r>
      <w:proofErr w:type="gramEnd"/>
      <w:r w:rsidRPr="00A85BC3">
        <w:rPr>
          <w:color w:val="2E75B6"/>
          <w:lang w:val="en-GB"/>
        </w:rPr>
        <w:t xml:space="preserve"> Cadre </w:t>
      </w:r>
      <w:proofErr w:type="spellStart"/>
      <w:r w:rsidRPr="00A85BC3">
        <w:rPr>
          <w:color w:val="2E75B6"/>
          <w:lang w:val="en-GB"/>
        </w:rPr>
        <w:t>Théorique</w:t>
      </w:r>
      <w:proofErr w:type="spellEnd"/>
      <w:r w:rsidRPr="00A85BC3">
        <w:rPr>
          <w:color w:val="595959"/>
          <w:lang w:val="en-GB"/>
        </w:rPr>
        <w:tab/>
        <w:t>14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1.2.1 — Définition, formulations et enjeux de la CLV</w:t>
      </w:r>
      <w:r>
        <w:rPr>
          <w:color w:val="595959"/>
        </w:rPr>
        <w:tab/>
        <w:t>14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1.2.2 — Modèles probabilistes et économétriques de prédiction de CLV</w:t>
      </w:r>
      <w:r>
        <w:rPr>
          <w:color w:val="595959"/>
        </w:rPr>
        <w:tab/>
        <w:t>17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1.2.3 — Lien entre CLV, fidélisation et rentabilité client</w:t>
      </w:r>
      <w:r>
        <w:rPr>
          <w:color w:val="595959"/>
        </w:rPr>
        <w:tab/>
        <w:t>20</w:t>
      </w:r>
    </w:p>
    <w:p w:rsidR="00D06B60" w:rsidRDefault="00000000">
      <w:pPr>
        <w:tabs>
          <w:tab w:val="right" w:leader="dot" w:pos="8600"/>
        </w:tabs>
        <w:spacing w:before="80" w:after="60"/>
        <w:ind w:left="360"/>
      </w:pPr>
      <w:r>
        <w:rPr>
          <w:color w:val="2E75B6"/>
        </w:rPr>
        <w:t>Section 1.3 — Prévision des Ventes : Fondements et Méthodes</w:t>
      </w:r>
      <w:r>
        <w:rPr>
          <w:color w:val="595959"/>
        </w:rPr>
        <w:tab/>
        <w:t>23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 xml:space="preserve">1.3.1 — Importance de la prévision dans le pilotage </w:t>
      </w:r>
      <w:proofErr w:type="spellStart"/>
      <w:r>
        <w:rPr>
          <w:color w:val="000000"/>
        </w:rPr>
        <w:t>retail</w:t>
      </w:r>
      <w:proofErr w:type="spellEnd"/>
      <w:r>
        <w:rPr>
          <w:color w:val="595959"/>
        </w:rPr>
        <w:tab/>
        <w:t>23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1.3.2 — Méthodes classiques : séries temporelles, régression, lissage exponentiel</w:t>
      </w:r>
      <w:r>
        <w:rPr>
          <w:color w:val="595959"/>
        </w:rPr>
        <w:tab/>
        <w:t>25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1.3.3 — Apport du Machine Learning dans la prévision des ventes</w:t>
      </w:r>
      <w:r>
        <w:rPr>
          <w:color w:val="595959"/>
        </w:rPr>
        <w:tab/>
        <w:t>27</w:t>
      </w:r>
    </w:p>
    <w:p w:rsidR="00D06B60" w:rsidRDefault="00000000">
      <w:pPr>
        <w:tabs>
          <w:tab w:val="right" w:leader="dot" w:pos="8600"/>
        </w:tabs>
        <w:spacing w:before="80" w:after="60"/>
        <w:ind w:left="360"/>
      </w:pPr>
      <w:r>
        <w:rPr>
          <w:i/>
          <w:iCs/>
          <w:color w:val="2E75B6"/>
        </w:rPr>
        <w:t>Conclusion du Chapitre I</w:t>
      </w:r>
      <w:r>
        <w:rPr>
          <w:color w:val="595959"/>
        </w:rPr>
        <w:tab/>
        <w:t>30</w:t>
      </w:r>
    </w:p>
    <w:p w:rsidR="00D06B60" w:rsidRDefault="00D06B60">
      <w:pPr>
        <w:spacing w:before="200" w:after="100"/>
      </w:pPr>
    </w:p>
    <w:p w:rsidR="00D06B60" w:rsidRDefault="00000000">
      <w:pPr>
        <w:pBdr>
          <w:bottom w:val="single" w:sz="6" w:space="4" w:color="2E75B6"/>
        </w:pBdr>
        <w:spacing w:before="300" w:after="200"/>
      </w:pPr>
      <w:r>
        <w:rPr>
          <w:b/>
          <w:bCs/>
          <w:caps/>
          <w:color w:val="1F3864"/>
          <w:sz w:val="30"/>
          <w:szCs w:val="30"/>
        </w:rPr>
        <w:lastRenderedPageBreak/>
        <w:t>CHAPITRE II — RELATIONS ENTRE VARIABLES, REVUE DE LITTÉRATURE ET CADRE DE STAGE</w:t>
      </w:r>
    </w:p>
    <w:p w:rsidR="00D06B60" w:rsidRDefault="00D06B60">
      <w:pPr>
        <w:spacing w:before="60" w:after="40"/>
      </w:pPr>
    </w:p>
    <w:p w:rsidR="00D06B60" w:rsidRDefault="00000000">
      <w:pPr>
        <w:tabs>
          <w:tab w:val="right" w:leader="dot" w:pos="8600"/>
        </w:tabs>
        <w:spacing w:before="80" w:after="60"/>
        <w:ind w:left="360"/>
      </w:pPr>
      <w:r>
        <w:rPr>
          <w:b/>
          <w:bCs/>
          <w:i/>
          <w:iCs/>
          <w:color w:val="2E75B6"/>
        </w:rPr>
        <w:t>Introduction du Chapitre II</w:t>
      </w:r>
      <w:r>
        <w:rPr>
          <w:b/>
          <w:bCs/>
          <w:color w:val="595959"/>
        </w:rPr>
        <w:tab/>
        <w:t>32</w:t>
      </w:r>
    </w:p>
    <w:p w:rsidR="00D06B60" w:rsidRDefault="00000000">
      <w:pPr>
        <w:tabs>
          <w:tab w:val="right" w:leader="dot" w:pos="8600"/>
        </w:tabs>
        <w:spacing w:before="80" w:after="60"/>
        <w:ind w:left="360"/>
      </w:pPr>
      <w:r>
        <w:rPr>
          <w:color w:val="2E75B6"/>
        </w:rPr>
        <w:t>Section 2.1 — Relations entre les Variables de l'Étude</w:t>
      </w:r>
      <w:r>
        <w:rPr>
          <w:color w:val="595959"/>
        </w:rPr>
        <w:tab/>
        <w:t>33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 xml:space="preserve">2.1.1 — Relation entre segmentation client et Customer </w:t>
      </w:r>
      <w:proofErr w:type="spellStart"/>
      <w:r>
        <w:rPr>
          <w:color w:val="000000"/>
        </w:rPr>
        <w:t>Lifetime</w:t>
      </w:r>
      <w:proofErr w:type="spellEnd"/>
      <w:r>
        <w:rPr>
          <w:color w:val="000000"/>
        </w:rPr>
        <w:t xml:space="preserve"> Value (CLV)</w:t>
      </w:r>
      <w:r>
        <w:rPr>
          <w:color w:val="595959"/>
        </w:rPr>
        <w:tab/>
        <w:t>33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2.1.2 — Relation entre CLV et prévision des ventes : interdépendances analytiques</w:t>
      </w:r>
      <w:r>
        <w:rPr>
          <w:color w:val="595959"/>
        </w:rPr>
        <w:tab/>
        <w:t>36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2.1.3 — Modèle conceptuel intégré et formulation des hypothèses de recherche (H1–H5)</w:t>
      </w:r>
      <w:r>
        <w:rPr>
          <w:color w:val="595959"/>
        </w:rPr>
        <w:tab/>
        <w:t>39</w:t>
      </w:r>
    </w:p>
    <w:p w:rsidR="00D06B60" w:rsidRDefault="00000000">
      <w:pPr>
        <w:tabs>
          <w:tab w:val="right" w:leader="dot" w:pos="8600"/>
        </w:tabs>
        <w:spacing w:before="80" w:after="60"/>
        <w:ind w:left="360"/>
      </w:pPr>
      <w:r>
        <w:rPr>
          <w:color w:val="2E75B6"/>
        </w:rPr>
        <w:t>Section 2.2 — Revue de Littérature</w:t>
      </w:r>
      <w:r>
        <w:rPr>
          <w:color w:val="595959"/>
        </w:rPr>
        <w:tab/>
        <w:t>43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2.2.1 — Travaux fondateurs sur la segmentation data-</w:t>
      </w:r>
      <w:proofErr w:type="spellStart"/>
      <w:r>
        <w:rPr>
          <w:color w:val="000000"/>
        </w:rPr>
        <w:t>driven</w:t>
      </w:r>
      <w:proofErr w:type="spellEnd"/>
      <w:r>
        <w:rPr>
          <w:color w:val="000000"/>
        </w:rPr>
        <w:t xml:space="preserve"> et le clustering ML</w:t>
      </w:r>
      <w:r>
        <w:rPr>
          <w:color w:val="595959"/>
        </w:rPr>
        <w:tab/>
        <w:t>43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 xml:space="preserve">2.2.2 — Études empiriques sur la prédiction de CLV dans le secteur </w:t>
      </w:r>
      <w:proofErr w:type="spellStart"/>
      <w:r>
        <w:rPr>
          <w:color w:val="000000"/>
        </w:rPr>
        <w:t>retail</w:t>
      </w:r>
      <w:proofErr w:type="spellEnd"/>
      <w:r>
        <w:rPr>
          <w:color w:val="595959"/>
        </w:rPr>
        <w:tab/>
        <w:t>47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2.2.3 — Benchmarks de prévision des ventes : état de l'art et lacunes identifiées</w:t>
      </w:r>
      <w:r>
        <w:rPr>
          <w:color w:val="595959"/>
        </w:rPr>
        <w:tab/>
        <w:t>51</w:t>
      </w:r>
    </w:p>
    <w:p w:rsidR="00D06B60" w:rsidRPr="00A85BC3" w:rsidRDefault="00000000">
      <w:pPr>
        <w:tabs>
          <w:tab w:val="right" w:leader="dot" w:pos="8600"/>
        </w:tabs>
        <w:spacing w:before="80" w:after="60"/>
        <w:ind w:left="360"/>
        <w:rPr>
          <w:lang w:val="en-GB"/>
        </w:rPr>
      </w:pPr>
      <w:r w:rsidRPr="00A85BC3">
        <w:rPr>
          <w:color w:val="2E75B6"/>
          <w:lang w:val="en-GB"/>
        </w:rPr>
        <w:t xml:space="preserve">Section 2.3 — Cadre de </w:t>
      </w:r>
      <w:proofErr w:type="gramStart"/>
      <w:r w:rsidRPr="00A85BC3">
        <w:rPr>
          <w:color w:val="2E75B6"/>
          <w:lang w:val="en-GB"/>
        </w:rPr>
        <w:t>Stage :</w:t>
      </w:r>
      <w:proofErr w:type="gramEnd"/>
      <w:r w:rsidRPr="00A85BC3">
        <w:rPr>
          <w:color w:val="2E75B6"/>
          <w:lang w:val="en-GB"/>
        </w:rPr>
        <w:t xml:space="preserve"> SARL GREAT WAY / PUMA </w:t>
      </w:r>
      <w:proofErr w:type="spellStart"/>
      <w:r w:rsidRPr="00A85BC3">
        <w:rPr>
          <w:color w:val="2E75B6"/>
          <w:lang w:val="en-GB"/>
        </w:rPr>
        <w:t>Algérie</w:t>
      </w:r>
      <w:proofErr w:type="spellEnd"/>
      <w:r w:rsidRPr="00A85BC3">
        <w:rPr>
          <w:color w:val="595959"/>
          <w:lang w:val="en-GB"/>
        </w:rPr>
        <w:tab/>
        <w:t>55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2.3.1 — Présentation de l'entreprise : historique, activité et positionnement stratégique</w:t>
      </w:r>
      <w:r>
        <w:rPr>
          <w:color w:val="595959"/>
        </w:rPr>
        <w:tab/>
        <w:t>55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 xml:space="preserve">2.3.2 — Environnement concurrentiel et contexte </w:t>
      </w:r>
      <w:proofErr w:type="spellStart"/>
      <w:r>
        <w:rPr>
          <w:color w:val="000000"/>
        </w:rPr>
        <w:t>retail</w:t>
      </w:r>
      <w:proofErr w:type="spellEnd"/>
      <w:r>
        <w:rPr>
          <w:color w:val="000000"/>
        </w:rPr>
        <w:t xml:space="preserve"> algérien</w:t>
      </w:r>
      <w:r>
        <w:rPr>
          <w:color w:val="595959"/>
        </w:rPr>
        <w:tab/>
        <w:t>58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2.3.3 — Problématique terrain : données disponibles, besoins analytiques et périmètre de l'étude</w:t>
      </w:r>
      <w:r>
        <w:rPr>
          <w:color w:val="595959"/>
        </w:rPr>
        <w:tab/>
        <w:t>61</w:t>
      </w:r>
    </w:p>
    <w:p w:rsidR="00D06B60" w:rsidRDefault="00000000">
      <w:pPr>
        <w:tabs>
          <w:tab w:val="right" w:leader="dot" w:pos="8600"/>
        </w:tabs>
        <w:spacing w:before="80" w:after="60"/>
        <w:ind w:left="360"/>
      </w:pPr>
      <w:r>
        <w:rPr>
          <w:i/>
          <w:iCs/>
          <w:color w:val="2E75B6"/>
        </w:rPr>
        <w:t>Conclusion du Chapitre II</w:t>
      </w:r>
      <w:r>
        <w:rPr>
          <w:color w:val="595959"/>
        </w:rPr>
        <w:tab/>
        <w:t>65</w:t>
      </w:r>
    </w:p>
    <w:p w:rsidR="00D06B60" w:rsidRDefault="00D06B60">
      <w:pPr>
        <w:spacing w:before="200" w:after="100"/>
      </w:pPr>
    </w:p>
    <w:p w:rsidR="00D06B60" w:rsidRDefault="00000000">
      <w:pPr>
        <w:pBdr>
          <w:bottom w:val="single" w:sz="6" w:space="4" w:color="2E75B6"/>
        </w:pBdr>
        <w:spacing w:before="300" w:after="200"/>
      </w:pPr>
      <w:r>
        <w:rPr>
          <w:b/>
          <w:bCs/>
          <w:caps/>
          <w:color w:val="1F3864"/>
          <w:sz w:val="30"/>
          <w:szCs w:val="30"/>
        </w:rPr>
        <w:t>CHAPITRE III — MÉTHODOLOGIE, APPLICATION EMPIRIQUE ET RÉSULTATS</w:t>
      </w:r>
    </w:p>
    <w:p w:rsidR="00D06B60" w:rsidRDefault="00D06B60">
      <w:pPr>
        <w:spacing w:before="60" w:after="40"/>
      </w:pPr>
    </w:p>
    <w:p w:rsidR="00D06B60" w:rsidRDefault="00000000">
      <w:pPr>
        <w:tabs>
          <w:tab w:val="right" w:leader="dot" w:pos="8600"/>
        </w:tabs>
        <w:spacing w:before="80" w:after="60"/>
        <w:ind w:left="360"/>
      </w:pPr>
      <w:r>
        <w:rPr>
          <w:b/>
          <w:bCs/>
          <w:i/>
          <w:iCs/>
          <w:color w:val="2E75B6"/>
        </w:rPr>
        <w:t>Introduction du Chapitre III</w:t>
      </w:r>
      <w:r>
        <w:rPr>
          <w:b/>
          <w:bCs/>
          <w:color w:val="595959"/>
        </w:rPr>
        <w:tab/>
        <w:t>67</w:t>
      </w:r>
    </w:p>
    <w:p w:rsidR="00D06B60" w:rsidRDefault="00000000">
      <w:pPr>
        <w:tabs>
          <w:tab w:val="right" w:leader="dot" w:pos="8600"/>
        </w:tabs>
        <w:spacing w:before="80" w:after="60"/>
        <w:ind w:left="360"/>
      </w:pPr>
      <w:r>
        <w:rPr>
          <w:color w:val="2E75B6"/>
        </w:rPr>
        <w:t>Section 3.1 — Démarche Méthodologique et Pré-traitement des Données</w:t>
      </w:r>
      <w:r>
        <w:rPr>
          <w:color w:val="595959"/>
        </w:rPr>
        <w:tab/>
        <w:t>68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3.1.1 — Positionnement épistémologique, approche quantitative et outils logiciels</w:t>
      </w:r>
      <w:r>
        <w:rPr>
          <w:color w:val="595959"/>
        </w:rPr>
        <w:tab/>
        <w:t>68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3.1.2 — Description et collecte des données transactionnelles clients</w:t>
      </w:r>
      <w:r>
        <w:rPr>
          <w:color w:val="595959"/>
        </w:rPr>
        <w:tab/>
        <w:t>71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 xml:space="preserve">3.1.3 — Nettoyage,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engineering et analyse exploratoire (EDA)</w:t>
      </w:r>
      <w:r>
        <w:rPr>
          <w:color w:val="595959"/>
        </w:rPr>
        <w:tab/>
        <w:t>74</w:t>
      </w:r>
    </w:p>
    <w:p w:rsidR="00D06B60" w:rsidRDefault="00000000">
      <w:pPr>
        <w:tabs>
          <w:tab w:val="right" w:leader="dot" w:pos="8600"/>
        </w:tabs>
        <w:spacing w:before="80" w:after="60"/>
        <w:ind w:left="360"/>
      </w:pPr>
      <w:r>
        <w:rPr>
          <w:color w:val="2E75B6"/>
        </w:rPr>
        <w:t>Section 3.2 — Segmentation Client et Prédiction de la CLV</w:t>
      </w:r>
      <w:r>
        <w:rPr>
          <w:color w:val="595959"/>
        </w:rPr>
        <w:tab/>
        <w:t>78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3.2.1 — Construction des variables RFM et algorithmes de clustering (K-</w:t>
      </w:r>
      <w:proofErr w:type="spellStart"/>
      <w:r>
        <w:rPr>
          <w:color w:val="000000"/>
        </w:rPr>
        <w:t>Means</w:t>
      </w:r>
      <w:proofErr w:type="spellEnd"/>
      <w:r>
        <w:rPr>
          <w:color w:val="000000"/>
        </w:rPr>
        <w:t>, DBSCAN)</w:t>
      </w:r>
      <w:r>
        <w:rPr>
          <w:color w:val="595959"/>
        </w:rPr>
        <w:tab/>
        <w:t>78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3.2.2 — Modèles BG/NBD et Gamma-Gamma pour la prédiction de CLV</w:t>
      </w:r>
      <w:r>
        <w:rPr>
          <w:color w:val="595959"/>
        </w:rPr>
        <w:tab/>
        <w:t>82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3.2.3 — Validation des modèles, interprétation des segments et profils clients</w:t>
      </w:r>
      <w:r>
        <w:rPr>
          <w:color w:val="595959"/>
        </w:rPr>
        <w:tab/>
        <w:t>86</w:t>
      </w:r>
    </w:p>
    <w:p w:rsidR="00D06B60" w:rsidRDefault="00000000">
      <w:pPr>
        <w:tabs>
          <w:tab w:val="right" w:leader="dot" w:pos="8600"/>
        </w:tabs>
        <w:spacing w:before="80" w:after="60"/>
        <w:ind w:left="360"/>
      </w:pPr>
      <w:r>
        <w:rPr>
          <w:color w:val="2E75B6"/>
        </w:rPr>
        <w:t>Section 3.3 — Prévision des Ventes et Discussion des Résultats</w:t>
      </w:r>
      <w:r>
        <w:rPr>
          <w:color w:val="595959"/>
        </w:rPr>
        <w:tab/>
        <w:t>90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 xml:space="preserve">3.3.1 — Modèles de prévision : SARIMA, </w:t>
      </w:r>
      <w:proofErr w:type="spellStart"/>
      <w:r>
        <w:rPr>
          <w:color w:val="000000"/>
        </w:rPr>
        <w:t>Prophet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Forest</w:t>
      </w:r>
      <w:r>
        <w:rPr>
          <w:color w:val="595959"/>
        </w:rPr>
        <w:tab/>
        <w:t>90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t>3.3.2 — Comparaison des performances (RMSE, MAE, MAPE) et sélection du modèle optimal</w:t>
      </w:r>
      <w:r>
        <w:rPr>
          <w:color w:val="595959"/>
        </w:rPr>
        <w:tab/>
        <w:t>94</w:t>
      </w:r>
    </w:p>
    <w:p w:rsidR="00D06B60" w:rsidRDefault="00000000">
      <w:pPr>
        <w:tabs>
          <w:tab w:val="right" w:leader="dot" w:pos="8600"/>
        </w:tabs>
        <w:spacing w:before="80" w:after="60"/>
        <w:ind w:left="720"/>
      </w:pPr>
      <w:r>
        <w:rPr>
          <w:color w:val="000000"/>
        </w:rPr>
        <w:lastRenderedPageBreak/>
        <w:t>3.3.3 — Résultats consolidés, confrontation aux hypothèses et recommandations managériales</w:t>
      </w:r>
      <w:r>
        <w:rPr>
          <w:color w:val="595959"/>
        </w:rPr>
        <w:tab/>
        <w:t>98</w:t>
      </w:r>
    </w:p>
    <w:p w:rsidR="00D06B60" w:rsidRDefault="00000000">
      <w:pPr>
        <w:tabs>
          <w:tab w:val="right" w:leader="dot" w:pos="8600"/>
        </w:tabs>
        <w:spacing w:before="80" w:after="60"/>
        <w:ind w:left="360"/>
      </w:pPr>
      <w:r>
        <w:rPr>
          <w:i/>
          <w:iCs/>
          <w:color w:val="2E75B6"/>
        </w:rPr>
        <w:t>Conclusion du Chapitre III</w:t>
      </w:r>
      <w:r>
        <w:rPr>
          <w:color w:val="595959"/>
        </w:rPr>
        <w:tab/>
        <w:t>103</w:t>
      </w:r>
    </w:p>
    <w:p w:rsidR="00D06B60" w:rsidRDefault="00D06B60">
      <w:pPr>
        <w:spacing w:before="200" w:after="100"/>
      </w:pPr>
    </w:p>
    <w:p w:rsidR="00D06B60" w:rsidRDefault="00000000">
      <w:pPr>
        <w:tabs>
          <w:tab w:val="right" w:leader="dot" w:pos="8600"/>
        </w:tabs>
        <w:spacing w:before="160" w:after="100"/>
      </w:pPr>
      <w:r>
        <w:rPr>
          <w:b/>
          <w:bCs/>
          <w:color w:val="1F3864"/>
          <w:sz w:val="24"/>
          <w:szCs w:val="24"/>
        </w:rPr>
        <w:t>CONCLUSION GÉNÉRALE ET RECOMMANDATIONS STRATÉGIQUES</w:t>
      </w:r>
      <w:r>
        <w:rPr>
          <w:b/>
          <w:bCs/>
          <w:color w:val="595959"/>
          <w:sz w:val="24"/>
          <w:szCs w:val="24"/>
        </w:rPr>
        <w:tab/>
        <w:t>105</w:t>
      </w:r>
    </w:p>
    <w:p w:rsidR="00D06B60" w:rsidRDefault="00D06B60">
      <w:pPr>
        <w:spacing w:before="100" w:after="60"/>
      </w:pPr>
    </w:p>
    <w:p w:rsidR="00D06B60" w:rsidRDefault="00000000">
      <w:pPr>
        <w:tabs>
          <w:tab w:val="right" w:leader="dot" w:pos="8600"/>
        </w:tabs>
        <w:spacing w:before="160" w:after="100"/>
      </w:pPr>
      <w:r>
        <w:rPr>
          <w:b/>
          <w:bCs/>
          <w:color w:val="1F3864"/>
        </w:rPr>
        <w:t>BIBLIOGRAPHIE</w:t>
      </w:r>
      <w:r>
        <w:rPr>
          <w:b/>
          <w:bCs/>
          <w:color w:val="595959"/>
        </w:rPr>
        <w:tab/>
        <w:t>159</w:t>
      </w:r>
    </w:p>
    <w:p w:rsidR="00D06B60" w:rsidRDefault="00000000">
      <w:pPr>
        <w:tabs>
          <w:tab w:val="right" w:leader="dot" w:pos="8600"/>
        </w:tabs>
        <w:spacing w:before="160" w:after="100"/>
      </w:pPr>
      <w:r>
        <w:rPr>
          <w:b/>
          <w:bCs/>
          <w:color w:val="1F3864"/>
        </w:rPr>
        <w:t>ANNEXES</w:t>
      </w:r>
      <w:r>
        <w:rPr>
          <w:b/>
          <w:bCs/>
          <w:color w:val="595959"/>
        </w:rPr>
        <w:tab/>
        <w:t>166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85BC3" w:rsidRPr="00C376BD" w:rsidTr="00E579AD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5BC3" w:rsidRPr="00C376BD" w:rsidRDefault="00A85BC3" w:rsidP="00E57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BD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5BC3" w:rsidRPr="00C376BD" w:rsidRDefault="00A85BC3" w:rsidP="00E57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BD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Norme</w:t>
            </w:r>
          </w:p>
        </w:tc>
      </w:tr>
      <w:tr w:rsidR="00A85BC3" w:rsidRPr="00C376BD" w:rsidTr="00E579AD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5BC3" w:rsidRPr="00C376BD" w:rsidRDefault="00A85BC3" w:rsidP="00E57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Police principale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5BC3" w:rsidRPr="00C376BD" w:rsidRDefault="00A85BC3" w:rsidP="00E57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Times New Roman 12 pt — corps du texte</w:t>
            </w:r>
          </w:p>
        </w:tc>
      </w:tr>
      <w:tr w:rsidR="00A85BC3" w:rsidRPr="00C376BD" w:rsidTr="00E579AD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5BC3" w:rsidRPr="00C376BD" w:rsidRDefault="00A85BC3" w:rsidP="00E57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Police titres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5BC3" w:rsidRPr="00C376BD" w:rsidRDefault="00A85BC3" w:rsidP="00E57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Times New Roman — Ch. 18 pt gras | Section 12 pt gras | Sous-section 12 pt gras italique</w:t>
            </w:r>
          </w:p>
        </w:tc>
      </w:tr>
      <w:tr w:rsidR="00A85BC3" w:rsidRPr="00C376BD" w:rsidTr="00E579AD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5BC3" w:rsidRPr="00C376BD" w:rsidRDefault="00A85BC3" w:rsidP="00E57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Interligne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5BC3" w:rsidRPr="00C376BD" w:rsidRDefault="00A85BC3" w:rsidP="00E57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1,5 ligne corps — Simple pour notes de bas de page et bibliographie</w:t>
            </w:r>
          </w:p>
        </w:tc>
      </w:tr>
      <w:tr w:rsidR="00A85BC3" w:rsidRPr="00C376BD" w:rsidTr="00E579AD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5BC3" w:rsidRPr="00C376BD" w:rsidRDefault="00A85BC3" w:rsidP="00E57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Volume cible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5BC3" w:rsidRPr="00C376BD" w:rsidRDefault="00A85BC3" w:rsidP="00E57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 à 90 pages hors annexes (25 000 à 35 000 mots)</w:t>
            </w:r>
          </w:p>
        </w:tc>
      </w:tr>
      <w:tr w:rsidR="00A85BC3" w:rsidRPr="00C376BD" w:rsidTr="00E579AD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5BC3" w:rsidRPr="00C376BD" w:rsidRDefault="00A85BC3" w:rsidP="00E57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Norme citation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5BC3" w:rsidRPr="00C376BD" w:rsidRDefault="00A85BC3" w:rsidP="00E57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APA 7e édition — (Auteur, Année, p. X) dans le texte</w:t>
            </w:r>
          </w:p>
        </w:tc>
      </w:tr>
      <w:tr w:rsidR="00A85BC3" w:rsidRPr="00C376BD" w:rsidTr="00E579AD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5BC3" w:rsidRPr="00C376BD" w:rsidRDefault="00A85BC3" w:rsidP="00E57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Code informatique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A85BC3" w:rsidRPr="00C376BD" w:rsidRDefault="00A85BC3" w:rsidP="00E57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Police Courier New 10 pt, fond grisé, dans les annexes ou en encadrés dans le texte</w:t>
            </w:r>
          </w:p>
        </w:tc>
      </w:tr>
    </w:tbl>
    <w:p w:rsidR="00D06B60" w:rsidRDefault="00D06B60">
      <w:pPr>
        <w:spacing w:before="400" w:after="100"/>
      </w:pPr>
    </w:p>
    <w:p w:rsidR="00D06B60" w:rsidRDefault="00000000">
      <w:pPr>
        <w:pBdr>
          <w:top w:val="single" w:sz="4" w:space="6" w:color="2E75B6"/>
        </w:pBdr>
        <w:spacing w:before="300"/>
        <w:jc w:val="center"/>
      </w:pPr>
      <w:r>
        <w:rPr>
          <w:i/>
          <w:iCs/>
          <w:color w:val="595959"/>
          <w:sz w:val="16"/>
          <w:szCs w:val="16"/>
        </w:rPr>
        <w:t>Mémoire de Fin d'Études — Ingénieur Data Science | SARL GREAT WAY / PUMA Algérie | 2025–2026</w:t>
      </w:r>
    </w:p>
    <w:sectPr w:rsidR="00D06B60">
      <w:pgSz w:w="11906" w:h="16838"/>
      <w:pgMar w:top="1440" w:right="120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91D29"/>
    <w:multiLevelType w:val="hybridMultilevel"/>
    <w:tmpl w:val="DC403ECC"/>
    <w:lvl w:ilvl="0" w:tplc="8E74933E">
      <w:start w:val="1"/>
      <w:numFmt w:val="bullet"/>
      <w:lvlText w:val="●"/>
      <w:lvlJc w:val="left"/>
      <w:pPr>
        <w:ind w:left="720" w:hanging="360"/>
      </w:pPr>
    </w:lvl>
    <w:lvl w:ilvl="1" w:tplc="5942BCE0">
      <w:start w:val="1"/>
      <w:numFmt w:val="bullet"/>
      <w:lvlText w:val="○"/>
      <w:lvlJc w:val="left"/>
      <w:pPr>
        <w:ind w:left="1440" w:hanging="360"/>
      </w:pPr>
    </w:lvl>
    <w:lvl w:ilvl="2" w:tplc="61069544">
      <w:start w:val="1"/>
      <w:numFmt w:val="bullet"/>
      <w:lvlText w:val="■"/>
      <w:lvlJc w:val="left"/>
      <w:pPr>
        <w:ind w:left="2160" w:hanging="360"/>
      </w:pPr>
    </w:lvl>
    <w:lvl w:ilvl="3" w:tplc="FD78AC5C">
      <w:start w:val="1"/>
      <w:numFmt w:val="bullet"/>
      <w:lvlText w:val="●"/>
      <w:lvlJc w:val="left"/>
      <w:pPr>
        <w:ind w:left="2880" w:hanging="360"/>
      </w:pPr>
    </w:lvl>
    <w:lvl w:ilvl="4" w:tplc="E4AACBF6">
      <w:start w:val="1"/>
      <w:numFmt w:val="bullet"/>
      <w:lvlText w:val="○"/>
      <w:lvlJc w:val="left"/>
      <w:pPr>
        <w:ind w:left="3600" w:hanging="360"/>
      </w:pPr>
    </w:lvl>
    <w:lvl w:ilvl="5" w:tplc="49103C84">
      <w:start w:val="1"/>
      <w:numFmt w:val="bullet"/>
      <w:lvlText w:val="■"/>
      <w:lvlJc w:val="left"/>
      <w:pPr>
        <w:ind w:left="4320" w:hanging="360"/>
      </w:pPr>
    </w:lvl>
    <w:lvl w:ilvl="6" w:tplc="0DCC961C">
      <w:start w:val="1"/>
      <w:numFmt w:val="bullet"/>
      <w:lvlText w:val="●"/>
      <w:lvlJc w:val="left"/>
      <w:pPr>
        <w:ind w:left="5040" w:hanging="360"/>
      </w:pPr>
    </w:lvl>
    <w:lvl w:ilvl="7" w:tplc="4906FF8C">
      <w:start w:val="1"/>
      <w:numFmt w:val="bullet"/>
      <w:lvlText w:val="●"/>
      <w:lvlJc w:val="left"/>
      <w:pPr>
        <w:ind w:left="5760" w:hanging="360"/>
      </w:pPr>
    </w:lvl>
    <w:lvl w:ilvl="8" w:tplc="66985E26">
      <w:start w:val="1"/>
      <w:numFmt w:val="bullet"/>
      <w:lvlText w:val="●"/>
      <w:lvlJc w:val="left"/>
      <w:pPr>
        <w:ind w:left="6480" w:hanging="360"/>
      </w:pPr>
    </w:lvl>
  </w:abstractNum>
  <w:num w:numId="1" w16cid:durableId="2020112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B60"/>
    <w:rsid w:val="00A85BC3"/>
    <w:rsid w:val="00D0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8B8FC3-1468-446A-9EF9-9E74C521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missi sabrina</cp:lastModifiedBy>
  <cp:revision>2</cp:revision>
  <dcterms:created xsi:type="dcterms:W3CDTF">2026-03-13T07:25:00Z</dcterms:created>
  <dcterms:modified xsi:type="dcterms:W3CDTF">2026-03-13T07:27:00Z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77ee5c30-05a6-4065-8f2d-bf4b4969e9bb</vt:lpwstr>
  </property>
</Properties>
</file>