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jc w:val="center"/>
      </w:pPr>
      <w:r>
        <w:t>ПОЛНЫЙ ДЕТАЛЬНЫЙ ДОКЛАД</w:t>
      </w:r>
    </w:p>
    <w:p>
      <w:pPr>
        <w:spacing w:after="1440"/>
      </w:pPr>
    </w:p>
    <w:p>
      <w:pPr>
        <w:spacing w:after="200"/>
        <w:jc w:val="center"/>
      </w:pPr>
      <w:r>
        <w:rPr>
          <w:rFonts w:ascii="Calibri" w:hAnsi="Calibri" w:eastAsia="Calibri"/>
          <w:b/>
          <w:color w:val="0B2545"/>
          <w:sz w:val="60"/>
        </w:rPr>
        <w:t>ГКП на ПХВ</w:t>
        <w:br/>
        <w:t>«Алматы Су»</w:t>
      </w:r>
    </w:p>
    <w:p>
      <w:pPr>
        <w:spacing w:after="400"/>
        <w:jc w:val="center"/>
      </w:pPr>
      <w:r>
        <w:t>Состояние системы, ключевые риски и программа развития</w:t>
      </w:r>
    </w:p>
    <w:p>
      <w:pPr>
        <w:spacing w:after="1200"/>
        <w:jc w:val="center"/>
      </w:pPr>
      <w:r>
        <w:t>Подробное сопровождение презентации от 3 сентября 2026 года</w:t>
      </w:r>
    </w:p>
    <w:p>
      <w:pPr>
        <w:pStyle w:val="Callout"/>
        <w:keepLines/>
        <w:spacing w:before="80" w:after="160"/>
        <w:ind w:left="230" w:right="144"/>
        <w:shd w:fill="EAF3F8"/>
        <w:pBdr>
          <w:start w:val="single" w:sz="16" w:space="8" w:color="1F4D78"/>
        </w:pBdr>
        <w:widowControl/>
      </w:pPr>
      <w:r>
        <w:t>Статус документа. Расширенная текстовая версия презентации «Состояние системы, ключевые риски и программа развития» от 3 сентября 2026 года. Отчёт объединяет управленческие выводы, подтверждённые показатели, таблицы, риски и план действий. Даты среза различаются по показателям и указаны непосредственно в тексте и таблицах.</w:t>
      </w:r>
    </w:p>
    <w:p>
      <w:pPr>
        <w:spacing w:before="720" w:after="0"/>
        <w:jc w:val="center"/>
      </w:pPr>
      <w:r>
        <w:t>Алматы, 3 сентября 2026 года</w:t>
      </w:r>
    </w:p>
    <w:p>
      <w:r>
        <w:br w:type="page"/>
      </w:r>
    </w:p>
    <w:p>
      <w:pPr>
        <w:pStyle w:val="Heading1"/>
        <w:keepLines/>
        <w:widowControl/>
      </w:pPr>
      <w:r>
        <w:rPr>
          <w:rFonts w:ascii="Calibri" w:hAnsi="Calibri" w:eastAsia="Calibri"/>
        </w:rPr>
        <w:t>Содержание</w:t>
      </w:r>
    </w:p>
    <w:p>
      <w:pPr>
        <w:keepLines/>
        <w:widowControl/>
      </w:pPr>
      <w:r>
        <w:rPr>
          <w:rFonts w:ascii="Calibri" w:hAnsi="Calibri" w:eastAsia="Calibri"/>
        </w:rPr>
        <w:t>Основная часть</w:t>
      </w:r>
    </w:p>
    <w:p>
      <w:pPr>
        <w:spacing w:after="60"/>
        <w:ind w:left="173" w:hanging="173"/>
      </w:pPr>
      <w:r>
        <w:rPr>
          <w:rFonts w:ascii="Calibri" w:hAnsi="Calibri" w:eastAsia="Calibri"/>
          <w:b/>
          <w:color w:val="2E74B5"/>
        </w:rPr>
        <w:t xml:space="preserve">1. </w:t>
      </w:r>
      <w:r>
        <w:rPr>
          <w:rFonts w:ascii="Calibri" w:hAnsi="Calibri" w:eastAsia="Calibri"/>
          <w:color w:val="0B2545"/>
        </w:rPr>
        <w:t>Резюме для руководства</w:t>
      </w:r>
    </w:p>
    <w:p>
      <w:pPr>
        <w:spacing w:after="60"/>
        <w:ind w:left="173" w:hanging="173"/>
      </w:pPr>
      <w:r>
        <w:rPr>
          <w:rFonts w:ascii="Calibri" w:hAnsi="Calibri" w:eastAsia="Calibri"/>
          <w:b/>
          <w:color w:val="2E74B5"/>
        </w:rPr>
        <w:t xml:space="preserve">2. </w:t>
      </w:r>
      <w:r>
        <w:rPr>
          <w:rFonts w:ascii="Calibri" w:hAnsi="Calibri" w:eastAsia="Calibri"/>
          <w:color w:val="0B2545"/>
        </w:rPr>
        <w:t>Общая характеристика предприятия и масштаб системы</w:t>
      </w:r>
    </w:p>
    <w:p>
      <w:pPr>
        <w:spacing w:after="60"/>
        <w:ind w:left="173" w:hanging="173"/>
      </w:pPr>
      <w:r>
        <w:rPr>
          <w:rFonts w:ascii="Calibri" w:hAnsi="Calibri" w:eastAsia="Calibri"/>
          <w:b/>
          <w:color w:val="2E74B5"/>
        </w:rPr>
        <w:t xml:space="preserve">3. </w:t>
      </w:r>
      <w:r>
        <w:rPr>
          <w:rFonts w:ascii="Calibri" w:hAnsi="Calibri" w:eastAsia="Calibri"/>
          <w:color w:val="0B2545"/>
        </w:rPr>
        <w:t>Водоисточники, добыча и водный баланс</w:t>
      </w:r>
    </w:p>
    <w:p>
      <w:pPr>
        <w:spacing w:after="60"/>
        <w:ind w:left="173" w:hanging="173"/>
      </w:pPr>
      <w:r>
        <w:rPr>
          <w:rFonts w:ascii="Calibri" w:hAnsi="Calibri" w:eastAsia="Calibri"/>
          <w:b/>
          <w:color w:val="2E74B5"/>
        </w:rPr>
        <w:t xml:space="preserve">4. </w:t>
      </w:r>
      <w:r>
        <w:rPr>
          <w:rFonts w:ascii="Calibri" w:hAnsi="Calibri" w:eastAsia="Calibri"/>
          <w:color w:val="0B2545"/>
        </w:rPr>
        <w:t>Состояние водопроводной инфраструктуры</w:t>
      </w:r>
    </w:p>
    <w:p>
      <w:pPr>
        <w:spacing w:after="60"/>
        <w:ind w:left="173" w:hanging="173"/>
      </w:pPr>
      <w:r>
        <w:rPr>
          <w:rFonts w:ascii="Calibri" w:hAnsi="Calibri" w:eastAsia="Calibri"/>
          <w:b/>
          <w:color w:val="2E74B5"/>
        </w:rPr>
        <w:t xml:space="preserve">5. </w:t>
      </w:r>
      <w:r>
        <w:rPr>
          <w:rFonts w:ascii="Calibri" w:hAnsi="Calibri" w:eastAsia="Calibri"/>
          <w:color w:val="0B2545"/>
        </w:rPr>
        <w:t>Канализационная инфраструктура и КНС</w:t>
      </w:r>
    </w:p>
    <w:p>
      <w:pPr>
        <w:spacing w:after="60"/>
        <w:ind w:left="173" w:hanging="173"/>
      </w:pPr>
      <w:r>
        <w:rPr>
          <w:rFonts w:ascii="Calibri" w:hAnsi="Calibri" w:eastAsia="Calibri"/>
          <w:b/>
          <w:color w:val="2E74B5"/>
        </w:rPr>
        <w:t xml:space="preserve">6. </w:t>
      </w:r>
      <w:r>
        <w:rPr>
          <w:rFonts w:ascii="Calibri" w:hAnsi="Calibri" w:eastAsia="Calibri"/>
          <w:color w:val="0B2545"/>
        </w:rPr>
        <w:t>КОС и экологическая устойчивость</w:t>
      </w:r>
    </w:p>
    <w:p>
      <w:pPr>
        <w:spacing w:after="60"/>
        <w:ind w:left="173" w:hanging="173"/>
      </w:pPr>
      <w:r>
        <w:rPr>
          <w:rFonts w:ascii="Calibri" w:hAnsi="Calibri" w:eastAsia="Calibri"/>
          <w:b/>
          <w:color w:val="2E74B5"/>
        </w:rPr>
        <w:t xml:space="preserve">7. </w:t>
      </w:r>
      <w:r>
        <w:rPr>
          <w:rFonts w:ascii="Calibri" w:hAnsi="Calibri" w:eastAsia="Calibri"/>
          <w:color w:val="0B2545"/>
        </w:rPr>
        <w:t>Надёжность производственной инфраструктуры</w:t>
      </w:r>
    </w:p>
    <w:p>
      <w:pPr>
        <w:spacing w:after="60"/>
        <w:ind w:left="173" w:hanging="173"/>
      </w:pPr>
      <w:r>
        <w:rPr>
          <w:rFonts w:ascii="Calibri" w:hAnsi="Calibri" w:eastAsia="Calibri"/>
          <w:b/>
          <w:color w:val="2E74B5"/>
        </w:rPr>
        <w:t xml:space="preserve">8. </w:t>
      </w:r>
      <w:r>
        <w:rPr>
          <w:rFonts w:ascii="Calibri" w:hAnsi="Calibri" w:eastAsia="Calibri"/>
          <w:color w:val="0B2545"/>
        </w:rPr>
        <w:t>Потребители, коммерческий учёт и качество обслуживания</w:t>
      </w:r>
    </w:p>
    <w:p>
      <w:pPr>
        <w:spacing w:after="60"/>
        <w:ind w:left="173" w:hanging="173"/>
      </w:pPr>
      <w:r>
        <w:rPr>
          <w:rFonts w:ascii="Calibri" w:hAnsi="Calibri" w:eastAsia="Calibri"/>
          <w:b/>
          <w:color w:val="2E74B5"/>
        </w:rPr>
        <w:t xml:space="preserve">9. </w:t>
      </w:r>
      <w:r>
        <w:rPr>
          <w:rFonts w:ascii="Calibri" w:hAnsi="Calibri" w:eastAsia="Calibri"/>
          <w:color w:val="0B2545"/>
        </w:rPr>
        <w:t>Дебиторская задолженность и платёжная дисциплина</w:t>
      </w:r>
    </w:p>
    <w:p>
      <w:pPr>
        <w:spacing w:after="60"/>
        <w:ind w:left="173" w:hanging="173"/>
      </w:pPr>
      <w:r>
        <w:rPr>
          <w:rFonts w:ascii="Calibri" w:hAnsi="Calibri" w:eastAsia="Calibri"/>
          <w:b/>
          <w:color w:val="2E74B5"/>
        </w:rPr>
        <w:t xml:space="preserve">10. </w:t>
      </w:r>
      <w:r>
        <w:rPr>
          <w:rFonts w:ascii="Calibri" w:hAnsi="Calibri" w:eastAsia="Calibri"/>
          <w:color w:val="0B2545"/>
        </w:rPr>
        <w:t>Тарифная экономика и финансовое состояние</w:t>
      </w:r>
    </w:p>
    <w:p>
      <w:pPr>
        <w:spacing w:after="60"/>
        <w:ind w:left="173" w:hanging="173"/>
      </w:pPr>
      <w:r>
        <w:rPr>
          <w:rFonts w:ascii="Calibri" w:hAnsi="Calibri" w:eastAsia="Calibri"/>
          <w:b/>
          <w:color w:val="2E74B5"/>
        </w:rPr>
        <w:t xml:space="preserve">11. </w:t>
      </w:r>
      <w:r>
        <w:rPr>
          <w:rFonts w:ascii="Calibri" w:hAnsi="Calibri" w:eastAsia="Calibri"/>
          <w:color w:val="0B2545"/>
        </w:rPr>
        <w:t>Инвестиционная программа</w:t>
      </w:r>
    </w:p>
    <w:p>
      <w:pPr>
        <w:spacing w:after="60"/>
        <w:ind w:left="173" w:hanging="173"/>
      </w:pPr>
      <w:r>
        <w:rPr>
          <w:rFonts w:ascii="Calibri" w:hAnsi="Calibri" w:eastAsia="Calibri"/>
          <w:b/>
          <w:color w:val="2E74B5"/>
        </w:rPr>
        <w:t xml:space="preserve">12. </w:t>
      </w:r>
      <w:r>
        <w:rPr>
          <w:rFonts w:ascii="Calibri" w:hAnsi="Calibri" w:eastAsia="Calibri"/>
          <w:color w:val="0B2545"/>
        </w:rPr>
        <w:t>Стратегические инфраструктурные проекты</w:t>
      </w:r>
    </w:p>
    <w:p>
      <w:pPr>
        <w:spacing w:after="60"/>
        <w:ind w:left="173" w:hanging="173"/>
      </w:pPr>
      <w:r>
        <w:rPr>
          <w:rFonts w:ascii="Calibri" w:hAnsi="Calibri" w:eastAsia="Calibri"/>
          <w:b/>
          <w:color w:val="2E74B5"/>
        </w:rPr>
        <w:t xml:space="preserve">13. </w:t>
      </w:r>
      <w:r>
        <w:rPr>
          <w:rFonts w:ascii="Calibri" w:hAnsi="Calibri" w:eastAsia="Calibri"/>
          <w:color w:val="0B2545"/>
        </w:rPr>
        <w:t>Персонал и кадровая устойчивость</w:t>
      </w:r>
    </w:p>
    <w:p>
      <w:pPr>
        <w:spacing w:after="60"/>
        <w:ind w:left="173" w:hanging="173"/>
      </w:pPr>
      <w:r>
        <w:rPr>
          <w:rFonts w:ascii="Calibri" w:hAnsi="Calibri" w:eastAsia="Calibri"/>
          <w:b/>
          <w:color w:val="2E74B5"/>
        </w:rPr>
        <w:t xml:space="preserve">14. </w:t>
      </w:r>
      <w:r>
        <w:rPr>
          <w:rFonts w:ascii="Calibri" w:hAnsi="Calibri" w:eastAsia="Calibri"/>
          <w:color w:val="0B2545"/>
        </w:rPr>
        <w:t>Цифровизация и управление активами</w:t>
      </w:r>
    </w:p>
    <w:p>
      <w:pPr>
        <w:spacing w:after="60"/>
        <w:ind w:left="173" w:hanging="173"/>
      </w:pPr>
      <w:r>
        <w:rPr>
          <w:rFonts w:ascii="Calibri" w:hAnsi="Calibri" w:eastAsia="Calibri"/>
          <w:b/>
          <w:color w:val="2E74B5"/>
        </w:rPr>
        <w:t xml:space="preserve">15. </w:t>
      </w:r>
      <w:r>
        <w:rPr>
          <w:rFonts w:ascii="Calibri" w:hAnsi="Calibri" w:eastAsia="Calibri"/>
          <w:color w:val="0B2545"/>
        </w:rPr>
        <w:t>Корпоративное управление, внутренний контроль и обеспечивающие функции</w:t>
      </w:r>
    </w:p>
    <w:p>
      <w:pPr>
        <w:spacing w:after="60"/>
        <w:ind w:left="173" w:hanging="173"/>
      </w:pPr>
      <w:r>
        <w:rPr>
          <w:rFonts w:ascii="Calibri" w:hAnsi="Calibri" w:eastAsia="Calibri"/>
          <w:b/>
          <w:color w:val="2E74B5"/>
        </w:rPr>
        <w:t xml:space="preserve">16. </w:t>
      </w:r>
      <w:r>
        <w:rPr>
          <w:rFonts w:ascii="Calibri" w:hAnsi="Calibri" w:eastAsia="Calibri"/>
          <w:color w:val="0B2545"/>
        </w:rPr>
        <w:t>Ключевые риски предприятия</w:t>
      </w:r>
    </w:p>
    <w:p>
      <w:pPr>
        <w:spacing w:after="60"/>
        <w:ind w:left="173" w:hanging="173"/>
      </w:pPr>
      <w:r>
        <w:rPr>
          <w:rFonts w:ascii="Calibri" w:hAnsi="Calibri" w:eastAsia="Calibri"/>
          <w:b/>
          <w:color w:val="2E74B5"/>
        </w:rPr>
        <w:t xml:space="preserve">17. </w:t>
      </w:r>
      <w:r>
        <w:rPr>
          <w:rFonts w:ascii="Calibri" w:hAnsi="Calibri" w:eastAsia="Calibri"/>
          <w:color w:val="0B2545"/>
        </w:rPr>
        <w:t>Приоритеты и план действий на 2026-2030 годы</w:t>
      </w:r>
    </w:p>
    <w:p>
      <w:pPr>
        <w:spacing w:after="60"/>
        <w:ind w:left="173" w:hanging="173"/>
      </w:pPr>
      <w:r>
        <w:rPr>
          <w:rFonts w:ascii="Calibri" w:hAnsi="Calibri" w:eastAsia="Calibri"/>
          <w:b/>
          <w:color w:val="2E74B5"/>
        </w:rPr>
        <w:t xml:space="preserve">18. </w:t>
      </w:r>
      <w:r>
        <w:rPr>
          <w:rFonts w:ascii="Calibri" w:hAnsi="Calibri" w:eastAsia="Calibri"/>
          <w:color w:val="0B2545"/>
        </w:rPr>
        <w:t>Решения, требующие поддержки акимата, собственника и государственных органов</w:t>
      </w:r>
    </w:p>
    <w:p>
      <w:pPr>
        <w:spacing w:after="60"/>
        <w:ind w:left="173" w:hanging="173"/>
      </w:pPr>
      <w:r>
        <w:rPr>
          <w:rFonts w:ascii="Calibri" w:hAnsi="Calibri" w:eastAsia="Calibri"/>
          <w:b/>
          <w:color w:val="2E74B5"/>
        </w:rPr>
        <w:t xml:space="preserve">19. </w:t>
      </w:r>
      <w:r>
        <w:rPr>
          <w:rFonts w:ascii="Calibri" w:hAnsi="Calibri" w:eastAsia="Calibri"/>
          <w:color w:val="0B2545"/>
        </w:rPr>
        <w:t>Итоговая управленческая оценка предприятия</w:t>
      </w:r>
    </w:p>
    <w:p>
      <w:pPr>
        <w:spacing w:after="60"/>
        <w:ind w:left="173" w:hanging="173"/>
      </w:pPr>
      <w:r>
        <w:rPr>
          <w:rFonts w:ascii="Calibri" w:hAnsi="Calibri" w:eastAsia="Calibri"/>
          <w:b/>
          <w:color w:val="2E74B5"/>
        </w:rPr>
        <w:t xml:space="preserve">20. </w:t>
      </w:r>
      <w:r>
        <w:rPr>
          <w:rFonts w:ascii="Calibri" w:hAnsi="Calibri" w:eastAsia="Calibri"/>
          <w:color w:val="0B2545"/>
        </w:rPr>
        <w:t>Приложения и доказательная база</w:t>
      </w:r>
    </w:p>
    <w:p>
      <w:r>
        <w:t>21. Пояснения к 45 слайдам презентации от 3 сентября 2026 года</w:t>
      </w:r>
    </w:p>
    <w:p>
      <w:r>
        <w:br w:type="page"/>
      </w:r>
    </w:p>
    <w:p>
      <w:pPr>
        <w:pStyle w:val="Heading1"/>
        <w:keepLines/>
        <w:widowControl/>
      </w:pPr>
      <w:r>
        <w:rPr>
          <w:rFonts w:ascii="Calibri" w:hAnsi="Calibri" w:eastAsia="Calibri"/>
        </w:rPr>
        <w:t>Паспорт отчёта и методологические правила</w:t>
      </w:r>
    </w:p>
    <w:p>
      <w:pPr>
        <w:pStyle w:val="Lead"/>
        <w:keepLines/>
        <w:widowControl/>
      </w:pPr>
      <w:r>
        <w:rPr>
          <w:rFonts w:ascii="Calibri" w:hAnsi="Calibri" w:eastAsia="Calibri"/>
        </w:rPr>
        <w:t>Отчёт охватывает 2024 год, 2025 год и доступную часть 2026 года. Пакет исходных материалов содержит 193 файла, включая 16 временных файлов Microsoft Office. После их исключения рабочий периметр составил 177 файлов: 176 файлов содержательно прочитаны, а файл «Азиза/Пеня.xlsx» зашифрован и без пароля не использован. Наличие файла в пакете само по себе не означает, что он использован как первичный источник.</w:t>
      </w:r>
    </w:p>
    <w:tbl>
      <w:tblPr>
        <w:tblW w:type="dxa" w:w="9360"/>
        <w:tblLayout w:type="fixed"/>
        <w:tblLook w:firstColumn="1" w:firstRow="1" w:lastColumn="0" w:lastRow="0" w:noHBand="0" w:noVBand="1" w:val="04A0"/>
        <w:jc w:val="left"/>
        <w:tblInd w:w="120" w:type="dxa"/>
      </w:tblPr>
      <w:tblGrid>
        <w:gridCol w:w="720"/>
        <w:gridCol w:w="3240"/>
        <w:gridCol w:w="5400"/>
      </w:tblGrid>
      <w:tr>
        <w:trPr>
          <w:tblHeader w:val="true"/>
          <w:cantSplit w:val="true"/>
        </w:trPr>
        <w:tc>
          <w:tcPr>
            <w:tcW w:type="dxa" w:w="7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Приоритет</w:t>
            </w:r>
          </w:p>
        </w:tc>
        <w:tc>
          <w:tcPr>
            <w:tcW w:type="dxa" w:w="324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Источник</w:t>
            </w:r>
          </w:p>
        </w:tc>
        <w:tc>
          <w:tcPr>
            <w:tcW w:type="dxa" w:w="5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Правило использования</w:t>
            </w:r>
          </w:p>
        </w:tc>
      </w:tr>
      <w:tr>
        <w:trPr>
          <w:cantSplit w:val="true"/>
        </w:trPr>
        <w:tc>
          <w:tcPr>
            <w:tcW w:type="dxa" w:w="7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w:t>
            </w:r>
          </w:p>
        </w:tc>
        <w:tc>
          <w:tcPr>
            <w:tcW w:type="dxa" w:w="324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Аудированная финансовая отчётность</w:t>
            </w:r>
          </w:p>
        </w:tc>
        <w:tc>
          <w:tcPr>
            <w:tcW w:type="dxa" w:w="5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Окончательные показатели 2024-2025 годов</w:t>
            </w:r>
          </w:p>
        </w:tc>
      </w:tr>
      <w:tr>
        <w:trPr>
          <w:cantSplit w:val="true"/>
        </w:trPr>
        <w:tc>
          <w:tcPr>
            <w:tcW w:type="dxa" w:w="7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w:t>
            </w:r>
          </w:p>
        </w:tc>
        <w:tc>
          <w:tcPr>
            <w:tcW w:type="dxa" w:w="324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Первичные таблицы, журналы и реестры подразделений</w:t>
            </w:r>
          </w:p>
        </w:tc>
        <w:tc>
          <w:tcPr>
            <w:tcW w:type="dxa" w:w="5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Производственные и операционные показатели</w:t>
            </w:r>
          </w:p>
        </w:tc>
      </w:tr>
      <w:tr>
        <w:trPr>
          <w:cantSplit w:val="true"/>
        </w:trPr>
        <w:tc>
          <w:tcPr>
            <w:tcW w:type="dxa" w:w="7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w:t>
            </w:r>
          </w:p>
        </w:tc>
        <w:tc>
          <w:tcPr>
            <w:tcW w:type="dxa" w:w="324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Утверждённые тарифные формы и инвестиционные документы</w:t>
            </w:r>
          </w:p>
        </w:tc>
        <w:tc>
          <w:tcPr>
            <w:tcW w:type="dxa" w:w="5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Только соответствующий тарифный или инвестиционный контур</w:t>
            </w:r>
          </w:p>
        </w:tc>
      </w:tr>
      <w:tr>
        <w:trPr>
          <w:cantSplit w:val="true"/>
        </w:trPr>
        <w:tc>
          <w:tcPr>
            <w:tcW w:type="dxa" w:w="7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w:t>
            </w:r>
          </w:p>
        </w:tc>
        <w:tc>
          <w:tcPr>
            <w:tcW w:type="dxa" w:w="324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Управленческие презентации</w:t>
            </w:r>
          </w:p>
        </w:tc>
        <w:tc>
          <w:tcPr>
            <w:tcW w:type="dxa" w:w="5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Вторичный источник с обязательной датой и периметром</w:t>
            </w:r>
          </w:p>
        </w:tc>
      </w:tr>
      <w:tr>
        <w:trPr>
          <w:cantSplit w:val="true"/>
        </w:trPr>
        <w:tc>
          <w:tcPr>
            <w:tcW w:type="dxa" w:w="7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w:t>
            </w:r>
          </w:p>
        </w:tc>
        <w:tc>
          <w:tcPr>
            <w:tcW w:type="dxa" w:w="324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Канонический реестр KPI</w:t>
            </w:r>
          </w:p>
        </w:tc>
        <w:tc>
          <w:tcPr>
            <w:tcW w:type="dxa" w:w="5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Инструмент сверки; не заменяет первичный документ</w:t>
            </w:r>
          </w:p>
        </w:tc>
      </w:tr>
    </w:tbl>
    <w:p>
      <w:pPr>
        <w:spacing w:after="40"/>
      </w:pP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Главное правило. </w:t>
      </w:r>
      <w:r>
        <w:rPr>
          <w:rFonts w:ascii="Calibri" w:hAnsi="Calibri" w:eastAsia="Calibri"/>
          <w:color w:val="0B2545"/>
        </w:rPr>
        <w:t>Годовые, полугодовые, семимесячные и моментные значения не образуют один сопоставимый ряд без специальной оговорки. Расхождение источников сохраняется открытым до официальной сверки.</w:t>
      </w:r>
    </w:p>
    <w:p>
      <w:pPr>
        <w:keepLines/>
        <w:numPr>
          <w:ilvl w:val="0"/>
          <w:numId w:val="10"/>
        </w:numPr>
        <w:spacing w:after="160" w:line="280" w:lineRule="auto"/>
        <w:widowControl/>
      </w:pPr>
      <w:r>
        <w:rPr>
          <w:rFonts w:ascii="Calibri" w:hAnsi="Calibri" w:eastAsia="Calibri"/>
        </w:rPr>
        <w:t>Каждая цифра сопровождается периодом или контрольной датой.</w:t>
      </w:r>
    </w:p>
    <w:p>
      <w:pPr>
        <w:keepLines/>
        <w:numPr>
          <w:ilvl w:val="0"/>
          <w:numId w:val="10"/>
        </w:numPr>
        <w:spacing w:after="160" w:line="280" w:lineRule="auto"/>
        <w:widowControl/>
      </w:pPr>
      <w:r>
        <w:rPr>
          <w:rFonts w:ascii="Calibri" w:hAnsi="Calibri" w:eastAsia="Calibri"/>
        </w:rPr>
        <w:t>Расчётные показатели прямо обозначаются как расчёт отчёта.</w:t>
      </w:r>
    </w:p>
    <w:p>
      <w:pPr>
        <w:keepLines/>
        <w:numPr>
          <w:ilvl w:val="0"/>
          <w:numId w:val="10"/>
        </w:numPr>
        <w:spacing w:after="160" w:line="280" w:lineRule="auto"/>
        <w:widowControl/>
      </w:pPr>
      <w:r>
        <w:rPr>
          <w:rFonts w:ascii="Calibri" w:hAnsi="Calibri" w:eastAsia="Calibri"/>
        </w:rPr>
        <w:t>Тарифный, бухгалтерский, управленческий и технический контуры не суммируются автоматически.</w:t>
      </w:r>
    </w:p>
    <w:p>
      <w:pPr>
        <w:keepLines/>
        <w:numPr>
          <w:ilvl w:val="0"/>
          <w:numId w:val="10"/>
        </w:numPr>
        <w:spacing w:after="160" w:line="280" w:lineRule="auto"/>
        <w:widowControl/>
      </w:pPr>
      <w:r>
        <w:rPr>
          <w:rFonts w:ascii="Calibri" w:hAnsi="Calibri" w:eastAsia="Calibri"/>
        </w:rPr>
        <w:t>Пустые ячейки и отсутствующие показатели не заменяются оценками.</w:t>
      </w:r>
    </w:p>
    <w:p>
      <w:pPr>
        <w:keepLines/>
        <w:numPr>
          <w:ilvl w:val="0"/>
          <w:numId w:val="10"/>
        </w:numPr>
        <w:spacing w:after="160" w:line="280" w:lineRule="auto"/>
        <w:widowControl/>
      </w:pPr>
      <w:r>
        <w:rPr>
          <w:rFonts w:ascii="Calibri" w:hAnsi="Calibri" w:eastAsia="Calibri"/>
        </w:rPr>
        <w:t>Проектные параметры не представляются как фактические результаты.</w:t>
      </w:r>
    </w:p>
    <w:p>
      <w:r>
        <w:br w:type="page"/>
      </w:r>
    </w:p>
    <w:p>
      <w:pPr>
        <w:pStyle w:val="Heading1"/>
        <w:spacing w:before="0"/>
        <w:keepNext/>
      </w:pPr>
      <w:r>
        <w:t>1. Резюме для руководства</w:t>
      </w:r>
    </w:p>
    <w:p>
      <w:pPr>
        <w:pStyle w:val="Lead"/>
        <w:keepLines/>
        <w:widowControl/>
      </w:pPr>
      <w:r>
        <w:rPr>
          <w:rFonts w:ascii="Calibri" w:hAnsi="Calibri" w:eastAsia="Calibri"/>
        </w:rPr>
        <w:t>Предприятие расширило инфраструктурный и клиентский периметр, улучшило ряд результатов 2025 года и одновременно вошло в 2026 год с более высокой нагрузкой на сети, канализационные сооружения, тарифную экономику и систему управления данными.</w:t>
      </w:r>
    </w:p>
    <w:tbl>
      <w:tblPr>
        <w:tblW w:type="dxa" w:w="9360"/>
        <w:tblLayout w:type="fixed"/>
        <w:tblLook w:firstColumn="1" w:firstRow="1" w:lastColumn="0" w:lastRow="0" w:noHBand="0" w:noVBand="1" w:val="04A0"/>
        <w:jc w:val="left"/>
        <w:tblInd w:w="120" w:type="dxa"/>
      </w:tblPr>
      <w:tblGrid>
        <w:gridCol w:w="2350"/>
        <w:gridCol w:w="1250"/>
        <w:gridCol w:w="1250"/>
        <w:gridCol w:w="1800"/>
        <w:gridCol w:w="2710"/>
      </w:tblGrid>
      <w:tr>
        <w:trPr>
          <w:tblHeader w:val="true"/>
          <w:cantSplit w:val="true"/>
        </w:trPr>
        <w:tc>
          <w:tcPr>
            <w:tcW w:type="dxa" w:w="23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Показатель</w:t>
            </w:r>
          </w:p>
        </w:tc>
        <w:tc>
          <w:tcPr>
            <w:tcW w:type="dxa" w:w="12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2024</w:t>
            </w:r>
          </w:p>
        </w:tc>
        <w:tc>
          <w:tcPr>
            <w:tcW w:type="dxa" w:w="12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2025</w:t>
            </w:r>
          </w:p>
        </w:tc>
        <w:tc>
          <w:tcPr>
            <w:tcW w:type="dxa" w:w="18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Последний доступный 2026</w:t>
            </w:r>
          </w:p>
        </w:tc>
        <w:tc>
          <w:tcPr>
            <w:tcW w:type="dxa" w:w="27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Комментарий</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Водопроводные сети, км</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3 767,43</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4 080,74</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4 146,03 за I пг.; 4 252,71 на 07.08</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Разные даты и контуры</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Канализационные сети, км</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2 077,79</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2 334,74</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2 450,25</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Балансовый контур</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КНС, ед.</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38</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70</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Рост эксплуатационного периметра</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Добыча воды, млн м3</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273,971</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283,666</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136,876 за I пг.</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2026 не годизирован</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Аварии на водопроводе, ед.</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2 975</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3 487</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1 785 по июль</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Промежуточный 2026</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Обновлено сетей, км</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56,327</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92,351</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6,272 за I пг.</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Разные длительности периода</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Потребители, ед.</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606 071</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649 237</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674 433 на 01.07</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Сопоставимая районная серия</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Финансовый результат</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-2,416 млрд ₸</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+2,654 млрд ₸</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-1,137 млрд ₸ за I пг.</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Аудит 2024-2025; бухучёт 2026</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Тарифный результат</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-820 млн ₸</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+1,857 млрд ₸</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-2,533 млрд ₸ за I пг.</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Не равен бухгалтерскому</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Персонал, чел.</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3 427 на 01.01</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3 769 на 01.06</w:t>
            </w:r>
          </w:p>
        </w:tc>
        <w:tc>
          <w:tcPr>
            <w:tcW w:type="dxa" w:w="2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Моментные срезы</w:t>
            </w:r>
          </w:p>
        </w:tc>
      </w:tr>
    </w:tbl>
    <w:p>
      <w:pPr>
        <w:spacing w:after="40"/>
      </w:pPr>
    </w:p>
    <w:p>
      <w:pPr>
        <w:pStyle w:val="Heading2"/>
        <w:keepLines/>
        <w:widowControl/>
      </w:pPr>
      <w:r>
        <w:rPr>
          <w:rFonts w:ascii="Calibri" w:hAnsi="Calibri" w:eastAsia="Calibri"/>
        </w:rPr>
        <w:t>Ключевые положительные результаты</w:t>
      </w:r>
    </w:p>
    <w:p>
      <w:pPr>
        <w:keepLines/>
        <w:numPr>
          <w:ilvl w:val="0"/>
          <w:numId w:val="10"/>
        </w:numPr>
        <w:spacing w:after="160" w:line="280" w:lineRule="auto"/>
        <w:widowControl/>
      </w:pPr>
      <w:r>
        <w:rPr>
          <w:rFonts w:ascii="Calibri" w:hAnsi="Calibri" w:eastAsia="Calibri"/>
        </w:rPr>
        <w:t>В 2025 году добыча воды увеличилась, а распределительные потери в абсолютном выражении снизились относительно 2024 года.</w:t>
      </w:r>
    </w:p>
    <w:p>
      <w:pPr>
        <w:keepLines/>
        <w:numPr>
          <w:ilvl w:val="0"/>
          <w:numId w:val="10"/>
        </w:numPr>
        <w:spacing w:after="160" w:line="280" w:lineRule="auto"/>
        <w:widowControl/>
      </w:pPr>
      <w:r>
        <w:rPr>
          <w:rFonts w:ascii="Calibri" w:hAnsi="Calibri" w:eastAsia="Calibri"/>
        </w:rPr>
        <w:t>Объём обновления водопроводных сетей вырос с 56,327 до 92,351 км.</w:t>
      </w:r>
    </w:p>
    <w:p>
      <w:pPr>
        <w:keepLines/>
        <w:numPr>
          <w:ilvl w:val="0"/>
          <w:numId w:val="10"/>
        </w:numPr>
        <w:spacing w:after="160" w:line="280" w:lineRule="auto"/>
        <w:widowControl/>
      </w:pPr>
      <w:r>
        <w:rPr>
          <w:rFonts w:ascii="Calibri" w:hAnsi="Calibri" w:eastAsia="Calibri"/>
        </w:rPr>
        <w:t>Аудированный финансовый результат изменился с убытка 2,416 млрд ₸ в 2024 году на прибыль 2,654 млрд ₸ в 2025 году.</w:t>
      </w:r>
    </w:p>
    <w:p>
      <w:pPr>
        <w:keepLines/>
        <w:numPr>
          <w:ilvl w:val="0"/>
          <w:numId w:val="10"/>
        </w:numPr>
        <w:spacing w:after="160" w:line="280" w:lineRule="auto"/>
        <w:widowControl/>
      </w:pPr>
      <w:r>
        <w:rPr>
          <w:rFonts w:ascii="Calibri" w:hAnsi="Calibri" w:eastAsia="Calibri"/>
        </w:rPr>
        <w:t>Укомплектованность утверждённого штатного расписания достигла 96,9% на 01.06.2026; текучесть в основном HR-контуре снизилась с 18,8% до 14,8% в 2025 году.</w:t>
      </w:r>
    </w:p>
    <w:p>
      <w:pPr>
        <w:keepLines/>
        <w:numPr>
          <w:ilvl w:val="0"/>
          <w:numId w:val="10"/>
        </w:numPr>
        <w:spacing w:after="160" w:line="280" w:lineRule="auto"/>
        <w:widowControl/>
      </w:pPr>
      <w:r>
        <w:rPr>
          <w:rFonts w:ascii="Calibri" w:hAnsi="Calibri" w:eastAsia="Calibri"/>
        </w:rPr>
        <w:t>Предприятие располагает круглосуточными аварийными бригадами, резервными источниками электроснабжения на объектах I-II категории и подтверждённой системой учений.</w:t>
      </w:r>
    </w:p>
    <w:p>
      <w:pPr>
        <w:pStyle w:val="Heading2"/>
        <w:keepLines/>
        <w:widowControl/>
      </w:pPr>
      <w:r>
        <w:rPr>
          <w:rFonts w:ascii="Calibri" w:hAnsi="Calibri" w:eastAsia="Calibri"/>
        </w:rPr>
        <w:t>Ключевые проблемы</w:t>
      </w:r>
    </w:p>
    <w:p>
      <w:pPr>
        <w:keepLines/>
        <w:numPr>
          <w:ilvl w:val="0"/>
          <w:numId w:val="10"/>
        </w:numPr>
        <w:spacing w:after="160" w:line="280" w:lineRule="auto"/>
        <w:widowControl/>
      </w:pPr>
      <w:r>
        <w:rPr>
          <w:rFonts w:ascii="Calibri" w:hAnsi="Calibri" w:eastAsia="Calibri"/>
        </w:rPr>
        <w:t>Аварийность водопроводных сетей выросла на 17,2% в 2025 году; основной прирост пришёлся на стальные трубопроводы.</w:t>
      </w:r>
    </w:p>
    <w:p>
      <w:pPr>
        <w:keepLines/>
        <w:numPr>
          <w:ilvl w:val="0"/>
          <w:numId w:val="10"/>
        </w:numPr>
        <w:spacing w:after="160" w:line="280" w:lineRule="auto"/>
        <w:widowControl/>
      </w:pPr>
      <w:r>
        <w:rPr>
          <w:rFonts w:ascii="Calibri" w:hAnsi="Calibri" w:eastAsia="Calibri"/>
        </w:rPr>
        <w:t>В I полугодии 2026 года раскрытые расходы и потери воды составили 39,091 млн м3, или 29% добычи, при незакрытом контрольном расхождении 111 тыс. м3.</w:t>
      </w:r>
    </w:p>
    <w:p>
      <w:pPr>
        <w:keepLines/>
        <w:numPr>
          <w:ilvl w:val="0"/>
          <w:numId w:val="10"/>
        </w:numPr>
        <w:spacing w:after="160" w:line="280" w:lineRule="auto"/>
        <w:widowControl/>
      </w:pPr>
      <w:r>
        <w:rPr>
          <w:rFonts w:ascii="Calibri" w:hAnsi="Calibri" w:eastAsia="Calibri"/>
        </w:rPr>
        <w:t>Отдельные КНС и коллекторы имеют ограниченное резервирование или нагрузку выше проектной; действующие КОС достигают проектной мощности в пиковые сутки.</w:t>
      </w:r>
    </w:p>
    <w:p>
      <w:pPr>
        <w:keepLines/>
        <w:numPr>
          <w:ilvl w:val="0"/>
          <w:numId w:val="10"/>
        </w:numPr>
        <w:spacing w:after="160" w:line="280" w:lineRule="auto"/>
        <w:widowControl/>
      </w:pPr>
      <w:r>
        <w:rPr>
          <w:rFonts w:ascii="Calibri" w:hAnsi="Calibri" w:eastAsia="Calibri"/>
        </w:rPr>
        <w:t>Тарифный результат I полугодия 2026 года отрицательный по обеим услугам; тарифные и бухгалтерские результаты требуют отдельного reconciliation.</w:t>
      </w:r>
    </w:p>
    <w:p>
      <w:pPr>
        <w:keepLines/>
        <w:numPr>
          <w:ilvl w:val="0"/>
          <w:numId w:val="10"/>
        </w:numPr>
        <w:spacing w:after="160" w:line="280" w:lineRule="auto"/>
        <w:widowControl/>
      </w:pPr>
      <w:r>
        <w:rPr>
          <w:rFonts w:ascii="Calibri" w:hAnsi="Calibri" w:eastAsia="Calibri"/>
        </w:rPr>
        <w:t>ГИС, бухгалтерский баланс, технические паспорта и сети без документации пока не образуют единый реестр активов.</w:t>
      </w:r>
    </w:p>
    <w:p>
      <w:pPr>
        <w:keepLines/>
        <w:numPr>
          <w:ilvl w:val="0"/>
          <w:numId w:val="10"/>
        </w:numPr>
        <w:spacing w:after="160" w:line="280" w:lineRule="auto"/>
        <w:widowControl/>
      </w:pPr>
      <w:r>
        <w:rPr>
          <w:rFonts w:ascii="Calibri" w:hAnsi="Calibri" w:eastAsia="Calibri"/>
        </w:rPr>
        <w:t>Не закрыты корпоративные KPI по качеству питьевой воды, эффективности очистки, травматизму, экологии, клиентскому сервису, внутреннему контролю и информационной безопасности.</w:t>
      </w:r>
    </w:p>
    <w:p>
      <w:pPr>
        <w:pStyle w:val="Callout"/>
        <w:keepLines/>
        <w:spacing w:before="80" w:after="160"/>
        <w:ind w:left="230" w:right="144"/>
        <w:shd w:fill="EAF3F8"/>
        <w:pBdr>
          <w:start w:val="single" w:sz="16" w:space="8" w:color="1F4D78"/>
        </w:pBdr>
        <w:widowControl/>
      </w:pPr>
      <w:r>
        <w:rPr>
          <w:rFonts w:ascii="Calibri" w:hAnsi="Calibri" w:eastAsia="Calibri"/>
          <w:b/>
          <w:color w:val="1F4D78"/>
        </w:rPr>
        <w:t xml:space="preserve">Вывод для руководства. </w:t>
      </w:r>
      <w:r>
        <w:rPr>
          <w:rFonts w:ascii="Calibri" w:hAnsi="Calibri" w:eastAsia="Calibri"/>
          <w:color w:val="0B2545"/>
        </w:rPr>
        <w:t>Главная задача 2026 года - перейти от управления отдельными файлами и мероприятиями к единому контуру: актив -&gt; техническое состояние -&gt; риск -&gt; затраты -&gt; инвестиция -&gt; измеримый результат.</w:t>
      </w:r>
    </w:p>
    <w:p>
      <w:pPr>
        <w:pStyle w:val="SourceNote"/>
        <w:keepLines/>
        <w:widowControl/>
        <w:spacing w:before="80" w:after="160"/>
      </w:pPr>
      <w:r>
        <w:rPr>
          <w:rFonts w:ascii="Calibri" w:hAnsi="Calibri" w:eastAsia="Calibri"/>
        </w:rPr>
        <w:t>Основные источники: Финансовая отчётноcть от 31 декабря 2024 год.pdf; Финансовая отчетность и аудиторское заключение за 2025 г..pdf; Канонический реестр KPI Алматы Су 2024-2026 v4 контрольный.xlsx; первичные профильные таблицы подразделений.</w:t>
      </w:r>
    </w:p>
    <w:p>
      <w:pPr>
        <w:pStyle w:val="Heading1"/>
        <w:spacing w:before="0"/>
        <w:keepNext/>
      </w:pPr>
      <w:r>
        <w:t>2. Общая характеристика предприятия и масштаб системы</w:t>
      </w:r>
    </w:p>
    <w:p>
      <w:pPr>
        <w:pStyle w:val="Lead"/>
        <w:keepLines/>
        <w:widowControl/>
      </w:pPr>
      <w:r>
        <w:rPr>
          <w:rFonts w:ascii="Calibri" w:hAnsi="Calibri" w:eastAsia="Calibri"/>
        </w:rPr>
        <w:t>ГКП на ПХВ «Алматы Су» обеспечивает две базовые регулируемые услуги - водоснабжение и водоотведение - на территории Алматы и отдельных прилегающих населённых пунктов Алматинской области. Предприятие является субъектом естественной монополии; учредителем выступает акимат города Алматы, органом управления - Управление энергетики и водоснабжения города Алматы.</w:t>
      </w:r>
    </w:p>
    <w:p>
      <w:pPr>
        <w:pStyle w:val="Heading2"/>
        <w:keepLines/>
        <w:widowControl/>
      </w:pPr>
      <w:r>
        <w:rPr>
          <w:rFonts w:ascii="Calibri" w:hAnsi="Calibri" w:eastAsia="Calibri"/>
        </w:rPr>
        <w:t>Функциональный периметр</w:t>
      </w:r>
    </w:p>
    <w:p>
      <w:pPr>
        <w:keepLines/>
        <w:numPr>
          <w:ilvl w:val="0"/>
          <w:numId w:val="10"/>
        </w:numPr>
        <w:spacing w:after="160" w:line="280" w:lineRule="auto"/>
        <w:widowControl/>
      </w:pPr>
      <w:r>
        <w:rPr>
          <w:rFonts w:ascii="Calibri" w:hAnsi="Calibri" w:eastAsia="Calibri"/>
        </w:rPr>
        <w:t>добыча, подготовка, транспортировка и реализация воды;</w:t>
      </w:r>
    </w:p>
    <w:p>
      <w:pPr>
        <w:keepLines/>
        <w:numPr>
          <w:ilvl w:val="0"/>
          <w:numId w:val="10"/>
        </w:numPr>
        <w:spacing w:after="160" w:line="280" w:lineRule="auto"/>
        <w:widowControl/>
      </w:pPr>
      <w:r>
        <w:rPr>
          <w:rFonts w:ascii="Calibri" w:hAnsi="Calibri" w:eastAsia="Calibri"/>
        </w:rPr>
        <w:t>эксплуатация и аварийно-восстановительное обслуживание водопроводных сетей;</w:t>
      </w:r>
    </w:p>
    <w:p>
      <w:pPr>
        <w:keepLines/>
        <w:numPr>
          <w:ilvl w:val="0"/>
          <w:numId w:val="10"/>
        </w:numPr>
        <w:spacing w:after="160" w:line="280" w:lineRule="auto"/>
        <w:widowControl/>
      </w:pPr>
      <w:r>
        <w:rPr>
          <w:rFonts w:ascii="Calibri" w:hAnsi="Calibri" w:eastAsia="Calibri"/>
        </w:rPr>
        <w:t>сбор, транспортировка и очистка сточных вод;</w:t>
      </w:r>
    </w:p>
    <w:p>
      <w:pPr>
        <w:keepLines/>
        <w:numPr>
          <w:ilvl w:val="0"/>
          <w:numId w:val="10"/>
        </w:numPr>
        <w:spacing w:after="160" w:line="280" w:lineRule="auto"/>
        <w:widowControl/>
      </w:pPr>
      <w:r>
        <w:rPr>
          <w:rFonts w:ascii="Calibri" w:hAnsi="Calibri" w:eastAsia="Calibri"/>
        </w:rPr>
        <w:t>эксплуатация насосных станций, КНС, резервуаров и иных сооружений;</w:t>
      </w:r>
    </w:p>
    <w:p>
      <w:pPr>
        <w:keepLines/>
        <w:numPr>
          <w:ilvl w:val="0"/>
          <w:numId w:val="10"/>
        </w:numPr>
        <w:spacing w:after="160" w:line="280" w:lineRule="auto"/>
        <w:widowControl/>
      </w:pPr>
      <w:r>
        <w:rPr>
          <w:rFonts w:ascii="Calibri" w:hAnsi="Calibri" w:eastAsia="Calibri"/>
        </w:rPr>
        <w:t>лабораторный, метрологический, экологический и производственный контроль;</w:t>
      </w:r>
    </w:p>
    <w:p>
      <w:pPr>
        <w:keepLines/>
        <w:numPr>
          <w:ilvl w:val="0"/>
          <w:numId w:val="10"/>
        </w:numPr>
        <w:spacing w:after="160" w:line="280" w:lineRule="auto"/>
        <w:widowControl/>
      </w:pPr>
      <w:r>
        <w:rPr>
          <w:rFonts w:ascii="Calibri" w:hAnsi="Calibri" w:eastAsia="Calibri"/>
        </w:rPr>
        <w:t>коммерческий учёт, начисление, сбор платежей и работа с задолженностью.</w:t>
      </w:r>
    </w:p>
    <w:p>
      <w:pPr>
        <w:pStyle w:val="Heading2"/>
        <w:keepLines/>
        <w:pageBreakBefore/>
        <w:widowControl/>
      </w:pPr>
      <w:r>
        <w:rPr>
          <w:rFonts w:ascii="Calibri" w:hAnsi="Calibri" w:eastAsia="Calibri"/>
        </w:rPr>
        <w:t>Масштаб производственного контура</w:t>
      </w:r>
    </w:p>
    <w:tbl>
      <w:tblPr>
        <w:tblW w:type="dxa" w:w="9360"/>
        <w:tblLayout w:type="fixed"/>
        <w:tblLook w:firstColumn="1" w:firstRow="1" w:lastColumn="0" w:lastRow="0" w:noHBand="0" w:noVBand="1" w:val="04A0"/>
        <w:jc w:val="left"/>
        <w:tblInd w:w="120" w:type="dxa"/>
      </w:tblPr>
      <w:tblGrid>
        <w:gridCol w:w="2500"/>
        <w:gridCol w:w="1650"/>
        <w:gridCol w:w="2100"/>
        <w:gridCol w:w="3110"/>
      </w:tblGrid>
      <w:tr>
        <w:trPr>
          <w:tblHeader w:val="true"/>
          <w:cantSplit w:val="true"/>
        </w:trPr>
        <w:tc>
          <w:tcPr>
            <w:tcW w:type="dxa" w:w="25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Элемент системы</w:t>
            </w:r>
          </w:p>
        </w:tc>
        <w:tc>
          <w:tcPr>
            <w:tcW w:type="dxa" w:w="16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2024</w:t>
            </w:r>
          </w:p>
        </w:tc>
        <w:tc>
          <w:tcPr>
            <w:tcW w:type="dxa" w:w="2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Последний доступный 2026</w:t>
            </w:r>
          </w:p>
        </w:tc>
        <w:tc>
          <w:tcPr>
            <w:tcW w:type="dxa" w:w="31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Изменение / комментарий</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Водопроводные сети</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3 767,43 км</w:t>
            </w:r>
          </w:p>
        </w:tc>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4 252,71 км на 07.08</w:t>
            </w:r>
          </w:p>
        </w:tc>
        <w:tc>
          <w:tcPr>
            <w:tcW w:type="dxa" w:w="3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+485,28 км, или 12,9%</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Канализационные сети</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2 077,79 км</w:t>
            </w:r>
          </w:p>
        </w:tc>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2 450,25 км</w:t>
            </w:r>
          </w:p>
        </w:tc>
        <w:tc>
          <w:tcPr>
            <w:tcW w:type="dxa" w:w="3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+372,46 км, или 17,9%</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КНС</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38 ед.</w:t>
            </w:r>
          </w:p>
        </w:tc>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70 ед.</w:t>
            </w:r>
          </w:p>
        </w:tc>
        <w:tc>
          <w:tcPr>
            <w:tcW w:type="dxa" w:w="3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Рост требований к резервированию</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Скважины</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376 ед.</w:t>
            </w:r>
          </w:p>
        </w:tc>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392 ед.</w:t>
            </w:r>
          </w:p>
        </w:tc>
        <w:tc>
          <w:tcPr>
            <w:tcW w:type="dxa" w:w="3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Рост производственного периметра</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Резервуары чистой воды</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112 ед.</w:t>
            </w:r>
          </w:p>
        </w:tc>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121 ед.</w:t>
            </w:r>
          </w:p>
        </w:tc>
        <w:tc>
          <w:tcPr>
            <w:tcW w:type="dxa" w:w="3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Рост числа объектов</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Потребители</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606 071</w:t>
            </w:r>
          </w:p>
        </w:tc>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674 433 на 01.07</w:t>
            </w:r>
          </w:p>
        </w:tc>
        <w:tc>
          <w:tcPr>
            <w:tcW w:type="dxa" w:w="3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+68 362, или 11,3%</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Фактическая численность</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3 427 на 01.01</w:t>
            </w:r>
          </w:p>
        </w:tc>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3 769 на 01.06</w:t>
            </w:r>
          </w:p>
        </w:tc>
        <w:tc>
          <w:tcPr>
            <w:tcW w:type="dxa" w:w="3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+342 человека, около 10%</w:t>
            </w:r>
          </w:p>
        </w:tc>
      </w:tr>
    </w:tbl>
    <w:p>
      <w:pPr>
        <w:spacing w:after="40"/>
      </w:pPr>
    </w:p>
    <w:p>
      <w:pPr>
        <w:pStyle w:val="Callout"/>
        <w:keepLines/>
        <w:spacing w:before="80" w:after="160"/>
        <w:ind w:left="230" w:right="144"/>
        <w:shd w:fill="EAF3F8"/>
        <w:pBdr>
          <w:start w:val="single" w:sz="16" w:space="8" w:color="1F4D78"/>
        </w:pBdr>
        <w:widowControl/>
      </w:pPr>
      <w:r>
        <w:rPr>
          <w:rFonts w:ascii="Calibri" w:hAnsi="Calibri" w:eastAsia="Calibri"/>
          <w:b/>
          <w:color w:val="1F4D78"/>
        </w:rPr>
        <w:t xml:space="preserve">Интерпретация. </w:t>
      </w:r>
      <w:r>
        <w:rPr>
          <w:rFonts w:ascii="Calibri" w:hAnsi="Calibri" w:eastAsia="Calibri"/>
          <w:color w:val="0B2545"/>
        </w:rPr>
        <w:t>Рост масштаба предприятия означает не только увеличение активов и клиентской базы. Он напрямую повышает потребность в OPEX, персонале, ремонте, электроэнергии, метрологии, аварийном резерве и цифровой атрибуции имущества.</w:t>
      </w:r>
    </w:p>
    <w:p>
      <w:pPr>
        <w:pStyle w:val="SourceNote"/>
        <w:keepLines/>
        <w:widowControl/>
        <w:spacing w:before="80" w:after="160"/>
      </w:pPr>
      <w:r>
        <w:rPr>
          <w:rFonts w:ascii="Calibri" w:hAnsi="Calibri" w:eastAsia="Calibri"/>
        </w:rPr>
        <w:t>Основные источники: Информация Алматы Су 22-26гг..xlsx; информация по ДВО 2024, 2025, 2026 года по месячно.xlsx; 1Сведения департ. по работе с персоналом.xlsx; Кол-во потребителей и ИПУ по районам.xlsx.</w:t>
      </w:r>
    </w:p>
    <w:p>
      <w:pPr>
        <w:pStyle w:val="Heading1"/>
        <w:spacing w:before="0"/>
        <w:keepNext/>
      </w:pPr>
      <w:r>
        <w:t>3. Водоисточники, добыча и водный баланс</w:t>
      </w:r>
    </w:p>
    <w:p>
      <w:pPr>
        <w:pStyle w:val="Lead"/>
        <w:keepLines/>
        <w:widowControl/>
      </w:pPr>
      <w:r>
        <w:rPr>
          <w:rFonts w:ascii="Calibri" w:hAnsi="Calibri" w:eastAsia="Calibri"/>
        </w:rPr>
        <w:t>Производственный контур водоснабжения в 2025 году расширился: добыча увеличилась до 283,666 млн м3 против 273,971 млн м3 в 2024 году. Показатель I полугодия 2026 года составляет 136,876 млн м3 и не годизируется в настоящем отчёте.</w:t>
      </w:r>
    </w:p>
    <w:p>
      <w:pPr>
        <w:pStyle w:val="Heading2"/>
        <w:keepLines/>
        <w:widowControl/>
      </w:pPr>
      <w:r>
        <w:rPr>
          <w:rFonts w:ascii="Calibri" w:hAnsi="Calibri" w:eastAsia="Calibri"/>
        </w:rPr>
        <w:t>Мощности и технический контур водоисточников</w:t>
      </w:r>
    </w:p>
    <w:tbl>
      <w:tblPr>
        <w:tblW w:type="dxa" w:w="9360"/>
        <w:tblLayout w:type="fixed"/>
        <w:tblLook w:firstColumn="1" w:firstRow="1" w:lastColumn="0" w:lastRow="0" w:noHBand="0" w:noVBand="1" w:val="04A0"/>
        <w:jc w:val="left"/>
        <w:tblInd w:w="120" w:type="dxa"/>
      </w:tblPr>
      <w:tblGrid>
        <w:gridCol w:w="2650"/>
        <w:gridCol w:w="1100"/>
        <w:gridCol w:w="1100"/>
        <w:gridCol w:w="1650"/>
        <w:gridCol w:w="2860"/>
      </w:tblGrid>
      <w:tr>
        <w:trPr>
          <w:tblHeader w:val="true"/>
          <w:cantSplit w:val="true"/>
        </w:trPr>
        <w:tc>
          <w:tcPr>
            <w:tcW w:type="dxa" w:w="26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Показатель</w:t>
            </w:r>
          </w:p>
        </w:tc>
        <w:tc>
          <w:tcPr>
            <w:tcW w:type="dxa" w:w="1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2024</w:t>
            </w:r>
          </w:p>
        </w:tc>
        <w:tc>
          <w:tcPr>
            <w:tcW w:type="dxa" w:w="1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2025</w:t>
            </w:r>
          </w:p>
        </w:tc>
        <w:tc>
          <w:tcPr>
            <w:tcW w:type="dxa" w:w="16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2026 по маркировке источника</w:t>
            </w:r>
          </w:p>
        </w:tc>
        <w:tc>
          <w:tcPr>
            <w:tcW w:type="dxa" w:w="28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Ограничение</w:t>
            </w:r>
          </w:p>
        </w:tc>
      </w:tr>
      <w:tr>
        <w:trPr>
          <w:cantSplit w:val="true"/>
        </w:trPr>
        <w:tc>
          <w:tcPr>
            <w:tcW w:type="dxa" w:w="2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Установленная мощность подземных источников, тыс. м3/сут.</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1 057,53</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1 060,52</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1 071,86</w:t>
            </w:r>
          </w:p>
        </w:tc>
        <w:tc>
          <w:tcPr>
            <w:tcW w:type="dxa" w:w="2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В источнике проектная мощность подземных месторождений не заполнена</w:t>
            </w:r>
          </w:p>
        </w:tc>
      </w:tr>
      <w:tr>
        <w:trPr>
          <w:cantSplit w:val="true"/>
        </w:trPr>
        <w:tc>
          <w:tcPr>
            <w:tcW w:type="dxa" w:w="2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Проектная мощность поверхностных источников, тыс. м3/сут.</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286,6</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286,6</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286,6</w:t>
            </w:r>
          </w:p>
        </w:tc>
        <w:tc>
          <w:tcPr>
            <w:tcW w:type="dxa" w:w="2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Установленная мощность поверхностных объектов не заполнена</w:t>
            </w:r>
          </w:p>
        </w:tc>
      </w:tr>
      <w:tr>
        <w:trPr>
          <w:cantSplit w:val="true"/>
        </w:trPr>
        <w:tc>
          <w:tcPr>
            <w:tcW w:type="dxa" w:w="2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Насосное оборудование, ед.</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979</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1 063</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1 277</w:t>
            </w:r>
          </w:p>
        </w:tc>
        <w:tc>
          <w:tcPr>
            <w:tcW w:type="dxa" w:w="2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Нет разбиения на рабочее, резерв, ремонт и списание</w:t>
            </w:r>
          </w:p>
        </w:tc>
      </w:tr>
      <w:tr>
        <w:trPr>
          <w:cantSplit w:val="true"/>
        </w:trPr>
        <w:tc>
          <w:tcPr>
            <w:tcW w:type="dxa" w:w="2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Техническое состояние насосов, %</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60,0</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58,0</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62,49</w:t>
            </w:r>
          </w:p>
        </w:tc>
        <w:tc>
          <w:tcPr>
            <w:tcW w:type="dxa" w:w="2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Агрегированный показатель без формулы</w:t>
            </w:r>
          </w:p>
        </w:tc>
      </w:tr>
      <w:tr>
        <w:trPr>
          <w:cantSplit w:val="true"/>
        </w:trPr>
        <w:tc>
          <w:tcPr>
            <w:tcW w:type="dxa" w:w="2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Резервуары чистой воды, ед.</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112</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114</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121</w:t>
            </w:r>
          </w:p>
        </w:tc>
        <w:tc>
          <w:tcPr>
            <w:tcW w:type="dxa" w:w="2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Периметр расширяется</w:t>
            </w:r>
          </w:p>
        </w:tc>
      </w:tr>
      <w:tr>
        <w:trPr>
          <w:cantSplit w:val="true"/>
        </w:trPr>
        <w:tc>
          <w:tcPr>
            <w:tcW w:type="dxa" w:w="2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Техническое состояние РЧВ, %</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47,0</w:t>
            </w:r>
          </w:p>
        </w:tc>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46,49</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40,13</w:t>
            </w:r>
          </w:p>
        </w:tc>
        <w:tc>
          <w:tcPr>
            <w:tcW w:type="dxa" w:w="2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Агрегированный показатель без пообъектной расшифровки</w:t>
            </w:r>
          </w:p>
        </w:tc>
      </w:tr>
    </w:tbl>
    <w:p>
      <w:pPr>
        <w:spacing w:after="40"/>
      </w:pPr>
    </w:p>
    <w:p>
      <w:pPr>
        <w:keepLines/>
        <w:widowControl/>
      </w:pPr>
      <w:r>
        <w:rPr>
          <w:rFonts w:ascii="Calibri" w:hAnsi="Calibri" w:eastAsia="Calibri"/>
        </w:rPr>
        <w:t>Файл по оборудованию датирует колонку 2026 года как 31.12.2026, то есть будущей датой относительно отчёта на 23.08.2026. Поэтому значения 2026 года сохранены как сообщённые источником, но не объявляются подтверждённым фактом на конец года. Смешивать проектную мощность поверхностных источников с установленной мощностью подземных источников нельзя.</w:t>
      </w:r>
    </w:p>
    <w:tbl>
      <w:tblPr>
        <w:tblW w:type="dxa" w:w="9360"/>
        <w:tblLayout w:type="fixed"/>
        <w:tblLook w:firstColumn="1" w:firstRow="1" w:lastColumn="0" w:lastRow="0" w:noHBand="0" w:noVBand="1" w:val="04A0"/>
        <w:jc w:val="left"/>
        <w:tblInd w:w="120" w:type="dxa"/>
      </w:tblPr>
      <w:tblGrid>
        <w:gridCol w:w="2350"/>
        <w:gridCol w:w="1250"/>
        <w:gridCol w:w="1250"/>
        <w:gridCol w:w="1750"/>
        <w:gridCol w:w="2760"/>
      </w:tblGrid>
      <w:tr>
        <w:trPr>
          <w:tblHeader w:val="true"/>
          <w:cantSplit w:val="true"/>
        </w:trPr>
        <w:tc>
          <w:tcPr>
            <w:tcW w:type="dxa" w:w="23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Показатель</w:t>
            </w:r>
          </w:p>
        </w:tc>
        <w:tc>
          <w:tcPr>
            <w:tcW w:type="dxa" w:w="12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2024</w:t>
            </w:r>
          </w:p>
        </w:tc>
        <w:tc>
          <w:tcPr>
            <w:tcW w:type="dxa" w:w="12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2025</w:t>
            </w:r>
          </w:p>
        </w:tc>
        <w:tc>
          <w:tcPr>
            <w:tcW w:type="dxa" w:w="17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I полугодие 2026</w:t>
            </w:r>
          </w:p>
        </w:tc>
        <w:tc>
          <w:tcPr>
            <w:tcW w:type="dxa" w:w="27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Статус</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Добыча воды, млн м3</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273,971</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283,666</w:t>
            </w:r>
          </w:p>
        </w:tc>
        <w:tc>
          <w:tcPr>
            <w:tcW w:type="dxa" w:w="17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136,876</w:t>
            </w:r>
          </w:p>
        </w:tc>
        <w:tc>
          <w:tcPr>
            <w:tcW w:type="dxa" w:w="2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Подтверждено; периоды различаются</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Реализация водоснабжения, млн м3</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180,6-180,9</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205,5-205,9</w:t>
            </w:r>
          </w:p>
        </w:tc>
        <w:tc>
          <w:tcPr>
            <w:tcW w:type="dxa" w:w="17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97,421 в водном балансе</w:t>
            </w:r>
          </w:p>
        </w:tc>
        <w:tc>
          <w:tcPr>
            <w:tcW w:type="dxa" w:w="2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Диапазоны источников; нужна единая методика</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Потери при распределении, млн м3</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80,267</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60,800</w:t>
            </w:r>
          </w:p>
        </w:tc>
        <w:tc>
          <w:tcPr>
            <w:tcW w:type="dxa" w:w="17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30,843</w:t>
            </w:r>
          </w:p>
        </w:tc>
        <w:tc>
          <w:tcPr>
            <w:tcW w:type="dxa" w:w="2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2026 - I полугодие</w:t>
            </w:r>
          </w:p>
        </w:tc>
      </w:tr>
    </w:tbl>
    <w:p>
      <w:pPr>
        <w:spacing w:after="40"/>
      </w:pPr>
    </w:p>
    <w:p>
      <w:pPr>
        <w:pStyle w:val="Heading2"/>
        <w:keepLines/>
        <w:pageBreakBefore/>
        <w:widowControl/>
      </w:pPr>
      <w:r>
        <w:rPr>
          <w:rFonts w:ascii="Calibri" w:hAnsi="Calibri" w:eastAsia="Calibri"/>
        </w:rPr>
        <w:t>Водный баланс I полугодия 2026 года</w:t>
      </w:r>
    </w:p>
    <w:tbl>
      <w:tblPr>
        <w:tblW w:type="dxa" w:w="9360"/>
        <w:tblLayout w:type="fixed"/>
        <w:tblLook w:firstColumn="1" w:firstRow="1" w:lastColumn="0" w:lastRow="0" w:noHBand="0" w:noVBand="1" w:val="04A0"/>
        <w:jc w:val="left"/>
        <w:tblInd w:w="120" w:type="dxa"/>
      </w:tblPr>
      <w:tblGrid>
        <w:gridCol w:w="3100"/>
        <w:gridCol w:w="1700"/>
        <w:gridCol w:w="1500"/>
        <w:gridCol w:w="3060"/>
      </w:tblGrid>
      <w:tr>
        <w:trPr>
          <w:tblHeader w:val="true"/>
          <w:cantSplit w:val="true"/>
        </w:trPr>
        <w:tc>
          <w:tcPr>
            <w:tcW w:type="dxa" w:w="3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Компонент</w:t>
            </w:r>
          </w:p>
        </w:tc>
        <w:tc>
          <w:tcPr>
            <w:tcW w:type="dxa" w:w="17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Объём, млн м3</w:t>
            </w:r>
          </w:p>
        </w:tc>
        <w:tc>
          <w:tcPr>
            <w:tcW w:type="dxa" w:w="15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Доля от добычи</w:t>
            </w:r>
          </w:p>
        </w:tc>
        <w:tc>
          <w:tcPr>
            <w:tcW w:type="dxa" w:w="30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Комментарий</w:t>
            </w:r>
          </w:p>
        </w:tc>
      </w:tr>
      <w:tr>
        <w:trPr>
          <w:cantSplit w:val="true"/>
        </w:trPr>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Собственные нужды</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0,253</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0,2%</w:t>
            </w:r>
          </w:p>
        </w:tc>
        <w:tc>
          <w:tcPr>
            <w:tcW w:type="dxa" w:w="30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Раскрыто в источнике</w:t>
            </w:r>
          </w:p>
        </w:tc>
      </w:tr>
      <w:tr>
        <w:trPr>
          <w:cantSplit w:val="true"/>
        </w:trPr>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Технологическая подготовка</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8,248</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w:t>
            </w:r>
          </w:p>
        </w:tc>
        <w:tc>
          <w:tcPr>
            <w:tcW w:type="dxa" w:w="30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Отдельный технологический компонент</w:t>
            </w:r>
          </w:p>
        </w:tc>
      </w:tr>
      <w:tr>
        <w:trPr>
          <w:cantSplit w:val="true"/>
        </w:trPr>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Потери при распределении</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30,843</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23%</w:t>
            </w:r>
          </w:p>
        </w:tc>
        <w:tc>
          <w:tcPr>
            <w:tcW w:type="dxa" w:w="30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Основной резерв управления</w:t>
            </w:r>
          </w:p>
        </w:tc>
      </w:tr>
      <w:tr>
        <w:trPr>
          <w:cantSplit w:val="true"/>
        </w:trPr>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Реализовано</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97,421</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71%</w:t>
            </w:r>
          </w:p>
        </w:tc>
        <w:tc>
          <w:tcPr>
            <w:tcW w:type="dxa" w:w="30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Коммерческий объём в данном балансе</w:t>
            </w:r>
          </w:p>
        </w:tc>
      </w:tr>
      <w:tr>
        <w:trPr>
          <w:cantSplit w:val="true"/>
        </w:trPr>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Сумма раскрытых компонентов</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136,765</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99,9%</w:t>
            </w:r>
          </w:p>
        </w:tc>
        <w:tc>
          <w:tcPr>
            <w:tcW w:type="dxa" w:w="30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На 0,111 млн м3 меньше добычи</w:t>
            </w:r>
          </w:p>
        </w:tc>
      </w:tr>
    </w:tbl>
    <w:p>
      <w:pPr>
        <w:spacing w:after="40"/>
      </w:pP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Контрольное расхождение. </w:t>
      </w:r>
      <w:r>
        <w:rPr>
          <w:rFonts w:ascii="Calibri" w:hAnsi="Calibri" w:eastAsia="Calibri"/>
          <w:color w:val="0B2545"/>
        </w:rPr>
        <w:t>Добыча 136,876 млн м3 превышает сумму раскрытых компонентов на 0,111 млн м3, или примерно на 0,081%. Причина в исходных материалах не указана; отчёт не закрывает разницу собственной гипотезой.</w:t>
      </w:r>
    </w:p>
    <w:p>
      <w:pPr>
        <w:pStyle w:val="Heading2"/>
        <w:keepLines/>
        <w:widowControl/>
      </w:pPr>
      <w:r>
        <w:rPr>
          <w:rFonts w:ascii="Calibri" w:hAnsi="Calibri" w:eastAsia="Calibri"/>
        </w:rPr>
        <w:t>Управленческий вывод</w:t>
      </w:r>
    </w:p>
    <w:p>
      <w:pPr>
        <w:keepLines/>
        <w:widowControl/>
      </w:pPr>
      <w:r>
        <w:rPr>
          <w:rFonts w:ascii="Calibri" w:hAnsi="Calibri" w:eastAsia="Calibri"/>
        </w:rPr>
        <w:t>Для снижения расходов и потерь необходим переход от общего процента к балансу по зонам, водоисточникам, районным сетям и узлам коммерческого учёта. Проектный и цифровой контур должен позволять отделить технологические расходы, утечки, коммерческие потери и неучтённое потребление.</w:t>
      </w:r>
    </w:p>
    <w:p>
      <w:pPr>
        <w:pStyle w:val="SourceNote"/>
        <w:keepLines/>
        <w:widowControl/>
        <w:spacing w:before="80" w:after="160"/>
      </w:pPr>
      <w:r>
        <w:rPr>
          <w:rFonts w:ascii="Calibri" w:hAnsi="Calibri" w:eastAsia="Calibri"/>
        </w:rPr>
        <w:t>Основные источники: П. 1,2,3,4 Добыча воды за 2024-2026 (6 мес).xlsx; Инфо. по добыче и потерям за 2024-2025.xlsx; Мощности 2024-2026.xlsx; Информация по оборудованию и сооружениям.xlsx; Структура потерь и расходов.xlsx; Объем реализации.xlsx.</w:t>
      </w:r>
    </w:p>
    <w:p>
      <w:pPr>
        <w:pStyle w:val="Heading1"/>
        <w:spacing w:before="0"/>
        <w:keepNext/>
      </w:pPr>
      <w:r>
        <w:t>4. Состояние водопроводной инфраструктуры</w:t>
      </w:r>
    </w:p>
    <w:p>
      <w:pPr>
        <w:pStyle w:val="Lead"/>
        <w:keepLines/>
        <w:widowControl/>
      </w:pPr>
      <w:r>
        <w:rPr>
          <w:rFonts w:ascii="Calibri" w:hAnsi="Calibri" w:eastAsia="Calibri"/>
        </w:rPr>
        <w:t>Водопроводная сеть быстро расширяется, однако аварийность 2025 года выросла, а агрегированный износ остаётся выше 50%. Снижение процента износа в 2025 году происходило на фоне увеличения обновления сетей и расширения балансового периметра; причинная связь не может быть установлена без пообъектного анализа.</w:t>
      </w:r>
    </w:p>
    <w:tbl>
      <w:tblPr>
        <w:tblW w:type="dxa" w:w="9360"/>
        <w:tblLayout w:type="fixed"/>
        <w:tblLook w:firstColumn="1" w:firstRow="1" w:lastColumn="0" w:lastRow="0" w:noHBand="0" w:noVBand="1" w:val="04A0"/>
        <w:jc w:val="left"/>
        <w:tblInd w:w="120" w:type="dxa"/>
      </w:tblPr>
      <w:tblGrid>
        <w:gridCol w:w="3900"/>
        <w:gridCol w:w="1820"/>
        <w:gridCol w:w="1820"/>
        <w:gridCol w:w="1820"/>
      </w:tblGrid>
      <w:tr>
        <w:trPr>
          <w:tblHeader w:val="true"/>
          <w:cantSplit w:val="true"/>
        </w:trPr>
        <w:tc>
          <w:tcPr>
            <w:tcW w:type="dxa" w:w="3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Показатель</w:t>
            </w:r>
          </w:p>
        </w:tc>
        <w:tc>
          <w:tcPr>
            <w:tcW w:type="dxa" w:w="18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2024</w:t>
            </w:r>
          </w:p>
        </w:tc>
        <w:tc>
          <w:tcPr>
            <w:tcW w:type="dxa" w:w="18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2025</w:t>
            </w:r>
          </w:p>
        </w:tc>
        <w:tc>
          <w:tcPr>
            <w:tcW w:type="dxa" w:w="18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I полугодие 2026</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Протяжённость, км</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3 767,43</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4 080,74</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4 146,03</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Износ, %</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54,49</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50,76</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51,36</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Обновлено, км</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56,327</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92,351</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6,272</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Обновлено от протяжённости, %</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1,50</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2,26</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0,15</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Количество аварий</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2 975</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3 487</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не годовой показатель</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Аварии на 1 км</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0,79</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0,85</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не рассчитано</w:t>
            </w:r>
          </w:p>
        </w:tc>
      </w:tr>
    </w:tbl>
    <w:p>
      <w:pPr>
        <w:spacing w:after="40"/>
      </w:pP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Разные длины 2026 года. </w:t>
      </w:r>
      <w:r>
        <w:rPr>
          <w:rFonts w:ascii="Calibri" w:hAnsi="Calibri" w:eastAsia="Calibri"/>
          <w:color w:val="0B2545"/>
        </w:rPr>
        <w:t>4 146,03 км относится к I полугодию; 4 252,71 км - баланс на 07.08.2026; 4 215,83 км - электронная карта. Эти значения не являются взаимозаменяемыми.</w:t>
      </w:r>
    </w:p>
    <w:p>
      <w:pPr>
        <w:pStyle w:val="Heading2"/>
        <w:keepLines/>
        <w:widowControl/>
      </w:pPr>
      <w:r>
        <w:rPr>
          <w:rFonts w:ascii="Calibri" w:hAnsi="Calibri" w:eastAsia="Calibri"/>
        </w:rPr>
        <w:t>Аварийность по материалу труб</w:t>
      </w:r>
    </w:p>
    <w:tbl>
      <w:tblPr>
        <w:tblW w:type="dxa" w:w="9360"/>
        <w:tblLayout w:type="fixed"/>
        <w:tblLook w:firstColumn="1" w:firstRow="1" w:lastColumn="0" w:lastRow="0" w:noHBand="0" w:noVBand="1" w:val="04A0"/>
        <w:jc w:val="left"/>
        <w:tblInd w:w="120" w:type="dxa"/>
      </w:tblPr>
      <w:tblGrid>
        <w:gridCol w:w="3600"/>
        <w:gridCol w:w="1900"/>
        <w:gridCol w:w="1900"/>
        <w:gridCol w:w="1960"/>
      </w:tblGrid>
      <w:tr>
        <w:trPr>
          <w:tblHeader w:val="true"/>
          <w:cantSplit w:val="true"/>
        </w:trPr>
        <w:tc>
          <w:tcPr>
            <w:tcW w:type="dxa" w:w="3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Материал</w:t>
            </w:r>
          </w:p>
        </w:tc>
        <w:tc>
          <w:tcPr>
            <w:tcW w:type="dxa" w:w="1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2024, аварий</w:t>
            </w:r>
          </w:p>
        </w:tc>
        <w:tc>
          <w:tcPr>
            <w:tcW w:type="dxa" w:w="1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2025, аварий</w:t>
            </w:r>
          </w:p>
        </w:tc>
        <w:tc>
          <w:tcPr>
            <w:tcW w:type="dxa" w:w="19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Изменение</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Стальные трубы</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1 447</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2 365</w:t>
            </w:r>
          </w:p>
        </w:tc>
        <w:tc>
          <w:tcPr>
            <w:tcW w:type="dxa" w:w="1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+918</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Чугунные трубы</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373</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384</w:t>
            </w:r>
          </w:p>
        </w:tc>
        <w:tc>
          <w:tcPr>
            <w:tcW w:type="dxa" w:w="1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+11</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Полиэтиленовые трубы</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1 155</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738</w:t>
            </w:r>
          </w:p>
        </w:tc>
        <w:tc>
          <w:tcPr>
            <w:tcW w:type="dxa" w:w="1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-417</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Всего</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2 975</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3 487</w:t>
            </w:r>
          </w:p>
        </w:tc>
        <w:tc>
          <w:tcPr>
            <w:tcW w:type="dxa" w:w="1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+512; +17,2%</w:t>
            </w:r>
          </w:p>
        </w:tc>
      </w:tr>
    </w:tbl>
    <w:p>
      <w:pPr>
        <w:spacing w:after="40"/>
      </w:pPr>
    </w:p>
    <w:p>
      <w:pPr>
        <w:keepLines/>
        <w:widowControl/>
      </w:pPr>
      <w:r>
        <w:rPr>
          <w:rFonts w:ascii="Calibri" w:hAnsi="Calibri" w:eastAsia="Calibri"/>
        </w:rPr>
        <w:t>Основной прирост аварий 2025 года пришёлся на стальные сети. Приоритет ремонта и реконструкции должен определяться не только возрастом, но и частотой аварий, диаметром, последствиями отключения, числом потребителей, критичностью объекта и стоимостью жизненного цикла.</w:t>
      </w:r>
    </w:p>
    <w:p>
      <w:pPr>
        <w:pStyle w:val="Heading2"/>
        <w:keepLines/>
        <w:widowControl/>
      </w:pPr>
      <w:r>
        <w:rPr>
          <w:rFonts w:ascii="Calibri" w:hAnsi="Calibri" w:eastAsia="Calibri"/>
        </w:rPr>
        <w:t>Требуемая управленческая модель</w:t>
      </w:r>
    </w:p>
    <w:p>
      <w:pPr>
        <w:keepLines/>
        <w:widowControl/>
      </w:pPr>
      <w:r>
        <w:rPr>
          <w:rFonts w:ascii="Calibri" w:hAnsi="Calibri" w:eastAsia="Calibri"/>
        </w:rPr>
        <w:t>Единый паспорт участка с Asset ID и историей аварий/ремонтов; ранжирование по последствиям отказа и стоимости восстановления; годовая программа замены с целью снижения аварийности; отдельный контроль сетей, принятых на баланс без полного комплекта документации.</w:t>
      </w:r>
    </w:p>
    <w:p>
      <w:pPr>
        <w:pStyle w:val="SourceNote"/>
        <w:keepLines/>
        <w:widowControl/>
        <w:spacing w:before="80" w:after="160"/>
      </w:pPr>
      <w:r>
        <w:rPr>
          <w:rFonts w:ascii="Calibri" w:hAnsi="Calibri" w:eastAsia="Calibri"/>
        </w:rPr>
        <w:t>Основные источники: Справка по аварийности свод.xlsx; Свод. ДВС. с 2021г. - по Июль 2026г.pdf; Информация Алматы Су 22-26гг..xlsx; Сети Водоснабжения без документации.xlsx.</w:t>
      </w:r>
    </w:p>
    <w:p>
      <w:pPr>
        <w:pStyle w:val="Heading1"/>
        <w:spacing w:before="0"/>
        <w:keepNext/>
      </w:pPr>
      <w:r>
        <w:t>5. Канализационная инфраструктура и КНС</w:t>
      </w:r>
    </w:p>
    <w:p>
      <w:pPr>
        <w:pStyle w:val="Lead"/>
        <w:keepLines/>
        <w:widowControl/>
      </w:pPr>
      <w:r>
        <w:rPr>
          <w:rFonts w:ascii="Calibri" w:hAnsi="Calibri" w:eastAsia="Calibri"/>
        </w:rPr>
        <w:t>Балансовая протяжённость канализационных сетей увеличилась с 2 077,79 км в 2024 году до 2 450,25 км в 2026 году. Доля износа снизилась, но расширение периметра и рост числа КНС повышают требования к резервированию, энергетике и ремонту.</w:t>
      </w:r>
    </w:p>
    <w:tbl>
      <w:tblPr>
        <w:tblW w:type="dxa" w:w="9360"/>
        <w:tblLayout w:type="fixed"/>
        <w:tblLook w:firstColumn="1" w:firstRow="1" w:lastColumn="0" w:lastRow="0" w:noHBand="0" w:noVBand="1" w:val="04A0"/>
        <w:jc w:val="left"/>
        <w:tblInd w:w="120" w:type="dxa"/>
      </w:tblPr>
      <w:tblGrid>
        <w:gridCol w:w="2400"/>
        <w:gridCol w:w="1250"/>
        <w:gridCol w:w="1250"/>
        <w:gridCol w:w="1250"/>
        <w:gridCol w:w="3210"/>
      </w:tblGrid>
      <w:tr>
        <w:trPr>
          <w:tblHeader w:val="true"/>
          <w:cantSplit w:val="true"/>
        </w:trPr>
        <w:tc>
          <w:tcPr>
            <w:tcW w:type="dxa" w:w="2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Показатель</w:t>
            </w:r>
          </w:p>
        </w:tc>
        <w:tc>
          <w:tcPr>
            <w:tcW w:type="dxa" w:w="12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2024</w:t>
            </w:r>
          </w:p>
        </w:tc>
        <w:tc>
          <w:tcPr>
            <w:tcW w:type="dxa" w:w="12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2025</w:t>
            </w:r>
          </w:p>
        </w:tc>
        <w:tc>
          <w:tcPr>
            <w:tcW w:type="dxa" w:w="12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2026</w:t>
            </w:r>
          </w:p>
        </w:tc>
        <w:tc>
          <w:tcPr>
            <w:tcW w:type="dxa" w:w="32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Комментарий</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Сети, км</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2 077,79</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2 334,74</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2 450,25</w:t>
            </w:r>
          </w:p>
        </w:tc>
        <w:tc>
          <w:tcPr>
            <w:tcW w:type="dxa" w:w="3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2025 - рабочий контур</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Износ, %</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53,81</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48,63</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46,86</w:t>
            </w:r>
          </w:p>
        </w:tc>
        <w:tc>
          <w:tcPr>
            <w:tcW w:type="dxa" w:w="3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Зависит от базы и новых активов</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КНС, ед.</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38</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w:t>
            </w:r>
          </w:p>
        </w:tc>
        <w:tc>
          <w:tcPr>
            <w:tcW w:type="dxa" w:w="1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70</w:t>
            </w:r>
          </w:p>
        </w:tc>
        <w:tc>
          <w:tcPr>
            <w:tcW w:type="dxa" w:w="3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Существенный рост периметра</w:t>
            </w:r>
          </w:p>
        </w:tc>
      </w:tr>
    </w:tbl>
    <w:p>
      <w:pPr>
        <w:spacing w:after="40"/>
      </w:pPr>
    </w:p>
    <w:p>
      <w:pPr>
        <w:pStyle w:val="Heading2"/>
        <w:keepLines/>
        <w:widowControl/>
      </w:pPr>
      <w:r>
        <w:rPr>
          <w:rFonts w:ascii="Calibri" w:hAnsi="Calibri" w:eastAsia="Calibri"/>
        </w:rPr>
        <w:t>Критические узлы</w:t>
      </w:r>
    </w:p>
    <w:tbl>
      <w:tblPr>
        <w:tblW w:type="dxa" w:w="9360"/>
        <w:tblLayout w:type="fixed"/>
        <w:tblLook w:firstColumn="1" w:firstRow="1" w:lastColumn="0" w:lastRow="0" w:noHBand="0" w:noVBand="1" w:val="04A0"/>
        <w:jc w:val="left"/>
        <w:tblInd w:w="120" w:type="dxa"/>
      </w:tblPr>
      <w:tblGrid>
        <w:gridCol w:w="1900"/>
        <w:gridCol w:w="4300"/>
        <w:gridCol w:w="3160"/>
      </w:tblGrid>
      <w:tr>
        <w:trPr>
          <w:tblHeader w:val="true"/>
          <w:cantSplit w:val="true"/>
        </w:trPr>
        <w:tc>
          <w:tcPr>
            <w:tcW w:type="dxa" w:w="1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Объект</w:t>
            </w:r>
          </w:p>
        </w:tc>
        <w:tc>
          <w:tcPr>
            <w:tcW w:type="dxa" w:w="43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Подтверждённая характеристика</w:t>
            </w:r>
          </w:p>
        </w:tc>
        <w:tc>
          <w:tcPr>
            <w:tcW w:type="dxa" w:w="31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Управленческий смысл</w:t>
            </w:r>
          </w:p>
        </w:tc>
      </w:tr>
      <w:tr>
        <w:trPr>
          <w:cantSplit w:val="true"/>
        </w:trPr>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КНС-1 «Трудовик»</w:t>
            </w:r>
          </w:p>
        </w:tc>
        <w:tc>
          <w:tcPr>
            <w:tcW w:type="dxa" w:w="4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Проект 35 000; средняя 53 280; максимум 55 000 м3/сут. В реестре 3 насоса из 3 рабочие, отдельный резерв не указан.</w:t>
            </w:r>
          </w:p>
        </w:tc>
        <w:tc>
          <w:tcPr>
            <w:tcW w:type="dxa" w:w="3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Нагрузка выше проектной; требуется решение по реконструкции и резервированию</w:t>
            </w:r>
          </w:p>
        </w:tc>
      </w:tr>
      <w:tr>
        <w:trPr>
          <w:cantSplit w:val="true"/>
        </w:trPr>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КНС-2А</w:t>
            </w:r>
          </w:p>
        </w:tc>
        <w:tc>
          <w:tcPr>
            <w:tcW w:type="dxa" w:w="4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В профильном документе отмечена как неработающая; поток принимает КНС-2.</w:t>
            </w:r>
          </w:p>
        </w:tc>
        <w:tc>
          <w:tcPr>
            <w:tcW w:type="dxa" w:w="3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Повышенная зависимость от КНС-2</w:t>
            </w:r>
          </w:p>
        </w:tc>
      </w:tr>
      <w:tr>
        <w:trPr>
          <w:cantSplit w:val="true"/>
        </w:trPr>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КНС-2</w:t>
            </w:r>
          </w:p>
        </w:tc>
        <w:tc>
          <w:tcPr>
            <w:tcW w:type="dxa" w:w="4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При работе пяти насосов указана производительность 81 640 м3/сут.; аварийный резерв ограничен.</w:t>
            </w:r>
          </w:p>
        </w:tc>
        <w:tc>
          <w:tcPr>
            <w:tcW w:type="dxa" w:w="3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Нужен подтверждённый резервный сценарий</w:t>
            </w:r>
          </w:p>
        </w:tc>
      </w:tr>
      <w:tr>
        <w:trPr>
          <w:cantSplit w:val="true"/>
        </w:trPr>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Коллектор по ул. Тренёва, Ø1000</w:t>
            </w:r>
          </w:p>
        </w:tc>
        <w:tc>
          <w:tcPr>
            <w:tcW w:type="dxa" w:w="4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При аварии переключение потока не обеспечивается.</w:t>
            </w:r>
          </w:p>
        </w:tc>
        <w:tc>
          <w:tcPr>
            <w:tcW w:type="dxa" w:w="3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Необходима вторая линия / альтернативный маршрут</w:t>
            </w:r>
          </w:p>
        </w:tc>
      </w:tr>
    </w:tbl>
    <w:p>
      <w:pPr>
        <w:spacing w:after="40"/>
      </w:pPr>
    </w:p>
    <w:p>
      <w:pPr>
        <w:pStyle w:val="Callout"/>
        <w:keepLines/>
        <w:spacing w:before="80" w:after="160"/>
        <w:ind w:left="230" w:right="144"/>
        <w:shd w:fill="FCEBEC"/>
        <w:pBdr>
          <w:start w:val="single" w:sz="16" w:space="8" w:color="9B1C1C"/>
        </w:pBdr>
        <w:widowControl/>
      </w:pPr>
      <w:r>
        <w:rPr>
          <w:rFonts w:ascii="Calibri" w:hAnsi="Calibri" w:eastAsia="Calibri"/>
          <w:b/>
          <w:color w:val="9B1C1C"/>
        </w:rPr>
        <w:t xml:space="preserve">Приоритет. </w:t>
      </w:r>
      <w:r>
        <w:rPr>
          <w:rFonts w:ascii="Calibri" w:hAnsi="Calibri" w:eastAsia="Calibri"/>
          <w:color w:val="0B2545"/>
        </w:rPr>
        <w:t>КНС и коллекторы должны ранжироваться по единой логике: загрузка относительно проектной мощности, наличие рабочего и аварийного резерва, возможность переключения, последствия отказа и время восстановления.</w:t>
      </w:r>
    </w:p>
    <w:p>
      <w:pPr>
        <w:pStyle w:val="SourceNote"/>
        <w:keepLines/>
        <w:widowControl/>
        <w:spacing w:before="80" w:after="160"/>
      </w:pPr>
      <w:r>
        <w:rPr>
          <w:rFonts w:ascii="Calibri" w:hAnsi="Calibri" w:eastAsia="Calibri"/>
        </w:rPr>
        <w:t>Основные источники: КНС ВКНС.xlsx; КНС ЗКНС (2).xlsx; ВКНС событийный реестр (1).xlsx; ЗКНСсобытийный реестр 2025-26.xlsx; ДЛЯ Слайда 2026 ДВО.docx.</w:t>
      </w:r>
    </w:p>
    <w:p>
      <w:pPr>
        <w:pStyle w:val="Heading1"/>
        <w:spacing w:before="0"/>
        <w:keepNext/>
      </w:pPr>
      <w:r>
        <w:t>6. КОС и экологическая устойчивость</w:t>
      </w:r>
    </w:p>
    <w:p>
      <w:pPr>
        <w:pStyle w:val="Lead"/>
        <w:keepLines/>
        <w:widowControl/>
      </w:pPr>
      <w:r>
        <w:rPr>
          <w:rFonts w:ascii="Calibri" w:hAnsi="Calibri" w:eastAsia="Calibri"/>
        </w:rPr>
        <w:t>Действующие канализационные очистные сооружения имеют проектную мощность 640 тыс. м3/сут. Расчётная средняя загрузка выросла примерно с 437,2 тыс. м3/сут. в 2025 году до 455,7 тыс. м3/сут. за январь-июль 2026 года. Это расчёт отчёта по объёмам, а не официальный KPI эксплуатации.</w:t>
      </w:r>
    </w:p>
    <w:tbl>
      <w:tblPr>
        <w:tblW w:type="dxa" w:w="9360"/>
        <w:tblLayout w:type="fixed"/>
        <w:tblLook w:firstColumn="1" w:firstRow="1" w:lastColumn="0" w:lastRow="0" w:noHBand="0" w:noVBand="1" w:val="04A0"/>
        <w:jc w:val="left"/>
        <w:tblInd w:w="120" w:type="dxa"/>
      </w:tblPr>
      <w:tblGrid>
        <w:gridCol w:w="3200"/>
        <w:gridCol w:w="2450"/>
        <w:gridCol w:w="3710"/>
      </w:tblGrid>
      <w:tr>
        <w:trPr>
          <w:tblHeader w:val="true"/>
          <w:cantSplit w:val="true"/>
        </w:trPr>
        <w:tc>
          <w:tcPr>
            <w:tcW w:type="dxa" w:w="3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Показатель</w:t>
            </w:r>
          </w:p>
        </w:tc>
        <w:tc>
          <w:tcPr>
            <w:tcW w:type="dxa" w:w="24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Значение</w:t>
            </w:r>
          </w:p>
        </w:tc>
        <w:tc>
          <w:tcPr>
            <w:tcW w:type="dxa" w:w="37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Статус / ограничение</w:t>
            </w:r>
          </w:p>
        </w:tc>
      </w:tr>
      <w:tr>
        <w:trPr>
          <w:cantSplit w:val="true"/>
        </w:trPr>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Проектная мощность действующих КОС</w:t>
            </w:r>
          </w:p>
        </w:tc>
        <w:tc>
          <w:tcPr>
            <w:tcW w:type="dxa" w:w="2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640 000 м3/сут.</w:t>
            </w:r>
          </w:p>
        </w:tc>
        <w:tc>
          <w:tcPr>
            <w:tcW w:type="dxa" w:w="3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Подтверждено</w:t>
            </w:r>
          </w:p>
        </w:tc>
      </w:tr>
      <w:tr>
        <w:trPr>
          <w:cantSplit w:val="true"/>
        </w:trPr>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Средняя загрузка 2025</w:t>
            </w:r>
          </w:p>
        </w:tc>
        <w:tc>
          <w:tcPr>
            <w:tcW w:type="dxa" w:w="2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437,2 тыс. м3/сут. (68,3%)</w:t>
            </w:r>
          </w:p>
        </w:tc>
        <w:tc>
          <w:tcPr>
            <w:tcW w:type="dxa" w:w="3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Расчёт по годовому объёму</w:t>
            </w:r>
          </w:p>
        </w:tc>
      </w:tr>
      <w:tr>
        <w:trPr>
          <w:cantSplit w:val="true"/>
        </w:trPr>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Средняя загрузка январь-июль 2026</w:t>
            </w:r>
          </w:p>
        </w:tc>
        <w:tc>
          <w:tcPr>
            <w:tcW w:type="dxa" w:w="2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455,7 тыс. м3/сут. (71,2%)</w:t>
            </w:r>
          </w:p>
        </w:tc>
        <w:tc>
          <w:tcPr>
            <w:tcW w:type="dxa" w:w="3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Расчёт по объёму за период</w:t>
            </w:r>
          </w:p>
        </w:tc>
      </w:tr>
      <w:tr>
        <w:trPr>
          <w:cantSplit w:val="true"/>
        </w:trPr>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Подтверждённый суточный максимум 2026</w:t>
            </w:r>
          </w:p>
        </w:tc>
        <w:tc>
          <w:tcPr>
            <w:tcW w:type="dxa" w:w="2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644 746 м3/сут. 23.05.2026</w:t>
            </w:r>
          </w:p>
        </w:tc>
        <w:tc>
          <w:tcPr>
            <w:tcW w:type="dxa" w:w="3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Первичный суточный журнал</w:t>
            </w:r>
          </w:p>
        </w:tc>
      </w:tr>
      <w:tr>
        <w:trPr>
          <w:cantSplit w:val="true"/>
        </w:trPr>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Паводковый расход</w:t>
            </w:r>
          </w:p>
        </w:tc>
        <w:tc>
          <w:tcPr>
            <w:tcW w:type="dxa" w:w="2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8,5-10 м3/с</w:t>
            </w:r>
          </w:p>
        </w:tc>
        <w:tc>
          <w:tcPr>
            <w:tcW w:type="dxa" w:w="37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Свежий августовский документ; 8,5-12 м3/с сохранено в расхождениях</w:t>
            </w:r>
          </w:p>
        </w:tc>
      </w:tr>
    </w:tbl>
    <w:p>
      <w:pPr>
        <w:spacing w:after="40"/>
      </w:pPr>
    </w:p>
    <w:p>
      <w:pPr>
        <w:pStyle w:val="Callout"/>
        <w:keepLines/>
        <w:spacing w:before="80" w:after="160"/>
        <w:ind w:left="230" w:right="144"/>
        <w:shd w:fill="FCEBEC"/>
        <w:pBdr>
          <w:start w:val="single" w:sz="16" w:space="8" w:color="9B1C1C"/>
        </w:pBdr>
        <w:widowControl/>
      </w:pPr>
      <w:r>
        <w:rPr>
          <w:rFonts w:ascii="Calibri" w:hAnsi="Calibri" w:eastAsia="Calibri"/>
          <w:b/>
          <w:color w:val="9B1C1C"/>
        </w:rPr>
        <w:t xml:space="preserve">Критическое ограничение. </w:t>
      </w:r>
      <w:r>
        <w:rPr>
          <w:rFonts w:ascii="Calibri" w:hAnsi="Calibri" w:eastAsia="Calibri"/>
          <w:color w:val="0B2545"/>
        </w:rPr>
        <w:t>Средняя загрузка не показывает пиковый риск. Наличие суток выше проектной мощности подтверждает необходимость управлять запасом производительности и гидравлическими пиками отдельно.</w:t>
      </w:r>
    </w:p>
    <w:p>
      <w:pPr>
        <w:pStyle w:val="Heading2"/>
        <w:keepLines/>
        <w:widowControl/>
      </w:pPr>
      <w:r>
        <w:rPr>
          <w:rFonts w:ascii="Calibri" w:hAnsi="Calibri" w:eastAsia="Calibri"/>
        </w:rPr>
        <w:t>Историческая эффективность очистки</w:t>
      </w:r>
    </w:p>
    <w:tbl>
      <w:tblPr>
        <w:tblW w:type="dxa" w:w="9360"/>
        <w:tblLayout w:type="fixed"/>
        <w:tblLook w:firstColumn="1" w:firstRow="1" w:lastColumn="0" w:lastRow="0" w:noHBand="0" w:noVBand="1" w:val="04A0"/>
        <w:jc w:val="left"/>
        <w:tblInd w:w="120" w:type="dxa"/>
      </w:tblPr>
      <w:tblGrid>
        <w:gridCol w:w="3400"/>
        <w:gridCol w:w="3200"/>
        <w:gridCol w:w="2760"/>
      </w:tblGrid>
      <w:tr>
        <w:trPr>
          <w:tblHeader w:val="true"/>
          <w:cantSplit w:val="true"/>
        </w:trPr>
        <w:tc>
          <w:tcPr>
            <w:tcW w:type="dxa" w:w="3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Показатель</w:t>
            </w:r>
          </w:p>
        </w:tc>
        <w:tc>
          <w:tcPr>
            <w:tcW w:type="dxa" w:w="3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Диапазон за 2000-2025 годы</w:t>
            </w:r>
          </w:p>
        </w:tc>
        <w:tc>
          <w:tcPr>
            <w:tcW w:type="dxa" w:w="27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Среднее</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Взвешенные вещества</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95,9-96,92%</w:t>
            </w:r>
          </w:p>
        </w:tc>
        <w:tc>
          <w:tcPr>
            <w:tcW w:type="dxa" w:w="2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96,4%</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БПК полная</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91,71-95,4%</w:t>
            </w:r>
          </w:p>
        </w:tc>
        <w:tc>
          <w:tcPr>
            <w:tcW w:type="dxa" w:w="2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94,1%</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ХПК</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91,07-94,8%</w:t>
            </w:r>
          </w:p>
        </w:tc>
        <w:tc>
          <w:tcPr>
            <w:tcW w:type="dxa" w:w="2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92,8%</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Железо общее</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78,0-92,78%</w:t>
            </w:r>
          </w:p>
        </w:tc>
        <w:tc>
          <w:tcPr>
            <w:tcW w:type="dxa" w:w="2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87,5%</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СПАВ</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73,68-89,8%</w:t>
            </w:r>
          </w:p>
        </w:tc>
        <w:tc>
          <w:tcPr>
            <w:tcW w:type="dxa" w:w="2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82,3%</w:t>
            </w:r>
          </w:p>
        </w:tc>
      </w:tr>
    </w:tbl>
    <w:p>
      <w:pPr>
        <w:spacing w:after="40"/>
      </w:pPr>
    </w:p>
    <w:p>
      <w:pPr>
        <w:keepLines/>
        <w:widowControl/>
      </w:pPr>
      <w:r>
        <w:rPr>
          <w:rFonts w:ascii="Calibri" w:hAnsi="Calibri" w:eastAsia="Calibri"/>
        </w:rPr>
        <w:t>Это многолетняя характеристика лаборатории станции Аэрации, а не KPI 2024, 2025 или 2026 года. Для оценки текущего качества нужны концентрации на входе и выходе, нормативы выпуска и число превышений за сопоставимые периоды.</w:t>
      </w:r>
    </w:p>
    <w:p>
      <w:pPr>
        <w:pStyle w:val="Heading2"/>
        <w:keepLines/>
        <w:widowControl/>
      </w:pPr>
      <w:r>
        <w:rPr>
          <w:rFonts w:ascii="Calibri" w:hAnsi="Calibri" w:eastAsia="Calibri"/>
        </w:rPr>
        <w:t>Аварийные и технические режимы сброса</w:t>
      </w:r>
    </w:p>
    <w:tbl>
      <w:tblPr>
        <w:tblW w:type="dxa" w:w="9360"/>
        <w:tblLayout w:type="fixed"/>
        <w:tblLook w:firstColumn="1" w:firstRow="1" w:lastColumn="0" w:lastRow="0" w:noHBand="0" w:noVBand="1" w:val="04A0"/>
        <w:jc w:val="left"/>
        <w:tblInd w:w="120" w:type="dxa"/>
      </w:tblPr>
      <w:tblGrid>
        <w:gridCol w:w="1800"/>
        <w:gridCol w:w="3780"/>
        <w:gridCol w:w="3780"/>
      </w:tblGrid>
      <w:tr>
        <w:trPr>
          <w:tblHeader w:val="true"/>
          <w:cantSplit w:val="true"/>
        </w:trPr>
        <w:tc>
          <w:tcPr>
            <w:tcW w:type="dxa" w:w="18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Период</w:t>
            </w:r>
          </w:p>
        </w:tc>
        <w:tc>
          <w:tcPr>
            <w:tcW w:type="dxa" w:w="378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Ливневые/талые воды в аварийный канал</w:t>
            </w:r>
          </w:p>
        </w:tc>
        <w:tc>
          <w:tcPr>
            <w:tcW w:type="dxa" w:w="378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Технический сброс по итогу источника</w:t>
            </w:r>
          </w:p>
        </w:tc>
      </w:tr>
      <w:tr>
        <w:trPr>
          <w:cantSplit w:val="true"/>
        </w:trPr>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2024</w:t>
            </w:r>
          </w:p>
        </w:tc>
        <w:tc>
          <w:tcPr>
            <w:tcW w:type="dxa" w:w="37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1 291 250 м3</w:t>
            </w:r>
          </w:p>
        </w:tc>
        <w:tc>
          <w:tcPr>
            <w:tcW w:type="dxa" w:w="37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2 541 740 м3</w:t>
            </w:r>
          </w:p>
        </w:tc>
      </w:tr>
      <w:tr>
        <w:trPr>
          <w:cantSplit w:val="true"/>
        </w:trPr>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2025</w:t>
            </w:r>
          </w:p>
        </w:tc>
        <w:tc>
          <w:tcPr>
            <w:tcW w:type="dxa" w:w="37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851 250 м3</w:t>
            </w:r>
          </w:p>
        </w:tc>
        <w:tc>
          <w:tcPr>
            <w:tcW w:type="dxa" w:w="37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3 172 798 м3</w:t>
            </w:r>
          </w:p>
        </w:tc>
      </w:tr>
      <w:tr>
        <w:trPr>
          <w:cantSplit w:val="true"/>
        </w:trPr>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2026 по июль</w:t>
            </w:r>
          </w:p>
        </w:tc>
        <w:tc>
          <w:tcPr>
            <w:tcW w:type="dxa" w:w="37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1 355 160 м3</w:t>
            </w:r>
          </w:p>
        </w:tc>
        <w:tc>
          <w:tcPr>
            <w:tcW w:type="dxa" w:w="37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77 970 м3</w:t>
            </w:r>
          </w:p>
        </w:tc>
      </w:tr>
    </w:tbl>
    <w:p>
      <w:pPr>
        <w:spacing w:after="40"/>
      </w:pPr>
    </w:p>
    <w:p>
      <w:pPr>
        <w:keepLines/>
        <w:widowControl/>
      </w:pPr>
      <w:r>
        <w:rPr>
          <w:rFonts w:ascii="Calibri" w:hAnsi="Calibri" w:eastAsia="Calibri"/>
        </w:rPr>
        <w:t>Журнал содержит даты, гидравлические параметры и причины по ливневым/талым режимам; годовой итог технического сброса приведён отдельной строкой. Эти объёмы не интерпретируются как экологическое нарушение без разрешительных документов и правовой классификации каждого режима.</w:t>
      </w:r>
    </w:p>
    <w:p>
      <w:pPr>
        <w:pStyle w:val="Heading2"/>
        <w:keepLines/>
        <w:widowControl/>
      </w:pPr>
      <w:r>
        <w:rPr>
          <w:rFonts w:ascii="Calibri" w:hAnsi="Calibri" w:eastAsia="Calibri"/>
        </w:rPr>
        <w:t>Осадок: данные представлены, но баланс не сверен</w:t>
      </w:r>
    </w:p>
    <w:tbl>
      <w:tblPr>
        <w:tblW w:type="dxa" w:w="9360"/>
        <w:tblLayout w:type="fixed"/>
        <w:tblLook w:firstColumn="1" w:firstRow="1" w:lastColumn="0" w:lastRow="0" w:noHBand="0" w:noVBand="1" w:val="04A0"/>
        <w:jc w:val="left"/>
        <w:tblInd w:w="120" w:type="dxa"/>
      </w:tblPr>
      <w:tblGrid>
        <w:gridCol w:w="1350"/>
        <w:gridCol w:w="2200"/>
        <w:gridCol w:w="1650"/>
        <w:gridCol w:w="1600"/>
        <w:gridCol w:w="2560"/>
      </w:tblGrid>
      <w:tr>
        <w:trPr>
          <w:tblHeader w:val="true"/>
          <w:cantSplit w:val="true"/>
        </w:trPr>
        <w:tc>
          <w:tcPr>
            <w:tcW w:type="dxa" w:w="13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Период</w:t>
            </w:r>
          </w:p>
        </w:tc>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Образовано / обработано</w:t>
            </w:r>
          </w:p>
        </w:tc>
        <w:tc>
          <w:tcPr>
            <w:tcW w:type="dxa" w:w="16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Обезвожено</w:t>
            </w:r>
          </w:p>
        </w:tc>
        <w:tc>
          <w:tcPr>
            <w:tcW w:type="dxa" w:w="1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Вывезено</w:t>
            </w:r>
          </w:p>
        </w:tc>
        <w:tc>
          <w:tcPr>
            <w:tcW w:type="dxa" w:w="25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Накоплено на конец периода</w:t>
            </w:r>
          </w:p>
        </w:tc>
      </w:tr>
      <w:tr>
        <w:trPr>
          <w:cantSplit w:val="true"/>
        </w:trPr>
        <w:tc>
          <w:tcPr>
            <w:tcW w:type="dxa" w:w="1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2024</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1 330 100 м3</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39 903 м3</w:t>
            </w:r>
          </w:p>
        </w:tc>
        <w:tc>
          <w:tcPr>
            <w:tcW w:type="dxa" w:w="1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23 800 м3</w:t>
            </w:r>
          </w:p>
        </w:tc>
        <w:tc>
          <w:tcPr>
            <w:tcW w:type="dxa" w:w="2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13 330 100 м3</w:t>
            </w:r>
          </w:p>
        </w:tc>
      </w:tr>
      <w:tr>
        <w:trPr>
          <w:cantSplit w:val="true"/>
        </w:trPr>
        <w:tc>
          <w:tcPr>
            <w:tcW w:type="dxa" w:w="1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2025</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1 326 111 м3</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39 783 м3</w:t>
            </w:r>
          </w:p>
        </w:tc>
        <w:tc>
          <w:tcPr>
            <w:tcW w:type="dxa" w:w="1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40 100 м3</w:t>
            </w:r>
          </w:p>
        </w:tc>
        <w:tc>
          <w:tcPr>
            <w:tcW w:type="dxa" w:w="2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1 326 111 м3</w:t>
            </w:r>
          </w:p>
        </w:tc>
      </w:tr>
      <w:tr>
        <w:trPr>
          <w:cantSplit w:val="true"/>
        </w:trPr>
        <w:tc>
          <w:tcPr>
            <w:tcW w:type="dxa" w:w="1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2026 по августовскому файлу</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807 354 м3</w:t>
            </w:r>
          </w:p>
        </w:tc>
        <w:tc>
          <w:tcPr>
            <w:tcW w:type="dxa" w:w="16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24 220 м3</w:t>
            </w:r>
          </w:p>
        </w:tc>
        <w:tc>
          <w:tcPr>
            <w:tcW w:type="dxa" w:w="1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14 310 м3</w:t>
            </w:r>
          </w:p>
        </w:tc>
        <w:tc>
          <w:tcPr>
            <w:tcW w:type="dxa" w:w="2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807 354 м3</w:t>
            </w:r>
          </w:p>
        </w:tc>
      </w:tr>
    </w:tbl>
    <w:p>
      <w:pPr>
        <w:spacing w:after="40"/>
      </w:pP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Требует сверки. </w:t>
      </w:r>
      <w:r>
        <w:rPr>
          <w:rFonts w:ascii="Calibri" w:hAnsi="Calibri" w:eastAsia="Calibri"/>
          <w:color w:val="0B2545"/>
        </w:rPr>
        <w:t>В 2024 году накопление 13 330 100 м3 отличается от образования 1 330 100 м3 ровно в десять раз; в 2025 году вывоз на 317 м3 превышает обезвоживание. Отчёт сохраняет исходные значения и не исправляет их предположением.</w:t>
      </w:r>
    </w:p>
    <w:p>
      <w:pPr>
        <w:pStyle w:val="Heading2"/>
        <w:keepLines/>
        <w:widowControl/>
      </w:pPr>
      <w:r>
        <w:rPr>
          <w:rFonts w:ascii="Calibri" w:hAnsi="Calibri" w:eastAsia="Calibri"/>
        </w:rPr>
        <w:t>Промышленные стоки и ПДК</w:t>
      </w:r>
    </w:p>
    <w:tbl>
      <w:tblPr>
        <w:tblW w:type="dxa" w:w="9360"/>
        <w:tblLayout w:type="fixed"/>
        <w:tblLook w:firstColumn="1" w:firstRow="1" w:lastColumn="0" w:lastRow="0" w:noHBand="0" w:noVBand="1" w:val="04A0"/>
        <w:jc w:val="left"/>
        <w:tblInd w:w="120" w:type="dxa"/>
      </w:tblPr>
      <w:tblGrid>
        <w:gridCol w:w="2250"/>
        <w:gridCol w:w="2000"/>
        <w:gridCol w:w="2200"/>
        <w:gridCol w:w="2910"/>
      </w:tblGrid>
      <w:tr>
        <w:trPr>
          <w:tblHeader w:val="true"/>
          <w:cantSplit w:val="true"/>
        </w:trPr>
        <w:tc>
          <w:tcPr>
            <w:tcW w:type="dxa" w:w="22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Период</w:t>
            </w:r>
          </w:p>
        </w:tc>
        <w:tc>
          <w:tcPr>
            <w:tcW w:type="dxa" w:w="20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Отобрано проб</w:t>
            </w:r>
          </w:p>
        </w:tc>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С превышением ПДК</w:t>
            </w:r>
          </w:p>
        </w:tc>
        <w:tc>
          <w:tcPr>
            <w:tcW w:type="dxa" w:w="29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Доля, расчёт отчёта</w:t>
            </w:r>
          </w:p>
        </w:tc>
      </w:tr>
      <w:tr>
        <w:trPr>
          <w:cantSplit w:val="true"/>
        </w:trPr>
        <w:tc>
          <w:tcPr>
            <w:tcW w:type="dxa" w:w="2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2024</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505</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153</w:t>
            </w:r>
          </w:p>
        </w:tc>
        <w:tc>
          <w:tcPr>
            <w:tcW w:type="dxa" w:w="29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30,3%</w:t>
            </w:r>
          </w:p>
        </w:tc>
      </w:tr>
      <w:tr>
        <w:trPr>
          <w:cantSplit w:val="true"/>
        </w:trPr>
        <w:tc>
          <w:tcPr>
            <w:tcW w:type="dxa" w:w="2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2025</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292</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127</w:t>
            </w:r>
          </w:p>
        </w:tc>
        <w:tc>
          <w:tcPr>
            <w:tcW w:type="dxa" w:w="29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43,5%</w:t>
            </w:r>
          </w:p>
        </w:tc>
      </w:tr>
      <w:tr>
        <w:trPr>
          <w:cantSplit w:val="true"/>
        </w:trPr>
        <w:tc>
          <w:tcPr>
            <w:tcW w:type="dxa" w:w="22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Январь-июль 2026</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216</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108</w:t>
            </w:r>
          </w:p>
        </w:tc>
        <w:tc>
          <w:tcPr>
            <w:tcW w:type="dxa" w:w="29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50,0%</w:t>
            </w:r>
          </w:p>
        </w:tc>
      </w:tr>
    </w:tbl>
    <w:p>
      <w:pPr>
        <w:spacing w:after="40"/>
      </w:pPr>
    </w:p>
    <w:p>
      <w:pPr>
        <w:keepLines/>
        <w:widowControl/>
      </w:pPr>
      <w:r>
        <w:rPr>
          <w:rFonts w:ascii="Calibri" w:hAnsi="Calibri" w:eastAsia="Calibri"/>
        </w:rPr>
        <w:t>Рост доли проб промышленных стоков с превышением ПДК требует анализа по абонентам, веществам, повторности нарушений и фактическим мерам взыскания. Эти данные не заменяют агрегированные показатели качества очищенных сточных вод на выпуске.</w:t>
      </w:r>
    </w:p>
    <w:p>
      <w:pPr>
        <w:pStyle w:val="Heading2"/>
        <w:keepLines/>
        <w:widowControl/>
      </w:pPr>
      <w:r>
        <w:rPr>
          <w:rFonts w:ascii="Calibri" w:hAnsi="Calibri" w:eastAsia="Calibri"/>
        </w:rPr>
        <w:t>Новая КОС</w:t>
      </w:r>
    </w:p>
    <w:p>
      <w:pPr>
        <w:keepLines/>
        <w:widowControl/>
      </w:pPr>
      <w:r>
        <w:rPr>
          <w:rFonts w:ascii="Calibri" w:hAnsi="Calibri" w:eastAsia="Calibri"/>
        </w:rPr>
        <w:t>Проект новой КОС предусматривает дополнительную мощность 320 тыс. м3/сут. и доведение общей мощности до 960 тыс. м3/сут. При ориентире Генерального плана 952 тыс. м3/сут. к 2030 году арифметическая разница 8 тыс. м3/сут. не называется в отчёте утверждённым технологическим резервом: необходимы проектные расчёты, график ввода и сценарии пикового притока.</w:t>
      </w:r>
    </w:p>
    <w:p>
      <w:pPr>
        <w:pStyle w:val="Heading2"/>
        <w:keepLines/>
        <w:widowControl/>
      </w:pPr>
      <w:r>
        <w:rPr>
          <w:rFonts w:ascii="Calibri" w:hAnsi="Calibri" w:eastAsia="Calibri"/>
        </w:rPr>
        <w:t>Незакрытые экологические показатели</w:t>
      </w:r>
    </w:p>
    <w:p>
      <w:pPr>
        <w:keepLines/>
        <w:numPr>
          <w:ilvl w:val="0"/>
          <w:numId w:val="10"/>
        </w:numPr>
        <w:spacing w:after="160" w:line="280" w:lineRule="auto"/>
        <w:widowControl/>
      </w:pPr>
      <w:r>
        <w:rPr>
          <w:rFonts w:ascii="Calibri" w:hAnsi="Calibri" w:eastAsia="Calibri"/>
        </w:rPr>
        <w:t>качество очищенных сточных вод по основным загрязняющим веществам;</w:t>
      </w:r>
    </w:p>
    <w:p>
      <w:pPr>
        <w:keepLines/>
        <w:numPr>
          <w:ilvl w:val="0"/>
          <w:numId w:val="10"/>
        </w:numPr>
        <w:spacing w:after="160" w:line="280" w:lineRule="auto"/>
        <w:widowControl/>
      </w:pPr>
      <w:r>
        <w:rPr>
          <w:rFonts w:ascii="Calibri" w:hAnsi="Calibri" w:eastAsia="Calibri"/>
        </w:rPr>
        <w:t>количество превышений нормативов на выпуске и принятые меры;</w:t>
      </w:r>
    </w:p>
    <w:p>
      <w:pPr>
        <w:keepLines/>
        <w:numPr>
          <w:ilvl w:val="0"/>
          <w:numId w:val="10"/>
        </w:numPr>
        <w:spacing w:after="160" w:line="280" w:lineRule="auto"/>
        <w:widowControl/>
      </w:pPr>
      <w:r>
        <w:rPr>
          <w:rFonts w:ascii="Calibri" w:hAnsi="Calibri" w:eastAsia="Calibri"/>
        </w:rPr>
        <w:t>сверенный баланс образования, обезвоживания, вывоза и накопления осадка с формулами и единицами измерения;</w:t>
      </w:r>
    </w:p>
    <w:p>
      <w:pPr>
        <w:keepLines/>
        <w:numPr>
          <w:ilvl w:val="0"/>
          <w:numId w:val="10"/>
        </w:numPr>
        <w:spacing w:after="160" w:line="280" w:lineRule="auto"/>
        <w:widowControl/>
      </w:pPr>
      <w:r>
        <w:rPr>
          <w:rFonts w:ascii="Calibri" w:hAnsi="Calibri" w:eastAsia="Calibri"/>
        </w:rPr>
        <w:t>статус экологических разрешений, предписаний, платежей и санкций;</w:t>
      </w:r>
    </w:p>
    <w:p>
      <w:pPr>
        <w:keepLines/>
        <w:numPr>
          <w:ilvl w:val="0"/>
          <w:numId w:val="10"/>
        </w:numPr>
        <w:spacing w:after="160" w:line="280" w:lineRule="auto"/>
        <w:widowControl/>
      </w:pPr>
      <w:r>
        <w:rPr>
          <w:rFonts w:ascii="Calibri" w:hAnsi="Calibri" w:eastAsia="Calibri"/>
        </w:rPr>
        <w:t>правовая и экологическая классификация отражённых в журнале аварийных и технических режимов сброса.</w:t>
      </w:r>
    </w:p>
    <w:p>
      <w:pPr>
        <w:pStyle w:val="SourceNote"/>
        <w:keepLines/>
        <w:widowControl/>
        <w:spacing w:before="80" w:after="160"/>
      </w:pPr>
      <w:r>
        <w:rPr>
          <w:rFonts w:ascii="Calibri" w:hAnsi="Calibri" w:eastAsia="Calibri"/>
        </w:rPr>
        <w:t>Основные источники: информация по ДВО 2024, 2025, 2026 года по месячно.xlsx; Описание КОС август 2026 г.docx; Данные по сырому осадку свод за года 2024-2026.xlsx; Аварийный сброс и разливы.xlsx; Инфо по ИЛ за 2024-2026.xlsx.</w:t>
      </w:r>
    </w:p>
    <w:p>
      <w:pPr>
        <w:pStyle w:val="Heading1"/>
        <w:spacing w:before="0"/>
        <w:keepNext/>
      </w:pPr>
      <w:r>
        <w:t>7. Надёжность производственной инфраструктуры</w:t>
      </w:r>
    </w:p>
    <w:p>
      <w:pPr>
        <w:pStyle w:val="Lead"/>
        <w:keepLines/>
        <w:widowControl/>
      </w:pPr>
      <w:r>
        <w:rPr>
          <w:rFonts w:ascii="Calibri" w:hAnsi="Calibri" w:eastAsia="Calibri"/>
        </w:rPr>
        <w:t>Надёжность предприятия определяется одновременно энергетикой, аварийными бригадами, резервными источниками питания, состоянием автопарка, метрологией и готовностью к чрезвычайным ситуациям. Материалы подтверждают наличие базовых ресурсов, но не во всех направлениях содержат итоговые коэффициенты готовности и времени восстановления.</w:t>
      </w:r>
    </w:p>
    <w:p>
      <w:pPr>
        <w:pStyle w:val="Heading2"/>
        <w:keepLines/>
        <w:widowControl/>
      </w:pPr>
      <w:r>
        <w:rPr>
          <w:rFonts w:ascii="Calibri" w:hAnsi="Calibri" w:eastAsia="Calibri"/>
        </w:rPr>
        <w:t>Энергетика и аварийная готовность</w:t>
      </w:r>
    </w:p>
    <w:p>
      <w:pPr>
        <w:keepLines/>
        <w:numPr>
          <w:ilvl w:val="0"/>
          <w:numId w:val="10"/>
        </w:numPr>
        <w:spacing w:after="160" w:line="280" w:lineRule="auto"/>
        <w:widowControl/>
      </w:pPr>
      <w:r>
        <w:rPr>
          <w:rFonts w:ascii="Calibri" w:hAnsi="Calibri" w:eastAsia="Calibri"/>
        </w:rPr>
        <w:t>стоимость электроэнергии в 2024 году - 5,524 млрд ₸; в источниках за 2025 год встречается диапазон 6,684-6,698 млрд ₸, требующий окончательной сверки;</w:t>
      </w:r>
    </w:p>
    <w:p>
      <w:pPr>
        <w:keepLines/>
        <w:numPr>
          <w:ilvl w:val="0"/>
          <w:numId w:val="10"/>
        </w:numPr>
        <w:spacing w:after="160" w:line="280" w:lineRule="auto"/>
        <w:widowControl/>
      </w:pPr>
      <w:r>
        <w:rPr>
          <w:rFonts w:ascii="Calibri" w:hAnsi="Calibri" w:eastAsia="Calibri"/>
        </w:rPr>
        <w:t>объекты I-II категории надёжности снабжены дизель-генераторными установками; событийные журналы подтверждают работу КНС от ДГУ при отдельных отключениях;</w:t>
      </w:r>
    </w:p>
    <w:p>
      <w:pPr>
        <w:keepLines/>
        <w:numPr>
          <w:ilvl w:val="0"/>
          <w:numId w:val="10"/>
        </w:numPr>
        <w:spacing w:after="160" w:line="280" w:lineRule="auto"/>
        <w:widowControl/>
      </w:pPr>
      <w:r>
        <w:rPr>
          <w:rFonts w:ascii="Calibri" w:hAnsi="Calibri" w:eastAsia="Calibri"/>
        </w:rPr>
        <w:t>49 аварийных бригад и 161 единица специальной техники обеспечивают круглосуточный режим;</w:t>
      </w:r>
    </w:p>
    <w:p>
      <w:pPr>
        <w:keepLines/>
        <w:numPr>
          <w:ilvl w:val="0"/>
          <w:numId w:val="10"/>
        </w:numPr>
        <w:spacing w:after="160" w:line="280" w:lineRule="auto"/>
        <w:widowControl/>
      </w:pPr>
      <w:r>
        <w:rPr>
          <w:rFonts w:ascii="Calibri" w:hAnsi="Calibri" w:eastAsia="Calibri"/>
        </w:rPr>
        <w:t>за 01.01.2024-31.07.2026 в профильном контуре указано 0 чрезвычайных ситуаций и 0 крупных аварий; проведено 11 учений ДЧС и 14 городских/объектовых тренировок.</w:t>
      </w:r>
    </w:p>
    <w:p>
      <w:pPr>
        <w:pStyle w:val="Heading2"/>
        <w:keepLines/>
        <w:widowControl/>
      </w:pPr>
      <w:r>
        <w:rPr>
          <w:rFonts w:ascii="Calibri" w:hAnsi="Calibri" w:eastAsia="Calibri"/>
        </w:rPr>
        <w:t>Автотранспорт и спецтехника</w:t>
      </w:r>
    </w:p>
    <w:tbl>
      <w:tblPr>
        <w:tblW w:type="dxa" w:w="9360"/>
        <w:tblLayout w:type="fixed"/>
        <w:tblLook w:firstColumn="1" w:firstRow="1" w:lastColumn="0" w:lastRow="0" w:noHBand="0" w:noVBand="1" w:val="04A0"/>
        <w:jc w:val="left"/>
        <w:tblInd w:w="120" w:type="dxa"/>
      </w:tblPr>
      <w:tblGrid>
        <w:gridCol w:w="3900"/>
        <w:gridCol w:w="1820"/>
        <w:gridCol w:w="1820"/>
        <w:gridCol w:w="1820"/>
      </w:tblGrid>
      <w:tr>
        <w:trPr>
          <w:tblHeader w:val="true"/>
          <w:cantSplit w:val="true"/>
        </w:trPr>
        <w:tc>
          <w:tcPr>
            <w:tcW w:type="dxa" w:w="3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Показатель</w:t>
            </w:r>
          </w:p>
        </w:tc>
        <w:tc>
          <w:tcPr>
            <w:tcW w:type="dxa" w:w="18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2024</w:t>
            </w:r>
          </w:p>
        </w:tc>
        <w:tc>
          <w:tcPr>
            <w:tcW w:type="dxa" w:w="18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2025</w:t>
            </w:r>
          </w:p>
        </w:tc>
        <w:tc>
          <w:tcPr>
            <w:tcW w:type="dxa" w:w="18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I полугодие 2026</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Пробег, млн км</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7,079</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7,617</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3,231</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Моточасы, тыс.</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46,0</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50,5</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22,0</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Расходы на ремонт, млн ₸</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295,1</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315,7</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108,8</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Простой, дней</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3 589</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3 439</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1 918</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Поломки, ед.</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2 167</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1 821</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1 070</w:t>
            </w:r>
          </w:p>
        </w:tc>
      </w:tr>
      <w:tr>
        <w:trPr>
          <w:cantSplit w:val="true"/>
        </w:trPr>
        <w:tc>
          <w:tcPr>
            <w:tcW w:type="dxa" w:w="3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ДТП, ед.</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18</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23</w:t>
            </w:r>
          </w:p>
        </w:tc>
        <w:tc>
          <w:tcPr>
            <w:tcW w:type="dxa" w:w="18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w:t>
            </w:r>
          </w:p>
        </w:tc>
      </w:tr>
    </w:tbl>
    <w:p>
      <w:pPr>
        <w:spacing w:after="40"/>
      </w:pPr>
    </w:p>
    <w:p>
      <w:pPr>
        <w:keepLines/>
        <w:widowControl/>
      </w:pPr>
      <w:r>
        <w:rPr>
          <w:rFonts w:ascii="Calibri" w:hAnsi="Calibri" w:eastAsia="Calibri"/>
        </w:rPr>
        <w:t>В 2025 году пробег вырос на 7,6%, моточасы - на 9,7%, при этом число поломок снизилось примерно на 16%, а дни простоя - на 4,2%. Однако подтверждённый единый коэффициент технической готовности парка в материалах отсутствует.</w:t>
      </w:r>
    </w:p>
    <w:p>
      <w:pPr>
        <w:pStyle w:val="Heading2"/>
        <w:keepLines/>
        <w:widowControl/>
      </w:pPr>
      <w:r>
        <w:rPr>
          <w:rFonts w:ascii="Calibri" w:hAnsi="Calibri" w:eastAsia="Calibri"/>
        </w:rPr>
        <w:t>Метрология</w:t>
      </w:r>
    </w:p>
    <w:p>
      <w:pPr>
        <w:keepLines/>
        <w:widowControl/>
      </w:pPr>
      <w:r>
        <w:rPr>
          <w:rFonts w:ascii="Calibri" w:hAnsi="Calibri" w:eastAsia="Calibri"/>
        </w:rPr>
        <w:t>В обязательном контуре поверки учтено 1 800 средств измерений, из них 1 039 подлежат поверке в 2026 году; отдельно отражены 4 451 индикаторный прибор. Контрактный объём 1 039 единиц совпадает с планом поверки, но итоговую результативность необходимо показывать раздельно: запланировано, охвачено договором, фактически поверено, признано годным. Зафиксированы 10 извещений о непригодности и 25 нарушений.</w:t>
      </w: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Недостающий контроль. </w:t>
      </w:r>
      <w:r>
        <w:rPr>
          <w:rFonts w:ascii="Calibri" w:hAnsi="Calibri" w:eastAsia="Calibri"/>
          <w:color w:val="0B2545"/>
        </w:rPr>
        <w:t>Для полноценной оценки готовности нужны единые KPI: коэффициент технической готовности автопарка, среднее время восстановления, обеспеченность аварийным запасом, автономность ДГУ и доля средств измерений с действующей поверкой.</w:t>
      </w:r>
    </w:p>
    <w:p>
      <w:pPr>
        <w:pStyle w:val="SourceNote"/>
        <w:keepLines/>
        <w:widowControl/>
        <w:spacing w:before="80" w:after="160"/>
      </w:pPr>
      <w:r>
        <w:rPr>
          <w:rFonts w:ascii="Calibri" w:hAnsi="Calibri" w:eastAsia="Calibri"/>
        </w:rPr>
        <w:t>Основные источники: Расходы по электроэнергии.xlsx; ведомость эл.потр.2020-2026.xlsx; ДТ и СТ Алматы Су.xlsx; слайды ГЗ и ЧС.xlsx; метрология.docx; Служба метрологи.docx.</w:t>
      </w:r>
    </w:p>
    <w:p>
      <w:pPr>
        <w:pStyle w:val="Heading1"/>
        <w:spacing w:before="0"/>
        <w:keepNext/>
      </w:pPr>
      <w:r>
        <w:t>8. Потребители, коммерческий учёт и качество обслуживания</w:t>
      </w:r>
    </w:p>
    <w:p>
      <w:pPr>
        <w:pStyle w:val="Lead"/>
        <w:keepLines/>
        <w:widowControl/>
      </w:pPr>
      <w:r>
        <w:rPr>
          <w:rFonts w:ascii="Calibri" w:hAnsi="Calibri" w:eastAsia="Calibri"/>
        </w:rPr>
        <w:t>Клиентская база предприятия растёт. Для основной динамики используется сопоставимая районная серия, поскольку годовые и тарифные источники содержат альтернативные значения по числу потребителей.</w:t>
      </w:r>
    </w:p>
    <w:tbl>
      <w:tblPr>
        <w:tblW w:type="dxa" w:w="9360"/>
        <w:tblLayout w:type="fixed"/>
        <w:tblLook w:firstColumn="1" w:firstRow="1" w:lastColumn="0" w:lastRow="0" w:noHBand="0" w:noVBand="1" w:val="04A0"/>
        <w:jc w:val="left"/>
        <w:tblInd w:w="120" w:type="dxa"/>
      </w:tblPr>
      <w:tblGrid>
        <w:gridCol w:w="2400"/>
        <w:gridCol w:w="2600"/>
        <w:gridCol w:w="4360"/>
      </w:tblGrid>
      <w:tr>
        <w:trPr>
          <w:tblHeader w:val="true"/>
          <w:cantSplit w:val="true"/>
        </w:trPr>
        <w:tc>
          <w:tcPr>
            <w:tcW w:type="dxa" w:w="2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Контрольная дата</w:t>
            </w:r>
          </w:p>
        </w:tc>
        <w:tc>
          <w:tcPr>
            <w:tcW w:type="dxa" w:w="2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Потребители, ед.</w:t>
            </w:r>
          </w:p>
        </w:tc>
        <w:tc>
          <w:tcPr>
            <w:tcW w:type="dxa" w:w="43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Статус</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31.12.2024</w:t>
            </w:r>
          </w:p>
        </w:tc>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606 071</w:t>
            </w:r>
          </w:p>
        </w:tc>
        <w:tc>
          <w:tcPr>
            <w:tcW w:type="dxa" w:w="4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Основная сопоставимая районная серия</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31.12.2025</w:t>
            </w:r>
          </w:p>
        </w:tc>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649 237</w:t>
            </w:r>
          </w:p>
        </w:tc>
        <w:tc>
          <w:tcPr>
            <w:tcW w:type="dxa" w:w="4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Основная сопоставимая районная серия</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01.07.2026</w:t>
            </w:r>
          </w:p>
        </w:tc>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674 433</w:t>
            </w:r>
          </w:p>
        </w:tc>
        <w:tc>
          <w:tcPr>
            <w:tcW w:type="dxa" w:w="4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Основная сопоставимая районная серия</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Альтернативные источники</w:t>
            </w:r>
          </w:p>
        </w:tc>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613 812; 650 285; 652 104; 652 543</w:t>
            </w:r>
          </w:p>
        </w:tc>
        <w:tc>
          <w:tcPr>
            <w:tcW w:type="dxa" w:w="4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Сохраняются отдельно до сверки знаменателя</w:t>
            </w:r>
          </w:p>
        </w:tc>
      </w:tr>
    </w:tbl>
    <w:p>
      <w:pPr>
        <w:spacing w:after="40"/>
      </w:pP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Правило представления. </w:t>
      </w:r>
      <w:r>
        <w:rPr>
          <w:rFonts w:ascii="Calibri" w:hAnsi="Calibri" w:eastAsia="Calibri"/>
          <w:color w:val="0B2545"/>
        </w:rPr>
        <w:t>606 071 -&gt; 649 237 -&gt; 674 433 используется как сопоставимый ряд. Альтернативные значения не объявляются ошибочными, но не смешиваются с основной динамикой без описания периметра.</w:t>
      </w:r>
    </w:p>
    <w:p>
      <w:pPr>
        <w:pStyle w:val="Heading2"/>
        <w:keepLines/>
        <w:widowControl/>
      </w:pPr>
      <w:r>
        <w:rPr>
          <w:rFonts w:ascii="Calibri" w:hAnsi="Calibri" w:eastAsia="Calibri"/>
        </w:rPr>
        <w:t>Приборы учёта</w:t>
      </w:r>
    </w:p>
    <w:tbl>
      <w:tblPr>
        <w:tblW w:type="dxa" w:w="9360"/>
        <w:tblLayout w:type="fixed"/>
        <w:tblLook w:firstColumn="1" w:firstRow="1" w:lastColumn="0" w:lastRow="0" w:noHBand="0" w:noVBand="1" w:val="04A0"/>
        <w:jc w:val="left"/>
        <w:tblInd w:w="120" w:type="dxa"/>
      </w:tblPr>
      <w:tblGrid>
        <w:gridCol w:w="3400"/>
        <w:gridCol w:w="2000"/>
        <w:gridCol w:w="3960"/>
      </w:tblGrid>
      <w:tr>
        <w:trPr>
          <w:tblHeader w:val="true"/>
          <w:cantSplit w:val="true"/>
        </w:trPr>
        <w:tc>
          <w:tcPr>
            <w:tcW w:type="dxa" w:w="3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Показатель</w:t>
            </w:r>
          </w:p>
        </w:tc>
        <w:tc>
          <w:tcPr>
            <w:tcW w:type="dxa" w:w="20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Значение</w:t>
            </w:r>
          </w:p>
        </w:tc>
        <w:tc>
          <w:tcPr>
            <w:tcW w:type="dxa" w:w="39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Комментарий</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Потребители с приборами учёта</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516 489 из 674 433; 77%</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Показатель охвата потребителей на 01.07.2026</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Установленные приборы</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777 567</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Не равны числу потребителей</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Работающие приборы</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639 724</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82,3% от установленных</w:t>
            </w:r>
          </w:p>
        </w:tc>
      </w:tr>
    </w:tbl>
    <w:p>
      <w:pPr>
        <w:spacing w:after="40"/>
      </w:pPr>
    </w:p>
    <w:p>
      <w:pPr>
        <w:pStyle w:val="Heading2"/>
        <w:keepLines/>
        <w:widowControl/>
      </w:pPr>
      <w:r>
        <w:rPr>
          <w:rFonts w:ascii="Calibri" w:hAnsi="Calibri" w:eastAsia="Calibri"/>
        </w:rPr>
        <w:t>Дистанционный съём</w:t>
      </w:r>
    </w:p>
    <w:tbl>
      <w:tblPr>
        <w:tblW w:type="dxa" w:w="9360"/>
        <w:tblLayout w:type="fixed"/>
        <w:tblLook w:firstColumn="1" w:firstRow="1" w:lastColumn="0" w:lastRow="0" w:noHBand="0" w:noVBand="1" w:val="04A0"/>
        <w:jc w:val="left"/>
        <w:tblInd w:w="120" w:type="dxa"/>
      </w:tblPr>
      <w:tblGrid>
        <w:gridCol w:w="2400"/>
        <w:gridCol w:w="2200"/>
        <w:gridCol w:w="2300"/>
        <w:gridCol w:w="2460"/>
      </w:tblGrid>
      <w:tr>
        <w:trPr>
          <w:tblHeader w:val="true"/>
          <w:cantSplit w:val="true"/>
        </w:trPr>
        <w:tc>
          <w:tcPr>
            <w:tcW w:type="dxa" w:w="2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Период</w:t>
            </w:r>
          </w:p>
        </w:tc>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Подключено</w:t>
            </w:r>
          </w:p>
        </w:tc>
        <w:tc>
          <w:tcPr>
            <w:tcW w:type="dxa" w:w="23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Передают данные</w:t>
            </w:r>
          </w:p>
        </w:tc>
        <w:tc>
          <w:tcPr>
            <w:tcW w:type="dxa" w:w="24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Доля передачи</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2024</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109 896</w:t>
            </w:r>
          </w:p>
        </w:tc>
        <w:tc>
          <w:tcPr>
            <w:tcW w:type="dxa" w:w="2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21 998</w:t>
            </w:r>
          </w:p>
        </w:tc>
        <w:tc>
          <w:tcPr>
            <w:tcW w:type="dxa" w:w="24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20,0%</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2025</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130 394</w:t>
            </w:r>
          </w:p>
        </w:tc>
        <w:tc>
          <w:tcPr>
            <w:tcW w:type="dxa" w:w="2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24 656</w:t>
            </w:r>
          </w:p>
        </w:tc>
        <w:tc>
          <w:tcPr>
            <w:tcW w:type="dxa" w:w="24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18,9%</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10.08.2026</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151 048</w:t>
            </w:r>
          </w:p>
        </w:tc>
        <w:tc>
          <w:tcPr>
            <w:tcW w:type="dxa" w:w="2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29 399</w:t>
            </w:r>
          </w:p>
        </w:tc>
        <w:tc>
          <w:tcPr>
            <w:tcW w:type="dxa" w:w="24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19,46%</w:t>
            </w:r>
          </w:p>
        </w:tc>
      </w:tr>
    </w:tbl>
    <w:p>
      <w:pPr>
        <w:spacing w:after="40"/>
      </w:pPr>
    </w:p>
    <w:p>
      <w:pPr>
        <w:keepLines/>
        <w:widowControl/>
      </w:pPr>
      <w:r>
        <w:rPr>
          <w:rFonts w:ascii="Calibri" w:hAnsi="Calibri" w:eastAsia="Calibri"/>
        </w:rPr>
        <w:t>Количество подключённых дистанционных приборов растёт, однако фактически передаёт данные примерно каждый пятый. Поэтому целевым показателем должен быть не объём установок, а доля устойчиво передающих приборов, полнота суточных данных и фактическое использование показаний в расчётах и выявлении потерь.</w:t>
      </w:r>
    </w:p>
    <w:p>
      <w:pPr>
        <w:pStyle w:val="Heading2"/>
        <w:keepLines/>
        <w:widowControl/>
      </w:pPr>
      <w:r>
        <w:rPr>
          <w:rFonts w:ascii="Calibri" w:hAnsi="Calibri" w:eastAsia="Calibri"/>
        </w:rPr>
        <w:t>Качество обслуживания</w:t>
      </w:r>
    </w:p>
    <w:p>
      <w:pPr>
        <w:keepLines/>
        <w:widowControl/>
      </w:pPr>
      <w:r>
        <w:rPr>
          <w:rFonts w:ascii="Calibri" w:hAnsi="Calibri" w:eastAsia="Calibri"/>
        </w:rPr>
        <w:t>В исходном файле по районам представлены как отрицательные перерасчёты, так и дополнительные начисления. Ниже показана арифметическая сумма подписанных значений без НДС; это не количество обращений и не показатель удовлетворённости клиента.</w:t>
      </w:r>
    </w:p>
    <w:tbl>
      <w:tblPr>
        <w:tblW w:type="dxa" w:w="9360"/>
        <w:tblLayout w:type="fixed"/>
        <w:tblLook w:firstColumn="1" w:firstRow="1" w:lastColumn="0" w:lastRow="0" w:noHBand="0" w:noVBand="1" w:val="04A0"/>
        <w:jc w:val="left"/>
        <w:tblInd w:w="120" w:type="dxa"/>
      </w:tblPr>
      <w:tblGrid>
        <w:gridCol w:w="3400"/>
        <w:gridCol w:w="1980"/>
        <w:gridCol w:w="1980"/>
        <w:gridCol w:w="2000"/>
      </w:tblGrid>
      <w:tr>
        <w:trPr>
          <w:tblHeader w:val="true"/>
          <w:cantSplit w:val="true"/>
        </w:trPr>
        <w:tc>
          <w:tcPr>
            <w:tcW w:type="dxa" w:w="3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Операция</w:t>
            </w:r>
          </w:p>
        </w:tc>
        <w:tc>
          <w:tcPr>
            <w:tcW w:type="dxa" w:w="198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2024</w:t>
            </w:r>
          </w:p>
        </w:tc>
        <w:tc>
          <w:tcPr>
            <w:tcW w:type="dxa" w:w="198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2025</w:t>
            </w:r>
          </w:p>
        </w:tc>
        <w:tc>
          <w:tcPr>
            <w:tcW w:type="dxa" w:w="20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I полугодие 2026</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Перерасчёт водоснабжения</w:t>
            </w:r>
          </w:p>
        </w:tc>
        <w:tc>
          <w:tcPr>
            <w:tcW w:type="dxa" w:w="19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-120,09 млн ₸</w:t>
            </w:r>
          </w:p>
        </w:tc>
        <w:tc>
          <w:tcPr>
            <w:tcW w:type="dxa" w:w="19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-222,56 млн ₸</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-65,43 млн ₸</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Перерасчёт водоотведения</w:t>
            </w:r>
          </w:p>
        </w:tc>
        <w:tc>
          <w:tcPr>
            <w:tcW w:type="dxa" w:w="19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-65,62 млн ₸</w:t>
            </w:r>
          </w:p>
        </w:tc>
        <w:tc>
          <w:tcPr>
            <w:tcW w:type="dxa" w:w="19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-119,18 млн ₸</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-28,05 млн ₸</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Дополнительные начисления: водоснабжение</w:t>
            </w:r>
          </w:p>
        </w:tc>
        <w:tc>
          <w:tcPr>
            <w:tcW w:type="dxa" w:w="19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+356,40 млн ₸</w:t>
            </w:r>
          </w:p>
        </w:tc>
        <w:tc>
          <w:tcPr>
            <w:tcW w:type="dxa" w:w="19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+166,16 млн ₸</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+77,78 млн ₸</w:t>
            </w:r>
          </w:p>
        </w:tc>
      </w:tr>
      <w:tr>
        <w:trPr>
          <w:cantSplit w:val="true"/>
        </w:trPr>
        <w:tc>
          <w:tcPr>
            <w:tcW w:type="dxa" w:w="3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Дополнительные начисления: водоотведение</w:t>
            </w:r>
          </w:p>
        </w:tc>
        <w:tc>
          <w:tcPr>
            <w:tcW w:type="dxa" w:w="19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+73,39 млн ₸</w:t>
            </w:r>
          </w:p>
        </w:tc>
        <w:tc>
          <w:tcPr>
            <w:tcW w:type="dxa" w:w="19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+25,69 млн ₸</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+39,72 млн ₸</w:t>
            </w:r>
          </w:p>
        </w:tc>
      </w:tr>
    </w:tbl>
    <w:p>
      <w:pPr>
        <w:spacing w:after="40"/>
      </w:pPr>
    </w:p>
    <w:p>
      <w:pPr>
        <w:keepLines/>
        <w:widowControl/>
      </w:pPr>
      <w:r>
        <w:rPr>
          <w:rFonts w:ascii="Calibri" w:hAnsi="Calibri" w:eastAsia="Calibri"/>
        </w:rPr>
        <w:t>Денежный и объёмный контур перерасчётов уже представлен, поэтому повторно запрашивать его не требуется. Не хватает числа случаев и причин перерасчёта, обращений, жалоб, повторных обращений, сроков ответа и утверждённого SLA. Без этих показателей рост клиентской базы нельзя дополнить оценкой клиентского результата.</w:t>
      </w:r>
    </w:p>
    <w:p>
      <w:pPr>
        <w:pStyle w:val="SourceNote"/>
        <w:keepLines/>
        <w:widowControl/>
        <w:spacing w:before="80" w:after="160"/>
      </w:pPr>
      <w:r>
        <w:rPr>
          <w:rFonts w:ascii="Calibri" w:hAnsi="Calibri" w:eastAsia="Calibri"/>
        </w:rPr>
        <w:t>Основные источники: Кол-во потребителей и ИПУ по районам.xlsx; Пункт 8 Отдел мониторинга приборов коммерческого учета.xlsx; Отчет об исп ТС и ИП 1 пг 2026 рус финал.pptx; Начисление по Нормативному потреблению 2024-2026.xlsx; Дополнительные начисления и перерасчеты.xlsx.</w:t>
      </w:r>
    </w:p>
    <w:p>
      <w:pPr>
        <w:pStyle w:val="Heading1"/>
        <w:spacing w:before="0"/>
        <w:keepNext/>
      </w:pPr>
      <w:r>
        <w:t>9. Дебиторская задолженность и платёжная дисциплина</w:t>
      </w:r>
    </w:p>
    <w:p>
      <w:pPr>
        <w:pStyle w:val="Lead"/>
        <w:keepLines/>
        <w:widowControl/>
      </w:pPr>
      <w:r>
        <w:rPr>
          <w:rFonts w:ascii="Calibri" w:hAnsi="Calibri" w:eastAsia="Calibri"/>
        </w:rPr>
        <w:t>Дебиторскую задолженность нельзя описывать одной цифрой: источники используют разные составы и даты. В отчёте разделены бухгалтерская дебиторская задолженность, рабочий контур задолженности потребителей, просроченный портфель и гарантийные обязательства.</w:t>
      </w:r>
    </w:p>
    <w:tbl>
      <w:tblPr>
        <w:tblW w:type="dxa" w:w="9360"/>
        <w:tblLayout w:type="fixed"/>
        <w:tblLook w:firstColumn="1" w:firstRow="1" w:lastColumn="0" w:lastRow="0" w:noHBand="0" w:noVBand="1" w:val="04A0"/>
        <w:jc w:val="left"/>
        <w:tblInd w:w="120" w:type="dxa"/>
      </w:tblPr>
      <w:tblGrid>
        <w:gridCol w:w="2600"/>
        <w:gridCol w:w="1550"/>
        <w:gridCol w:w="1700"/>
        <w:gridCol w:w="3510"/>
      </w:tblGrid>
      <w:tr>
        <w:trPr>
          <w:tblHeader w:val="true"/>
          <w:cantSplit w:val="true"/>
        </w:trPr>
        <w:tc>
          <w:tcPr>
            <w:tcW w:type="dxa" w:w="2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Контур</w:t>
            </w:r>
          </w:p>
        </w:tc>
        <w:tc>
          <w:tcPr>
            <w:tcW w:type="dxa" w:w="15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Дата / период</w:t>
            </w:r>
          </w:p>
        </w:tc>
        <w:tc>
          <w:tcPr>
            <w:tcW w:type="dxa" w:w="17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Сумма</w:t>
            </w:r>
          </w:p>
        </w:tc>
        <w:tc>
          <w:tcPr>
            <w:tcW w:type="dxa" w:w="35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Что означает</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Бухгалтерская дебиторская задолженность</w:t>
            </w:r>
          </w:p>
        </w:tc>
        <w:tc>
          <w:tcPr>
            <w:tcW w:type="dxa" w:w="15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I полугодие 2026</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6 168,054 млн ₸</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Широкий бухгалтерский состав; не равен рабочему потребительскому портфелю</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Специализированный рабочий контур</w:t>
            </w:r>
          </w:p>
        </w:tc>
        <w:tc>
          <w:tcPr>
            <w:tcW w:type="dxa" w:w="15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01.07.2026</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1 105 млн ₸</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Включает 178 млн ₸ принятых гарантийных обязательств</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Рабочий контур без гарантий</w:t>
            </w:r>
          </w:p>
        </w:tc>
        <w:tc>
          <w:tcPr>
            <w:tcW w:type="dxa" w:w="15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01.07.2026</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927 млн ₸</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Результат выделения гарантий из 1 105 млн ₸</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Просрочка свыше 2 месяцев</w:t>
            </w:r>
          </w:p>
        </w:tc>
        <w:tc>
          <w:tcPr>
            <w:tcW w:type="dxa" w:w="15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18.06.2026</w:t>
            </w:r>
          </w:p>
        </w:tc>
        <w:tc>
          <w:tcPr>
            <w:tcW w:type="dxa" w:w="1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966 млн ₸</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40 416 должников; иной порог и дата</w:t>
            </w:r>
          </w:p>
        </w:tc>
      </w:tr>
    </w:tbl>
    <w:p>
      <w:pPr>
        <w:spacing w:after="40"/>
      </w:pPr>
    </w:p>
    <w:p>
      <w:pPr>
        <w:pStyle w:val="Callout"/>
        <w:keepLines/>
        <w:spacing w:before="80" w:after="160"/>
        <w:ind w:left="230" w:right="144"/>
        <w:shd w:fill="FCEBEC"/>
        <w:pBdr>
          <w:start w:val="single" w:sz="16" w:space="8" w:color="9B1C1C"/>
        </w:pBdr>
        <w:widowControl/>
      </w:pPr>
      <w:r>
        <w:rPr>
          <w:rFonts w:ascii="Calibri" w:hAnsi="Calibri" w:eastAsia="Calibri"/>
          <w:b/>
          <w:color w:val="9B1C1C"/>
        </w:rPr>
        <w:t xml:space="preserve">Недопустимое сравнение. </w:t>
      </w:r>
      <w:r>
        <w:rPr>
          <w:rFonts w:ascii="Calibri" w:hAnsi="Calibri" w:eastAsia="Calibri"/>
          <w:color w:val="0B2545"/>
        </w:rPr>
        <w:t>Нельзя интерпретировать 966 млн ₸ на 18.06.2026 и 1 105 млн ₸ на 01.07.2026 как динамику роста: показатели различаются по дате, составу и порогу просрочки.</w:t>
      </w:r>
    </w:p>
    <w:p>
      <w:pPr>
        <w:pStyle w:val="Heading2"/>
        <w:keepLines/>
        <w:widowControl/>
      </w:pPr>
      <w:r>
        <w:rPr>
          <w:rFonts w:ascii="Calibri" w:hAnsi="Calibri" w:eastAsia="Calibri"/>
        </w:rPr>
        <w:t>Работа по взысканию</w:t>
      </w:r>
    </w:p>
    <w:p>
      <w:pPr>
        <w:keepLines/>
        <w:numPr>
          <w:ilvl w:val="0"/>
          <w:numId w:val="10"/>
        </w:numPr>
        <w:spacing w:after="160" w:line="280" w:lineRule="auto"/>
        <w:widowControl/>
      </w:pPr>
      <w:r>
        <w:rPr>
          <w:rFonts w:ascii="Calibri" w:hAnsi="Calibri" w:eastAsia="Calibri"/>
        </w:rPr>
        <w:t>направлено 13 968 досудебных уведомлений на 2,2 млрд ₸; по материалу оплачено около 1 млрд ₸;</w:t>
      </w:r>
    </w:p>
    <w:p>
      <w:pPr>
        <w:keepLines/>
        <w:numPr>
          <w:ilvl w:val="0"/>
          <w:numId w:val="10"/>
        </w:numPr>
        <w:spacing w:after="160" w:line="280" w:lineRule="auto"/>
        <w:widowControl/>
      </w:pPr>
      <w:r>
        <w:rPr>
          <w:rFonts w:ascii="Calibri" w:hAnsi="Calibri" w:eastAsia="Calibri"/>
        </w:rPr>
        <w:t>до ограничения услуг отработано 4 413 потребителей; оплачено 92,355 млн ₸;</w:t>
      </w:r>
    </w:p>
    <w:p>
      <w:pPr>
        <w:keepLines/>
        <w:numPr>
          <w:ilvl w:val="0"/>
          <w:numId w:val="10"/>
        </w:numPr>
        <w:spacing w:after="160" w:line="280" w:lineRule="auto"/>
        <w:widowControl/>
      </w:pPr>
      <w:r>
        <w:rPr>
          <w:rFonts w:ascii="Calibri" w:hAnsi="Calibri" w:eastAsia="Calibri"/>
        </w:rPr>
        <w:t>для оценки эффективности необходим единый отчёт: входящий портфель, новые начисления, оплаты, списания, гарантии, судебное взыскание и остаток.</w:t>
      </w:r>
    </w:p>
    <w:p>
      <w:pPr>
        <w:pStyle w:val="Heading2"/>
        <w:keepLines/>
        <w:widowControl/>
      </w:pPr>
      <w:r>
        <w:rPr>
          <w:rFonts w:ascii="Calibri" w:hAnsi="Calibri" w:eastAsia="Calibri"/>
        </w:rPr>
        <w:t>Требуемый мост сверки</w:t>
      </w:r>
    </w:p>
    <w:tbl>
      <w:tblPr>
        <w:tblW w:type="dxa" w:w="9360"/>
        <w:tblLayout w:type="fixed"/>
        <w:tblLook w:firstColumn="1" w:firstRow="1" w:lastColumn="0" w:lastRow="0" w:noHBand="0" w:noVBand="1" w:val="04A0"/>
        <w:jc w:val="left"/>
        <w:tblInd w:w="120" w:type="dxa"/>
      </w:tblPr>
      <w:tblGrid>
        <w:gridCol w:w="1100"/>
        <w:gridCol w:w="8260"/>
      </w:tblGrid>
      <w:tr>
        <w:trPr>
          <w:tblHeader w:val="true"/>
          <w:cantSplit w:val="true"/>
        </w:trPr>
        <w:tc>
          <w:tcPr>
            <w:tcW w:type="dxa" w:w="1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Шаг</w:t>
            </w:r>
          </w:p>
        </w:tc>
        <w:tc>
          <w:tcPr>
            <w:tcW w:type="dxa" w:w="82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Содержание</w:t>
            </w:r>
          </w:p>
        </w:tc>
      </w:tr>
      <w:tr>
        <w:trPr>
          <w:cantSplit w:val="true"/>
        </w:trPr>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w:t>
            </w:r>
          </w:p>
        </w:tc>
        <w:tc>
          <w:tcPr>
            <w:tcW w:type="dxa" w:w="8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Бухгалтерская ДЗ на начало периода</w:t>
            </w:r>
          </w:p>
        </w:tc>
      </w:tr>
      <w:tr>
        <w:trPr>
          <w:cantSplit w:val="true"/>
        </w:trPr>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w:t>
            </w:r>
          </w:p>
        </w:tc>
        <w:tc>
          <w:tcPr>
            <w:tcW w:type="dxa" w:w="8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 начисления и прочие увеличения</w:t>
            </w:r>
          </w:p>
        </w:tc>
      </w:tr>
      <w:tr>
        <w:trPr>
          <w:cantSplit w:val="true"/>
        </w:trPr>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w:t>
            </w:r>
          </w:p>
        </w:tc>
        <w:tc>
          <w:tcPr>
            <w:tcW w:type="dxa" w:w="8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 оплаты, корректировки и списания</w:t>
            </w:r>
          </w:p>
        </w:tc>
      </w:tr>
      <w:tr>
        <w:trPr>
          <w:cantSplit w:val="true"/>
        </w:trPr>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w:t>
            </w:r>
          </w:p>
        </w:tc>
        <w:tc>
          <w:tcPr>
            <w:tcW w:type="dxa" w:w="8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 гарантийные обязательства и иные отдельные портфели</w:t>
            </w:r>
          </w:p>
        </w:tc>
      </w:tr>
      <w:tr>
        <w:trPr>
          <w:cantSplit w:val="true"/>
        </w:trPr>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5</w:t>
            </w:r>
          </w:p>
        </w:tc>
        <w:tc>
          <w:tcPr>
            <w:tcW w:type="dxa" w:w="8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 бухгалтерская ДЗ на конец периода</w:t>
            </w:r>
          </w:p>
        </w:tc>
      </w:tr>
      <w:tr>
        <w:trPr>
          <w:cantSplit w:val="true"/>
        </w:trPr>
        <w:tc>
          <w:tcPr>
            <w:tcW w:type="dxa" w:w="1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6</w:t>
            </w:r>
          </w:p>
        </w:tc>
        <w:tc>
          <w:tcPr>
            <w:tcW w:type="dxa" w:w="8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Отдельная расшифровка потребительской, просроченной и судебной задолженности</w:t>
            </w:r>
          </w:p>
        </w:tc>
      </w:tr>
    </w:tbl>
    <w:p>
      <w:pPr>
        <w:spacing w:after="40"/>
      </w:pPr>
    </w:p>
    <w:p>
      <w:pPr>
        <w:pStyle w:val="SourceNote"/>
        <w:keepLines/>
        <w:widowControl/>
        <w:spacing w:before="80" w:after="160"/>
      </w:pPr>
      <w:r>
        <w:rPr>
          <w:rFonts w:ascii="Calibri" w:hAnsi="Calibri" w:eastAsia="Calibri"/>
        </w:rPr>
        <w:t>Основные источники: Презентация по ДЗ 01 июля 2026 (1).pptx; ДЗ свыше 1 мес по районам.xlsx; Дебиторская задолженность 2024-2025 год.xlsx; Сравнительная таблица Бухгалтерия.xlsx.</w:t>
      </w:r>
    </w:p>
    <w:p>
      <w:pPr>
        <w:pStyle w:val="Heading1"/>
        <w:spacing w:before="0"/>
        <w:keepNext/>
      </w:pPr>
      <w:r>
        <w:t>10. Тарифная экономика и финансовое состояние</w:t>
      </w:r>
    </w:p>
    <w:p>
      <w:pPr>
        <w:pStyle w:val="Lead"/>
        <w:keepLines/>
        <w:widowControl/>
      </w:pPr>
      <w:r>
        <w:rPr>
          <w:rFonts w:ascii="Calibri" w:hAnsi="Calibri" w:eastAsia="Calibri"/>
        </w:rPr>
        <w:t>Финансовая оценка разделяется на аудированную бухгалтерскую отчётность, оперативный бухгалтерский результат и результат исполнения тарифной сметы. Эти контуры отвечают на разные вопросы и не суммируются напрямую.</w:t>
      </w:r>
    </w:p>
    <w:p>
      <w:pPr>
        <w:pStyle w:val="Heading2"/>
        <w:keepLines/>
        <w:widowControl/>
      </w:pPr>
      <w:r>
        <w:rPr>
          <w:rFonts w:ascii="Calibri" w:hAnsi="Calibri" w:eastAsia="Calibri"/>
        </w:rPr>
        <w:t>Аудированный финансовый результат</w:t>
      </w:r>
    </w:p>
    <w:tbl>
      <w:tblPr>
        <w:tblW w:type="dxa" w:w="9360"/>
        <w:tblLayout w:type="fixed"/>
        <w:tblLook w:firstColumn="1" w:firstRow="1" w:lastColumn="0" w:lastRow="0" w:noHBand="0" w:noVBand="1" w:val="04A0"/>
        <w:jc w:val="left"/>
        <w:tblInd w:w="120" w:type="dxa"/>
      </w:tblPr>
      <w:tblGrid>
        <w:gridCol w:w="2200"/>
        <w:gridCol w:w="2400"/>
        <w:gridCol w:w="4760"/>
      </w:tblGrid>
      <w:tr>
        <w:trPr>
          <w:tblHeader w:val="true"/>
          <w:cantSplit w:val="true"/>
        </w:trPr>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Период</w:t>
            </w:r>
          </w:p>
        </w:tc>
        <w:tc>
          <w:tcPr>
            <w:tcW w:type="dxa" w:w="2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Чистый результат</w:t>
            </w:r>
          </w:p>
        </w:tc>
        <w:tc>
          <w:tcPr>
            <w:tcW w:type="dxa" w:w="47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Источник / статус</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2024</w:t>
            </w:r>
          </w:p>
        </w:tc>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-2,416 млрд ₸</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Аудированная финансовая отчётность</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2025</w:t>
            </w:r>
          </w:p>
        </w:tc>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+2,654 млрд ₸</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Аудированная финансовая отчётность</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I полугодие 2026</w:t>
            </w:r>
          </w:p>
        </w:tc>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-1,136846 млрд ₸</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Оперативный бухгалтерский контур</w:t>
            </w:r>
          </w:p>
        </w:tc>
      </w:tr>
    </w:tbl>
    <w:p>
      <w:pPr>
        <w:spacing w:after="40"/>
      </w:pPr>
    </w:p>
    <w:p>
      <w:pPr>
        <w:pStyle w:val="Heading2"/>
        <w:keepLines/>
        <w:widowControl/>
      </w:pPr>
      <w:r>
        <w:rPr>
          <w:rFonts w:ascii="Calibri" w:hAnsi="Calibri" w:eastAsia="Calibri"/>
        </w:rPr>
        <w:t>Тарифный результат I полугодия 2026 года</w:t>
      </w:r>
    </w:p>
    <w:tbl>
      <w:tblPr>
        <w:tblW w:type="dxa" w:w="9360"/>
        <w:tblLayout w:type="fixed"/>
        <w:tblLook w:firstColumn="1" w:firstRow="1" w:lastColumn="0" w:lastRow="0" w:noHBand="0" w:noVBand="1" w:val="04A0"/>
        <w:jc w:val="left"/>
        <w:tblInd w:w="120" w:type="dxa"/>
      </w:tblPr>
      <w:tblGrid>
        <w:gridCol w:w="1900"/>
        <w:gridCol w:w="1800"/>
        <w:gridCol w:w="1900"/>
        <w:gridCol w:w="1900"/>
        <w:gridCol w:w="1860"/>
      </w:tblGrid>
      <w:tr>
        <w:trPr>
          <w:tblHeader w:val="true"/>
          <w:cantSplit w:val="true"/>
        </w:trPr>
        <w:tc>
          <w:tcPr>
            <w:tcW w:type="dxa" w:w="1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Услуга</w:t>
            </w:r>
          </w:p>
        </w:tc>
        <w:tc>
          <w:tcPr>
            <w:tcW w:type="dxa" w:w="18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Результат</w:t>
            </w:r>
          </w:p>
        </w:tc>
        <w:tc>
          <w:tcPr>
            <w:tcW w:type="dxa" w:w="1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Себестоимость, ₸/м3</w:t>
            </w:r>
          </w:p>
        </w:tc>
        <w:tc>
          <w:tcPr>
            <w:tcW w:type="dxa" w:w="1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Средний тариф, ₸/м3</w:t>
            </w:r>
          </w:p>
        </w:tc>
        <w:tc>
          <w:tcPr>
            <w:tcW w:type="dxa" w:w="18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Покрытие, расчёт</w:t>
            </w:r>
          </w:p>
        </w:tc>
      </w:tr>
      <w:tr>
        <w:trPr>
          <w:cantSplit w:val="true"/>
        </w:trPr>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Водоснабжение</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-1,348820 млрд ₸</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135,43</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121,60</w:t>
            </w:r>
          </w:p>
        </w:tc>
        <w:tc>
          <w:tcPr>
            <w:tcW w:type="dxa" w:w="1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89,8%</w:t>
            </w:r>
          </w:p>
        </w:tc>
      </w:tr>
      <w:tr>
        <w:trPr>
          <w:cantSplit w:val="true"/>
        </w:trPr>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Водоотведение</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-1,183781 млрд ₸</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89,73</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74,31</w:t>
            </w:r>
          </w:p>
        </w:tc>
        <w:tc>
          <w:tcPr>
            <w:tcW w:type="dxa" w:w="1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82,8%</w:t>
            </w:r>
          </w:p>
        </w:tc>
      </w:tr>
      <w:tr>
        <w:trPr>
          <w:cantSplit w:val="true"/>
        </w:trPr>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Сумма услуг</w:t>
            </w:r>
          </w:p>
        </w:tc>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-2,533 млрд ₸</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w:t>
            </w:r>
          </w:p>
        </w:tc>
        <w:tc>
          <w:tcPr>
            <w:tcW w:type="dxa" w:w="1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Не бухгалтерский результат</w:t>
            </w:r>
          </w:p>
        </w:tc>
      </w:tr>
    </w:tbl>
    <w:p>
      <w:pPr>
        <w:spacing w:after="40"/>
      </w:pP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Методологическое ограничение. </w:t>
      </w:r>
      <w:r>
        <w:rPr>
          <w:rFonts w:ascii="Calibri" w:hAnsi="Calibri" w:eastAsia="Calibri"/>
          <w:color w:val="0B2545"/>
        </w:rPr>
        <w:t>-2,533 млрд ₸ является суммой тарифных результатов двух услуг; -1,136846 млрд ₸ относится к оперативному бухгалтерскому результату. Показатели не суммируются и не сопоставляются напрямую без reconciliation.</w:t>
      </w:r>
    </w:p>
    <w:p>
      <w:pPr>
        <w:pStyle w:val="Heading2"/>
        <w:keepLines/>
        <w:widowControl/>
      </w:pPr>
      <w:r>
        <w:rPr>
          <w:rFonts w:ascii="Calibri" w:hAnsi="Calibri" w:eastAsia="Calibri"/>
        </w:rPr>
        <w:t>Активы и переданное имущество</w:t>
      </w:r>
    </w:p>
    <w:p>
      <w:pPr>
        <w:keepLines/>
        <w:widowControl/>
      </w:pPr>
      <w:r>
        <w:rPr>
          <w:rFonts w:ascii="Calibri" w:hAnsi="Calibri" w:eastAsia="Calibri"/>
        </w:rPr>
        <w:t>В 2025 году активы предприятия выросли примерно на 30%. Передача новых объектов увеличивает не только балансовую стоимость, но и расходы на электроэнергию, амортизацию, ремонт, налоги и персонал. В управленческом расчёте отражён контур переданного имущества 73,2 млрд ₸ с непокрытыми расходами около 5,0 млрд ₸. Отдельный бухгалтерский файл содержит строки на 85,115 млрд ₸ с неясным пересечением периодов; суммы не объединяются до сверки.</w:t>
      </w:r>
    </w:p>
    <w:p>
      <w:pPr>
        <w:pStyle w:val="Heading2"/>
        <w:keepLines/>
        <w:widowControl/>
      </w:pPr>
      <w:r>
        <w:rPr>
          <w:rFonts w:ascii="Calibri" w:hAnsi="Calibri" w:eastAsia="Calibri"/>
        </w:rPr>
        <w:t>Финансовый вывод</w:t>
      </w:r>
    </w:p>
    <w:p>
      <w:pPr>
        <w:keepLines/>
        <w:widowControl/>
      </w:pPr>
      <w:r>
        <w:rPr>
          <w:rFonts w:ascii="Calibri" w:hAnsi="Calibri" w:eastAsia="Calibri"/>
        </w:rPr>
        <w:t>Положительный результат 2025 года не отменяет структурную проблему покрытия затрат регулируемыми доходами в 2026 году. Для управленческого решения нужен единый мост между аудированной отчётностью, тарифными формами, переданными активами, государственными субсидиями и фактическими OPEX.</w:t>
      </w:r>
    </w:p>
    <w:p>
      <w:pPr>
        <w:pStyle w:val="SourceNote"/>
        <w:keepLines/>
        <w:widowControl/>
        <w:spacing w:before="80" w:after="160"/>
      </w:pPr>
      <w:r>
        <w:rPr>
          <w:rFonts w:ascii="Calibri" w:hAnsi="Calibri" w:eastAsia="Calibri"/>
        </w:rPr>
        <w:t>Основные источники: Финансовая отчётноcть от 31 декабря 2024 год.pdf; Финансовая отчетность и аудиторское заключение за 2025 г..pdf; Отчет исп ТС ВС 1пг 2026.xlsx; Отчет исп ТС ВО 1пг 2026.xlsx; Стоимость переданного имущества.xlsx.</w:t>
      </w:r>
    </w:p>
    <w:p>
      <w:pPr>
        <w:pStyle w:val="Heading1"/>
        <w:spacing w:before="0"/>
        <w:keepNext/>
      </w:pPr>
      <w:r>
        <w:t>11. Инвестиционная программа</w:t>
      </w:r>
    </w:p>
    <w:p>
      <w:pPr>
        <w:pStyle w:val="Lead"/>
        <w:keepLines/>
        <w:widowControl/>
      </w:pPr>
      <w:r>
        <w:rPr>
          <w:rFonts w:ascii="Calibri" w:hAnsi="Calibri" w:eastAsia="Calibri"/>
        </w:rPr>
        <w:t>Инвестиционная программа является главным инструментом обновления и расширения инфраструктуры. По 2025 году официальные материалы фиксируют высокое финансовое исполнение; в 2026 году на август физическое и финансовое выполнение существенно отстают от уровня заключения договоров.</w:t>
      </w:r>
    </w:p>
    <w:p>
      <w:pPr>
        <w:pStyle w:val="Heading2"/>
        <w:keepLines/>
        <w:widowControl/>
      </w:pPr>
      <w:r>
        <w:rPr>
          <w:rFonts w:ascii="Calibri" w:hAnsi="Calibri" w:eastAsia="Calibri"/>
        </w:rPr>
        <w:t>Результаты 2024-2025 годов</w:t>
      </w:r>
    </w:p>
    <w:tbl>
      <w:tblPr>
        <w:tblW w:type="dxa" w:w="9360"/>
        <w:tblLayout w:type="fixed"/>
        <w:tblLook w:firstColumn="1" w:firstRow="1" w:lastColumn="0" w:lastRow="0" w:noHBand="0" w:noVBand="1" w:val="04A0"/>
        <w:jc w:val="left"/>
        <w:tblInd w:w="120" w:type="dxa"/>
      </w:tblPr>
      <w:tblGrid>
        <w:gridCol w:w="1800"/>
        <w:gridCol w:w="2200"/>
        <w:gridCol w:w="2200"/>
        <w:gridCol w:w="3160"/>
      </w:tblGrid>
      <w:tr>
        <w:trPr>
          <w:tblHeader w:val="true"/>
          <w:cantSplit w:val="true"/>
        </w:trPr>
        <w:tc>
          <w:tcPr>
            <w:tcW w:type="dxa" w:w="18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Период</w:t>
            </w:r>
          </w:p>
        </w:tc>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Водоснабжение</w:t>
            </w:r>
          </w:p>
        </w:tc>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Водоотведение</w:t>
            </w:r>
          </w:p>
        </w:tc>
        <w:tc>
          <w:tcPr>
            <w:tcW w:type="dxa" w:w="31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Комментарий</w:t>
            </w:r>
          </w:p>
        </w:tc>
      </w:tr>
      <w:tr>
        <w:trPr>
          <w:cantSplit w:val="true"/>
        </w:trPr>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2024</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Исполнение неполное</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Исполнение раскрыто в профильном отчёте</w:t>
            </w:r>
          </w:p>
        </w:tc>
        <w:tc>
          <w:tcPr>
            <w:tcW w:type="dxa" w:w="3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Требуется объектная сверка план-факт</w:t>
            </w:r>
          </w:p>
        </w:tc>
      </w:tr>
      <w:tr>
        <w:trPr>
          <w:cantSplit w:val="true"/>
        </w:trPr>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2025</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97%</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98%</w:t>
            </w:r>
          </w:p>
        </w:tc>
        <w:tc>
          <w:tcPr>
            <w:tcW w:type="dxa" w:w="3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Финансовое исполнение по официальному источнику</w:t>
            </w:r>
          </w:p>
        </w:tc>
      </w:tr>
      <w:tr>
        <w:trPr>
          <w:cantSplit w:val="true"/>
        </w:trPr>
        <w:tc>
          <w:tcPr>
            <w:tcW w:type="dxa" w:w="1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2025, бюджетные мероприятия ВО</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100,4%</w:t>
            </w:r>
          </w:p>
        </w:tc>
        <w:tc>
          <w:tcPr>
            <w:tcW w:type="dxa" w:w="3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Отдельный бюджетный контур</w:t>
            </w:r>
          </w:p>
        </w:tc>
      </w:tr>
    </w:tbl>
    <w:p>
      <w:pPr>
        <w:spacing w:after="40"/>
      </w:pPr>
    </w:p>
    <w:p>
      <w:pPr>
        <w:pStyle w:val="Heading2"/>
        <w:keepLines/>
        <w:widowControl/>
      </w:pPr>
      <w:r>
        <w:rPr>
          <w:rFonts w:ascii="Calibri" w:hAnsi="Calibri" w:eastAsia="Calibri"/>
        </w:rPr>
        <w:t>Утверждённый контур 2026 года</w:t>
      </w:r>
    </w:p>
    <w:tbl>
      <w:tblPr>
        <w:tblW w:type="dxa" w:w="9360"/>
        <w:tblLayout w:type="fixed"/>
        <w:tblLook w:firstColumn="1" w:firstRow="1" w:lastColumn="0" w:lastRow="0" w:noHBand="0" w:noVBand="1" w:val="04A0"/>
        <w:jc w:val="left"/>
        <w:tblInd w:w="120" w:type="dxa"/>
      </w:tblPr>
      <w:tblGrid>
        <w:gridCol w:w="5700"/>
        <w:gridCol w:w="3660"/>
      </w:tblGrid>
      <w:tr>
        <w:trPr>
          <w:tblHeader w:val="true"/>
          <w:cantSplit w:val="true"/>
        </w:trPr>
        <w:tc>
          <w:tcPr>
            <w:tcW w:type="dxa" w:w="57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Компонент</w:t>
            </w:r>
          </w:p>
        </w:tc>
        <w:tc>
          <w:tcPr>
            <w:tcW w:type="dxa" w:w="36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Сумма без НДС</w:t>
            </w:r>
          </w:p>
        </w:tc>
      </w:tr>
      <w:tr>
        <w:trPr>
          <w:cantSplit w:val="true"/>
        </w:trPr>
        <w:tc>
          <w:tcPr>
            <w:tcW w:type="dxa" w:w="5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Водоснабжение</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13,165896 млрд ₸</w:t>
            </w:r>
          </w:p>
        </w:tc>
      </w:tr>
      <w:tr>
        <w:trPr>
          <w:cantSplit w:val="true"/>
        </w:trPr>
        <w:tc>
          <w:tcPr>
            <w:tcW w:type="dxa" w:w="5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Водоотведение</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4,423320 млрд ₸</w:t>
            </w:r>
          </w:p>
        </w:tc>
      </w:tr>
      <w:tr>
        <w:trPr>
          <w:cantSplit w:val="true"/>
        </w:trPr>
        <w:tc>
          <w:tcPr>
            <w:tcW w:type="dxa" w:w="5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Основная инвестиционная программа</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17,589216 млрд ₸</w:t>
            </w:r>
          </w:p>
        </w:tc>
      </w:tr>
      <w:tr>
        <w:trPr>
          <w:cantSplit w:val="true"/>
        </w:trPr>
        <w:tc>
          <w:tcPr>
            <w:tcW w:type="dxa" w:w="5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Дополнительный доход, отдельный контур</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4,348204 млрд ₸</w:t>
            </w:r>
          </w:p>
        </w:tc>
      </w:tr>
    </w:tbl>
    <w:p>
      <w:pPr>
        <w:spacing w:after="40"/>
      </w:pPr>
    </w:p>
    <w:p>
      <w:pPr>
        <w:pStyle w:val="Heading2"/>
        <w:keepLines/>
        <w:widowControl/>
      </w:pPr>
      <w:r>
        <w:rPr>
          <w:rFonts w:ascii="Calibri" w:hAnsi="Calibri" w:eastAsia="Calibri"/>
        </w:rPr>
        <w:t>Рабочая августовская корректировка</w:t>
      </w:r>
    </w:p>
    <w:tbl>
      <w:tblPr>
        <w:tblW w:type="dxa" w:w="9360"/>
        <w:tblLayout w:type="fixed"/>
        <w:tblLook w:firstColumn="1" w:firstRow="1" w:lastColumn="0" w:lastRow="0" w:noHBand="0" w:noVBand="1" w:val="04A0"/>
        <w:jc w:val="left"/>
        <w:tblInd w:w="120" w:type="dxa"/>
      </w:tblPr>
      <w:tblGrid>
        <w:gridCol w:w="2800"/>
        <w:gridCol w:w="2200"/>
        <w:gridCol w:w="4360"/>
      </w:tblGrid>
      <w:tr>
        <w:trPr>
          <w:tblHeader w:val="true"/>
          <w:cantSplit w:val="true"/>
        </w:trPr>
        <w:tc>
          <w:tcPr>
            <w:tcW w:type="dxa" w:w="28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Компонент</w:t>
            </w:r>
          </w:p>
        </w:tc>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Рабочее значение</w:t>
            </w:r>
          </w:p>
        </w:tc>
        <w:tc>
          <w:tcPr>
            <w:tcW w:type="dxa" w:w="43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Правило</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Водоснабжение</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12,627081 млрд ₸</w:t>
            </w:r>
          </w:p>
        </w:tc>
        <w:tc>
          <w:tcPr>
            <w:tcW w:type="dxa" w:w="4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Не заменяет утверждённое без формального решения</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Водоотведение</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4,336390 млрд ₸</w:t>
            </w:r>
          </w:p>
        </w:tc>
        <w:tc>
          <w:tcPr>
            <w:tcW w:type="dxa" w:w="4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Не заменяет утверждённое без формального решения</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Дополнительный доход</w:t>
            </w:r>
          </w:p>
        </w:tc>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4,567260 млрд ₸</w:t>
            </w:r>
          </w:p>
        </w:tc>
        <w:tc>
          <w:tcPr>
            <w:tcW w:type="dxa" w:w="4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Отдельный контур корректировки</w:t>
            </w:r>
          </w:p>
        </w:tc>
      </w:tr>
    </w:tbl>
    <w:p>
      <w:pPr>
        <w:spacing w:after="40"/>
      </w:pPr>
    </w:p>
    <w:p>
      <w:pPr>
        <w:pStyle w:val="Heading2"/>
        <w:keepLines/>
        <w:widowControl/>
      </w:pPr>
      <w:r>
        <w:rPr>
          <w:rFonts w:ascii="Calibri" w:hAnsi="Calibri" w:eastAsia="Calibri"/>
        </w:rPr>
        <w:t>Статус исполнения на август 2026 года</w:t>
      </w:r>
    </w:p>
    <w:tbl>
      <w:tblPr>
        <w:tblW w:type="dxa" w:w="9360"/>
        <w:tblLayout w:type="fixed"/>
        <w:tblLook w:firstColumn="1" w:firstRow="1" w:lastColumn="0" w:lastRow="0" w:noHBand="0" w:noVBand="1" w:val="04A0"/>
        <w:jc w:val="left"/>
        <w:tblInd w:w="120" w:type="dxa"/>
      </w:tblPr>
      <w:tblGrid>
        <w:gridCol w:w="2700"/>
        <w:gridCol w:w="2220"/>
        <w:gridCol w:w="2220"/>
        <w:gridCol w:w="2220"/>
      </w:tblGrid>
      <w:tr>
        <w:trPr>
          <w:tblHeader w:val="true"/>
          <w:cantSplit w:val="true"/>
        </w:trPr>
        <w:tc>
          <w:tcPr>
            <w:tcW w:type="dxa" w:w="27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Услуга</w:t>
            </w:r>
          </w:p>
        </w:tc>
        <w:tc>
          <w:tcPr>
            <w:tcW w:type="dxa" w:w="22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Заключение договоров</w:t>
            </w:r>
          </w:p>
        </w:tc>
        <w:tc>
          <w:tcPr>
            <w:tcW w:type="dxa" w:w="22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Физическое выполнение</w:t>
            </w:r>
          </w:p>
        </w:tc>
        <w:tc>
          <w:tcPr>
            <w:tcW w:type="dxa" w:w="222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Финансовое выполнение</w:t>
            </w:r>
          </w:p>
        </w:tc>
      </w:tr>
      <w:tr>
        <w:trPr>
          <w:cantSplit w:val="true"/>
        </w:trPr>
        <w:tc>
          <w:tcPr>
            <w:tcW w:type="dxa" w:w="2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Водоснабжение</w:t>
            </w:r>
          </w:p>
        </w:tc>
        <w:tc>
          <w:tcPr>
            <w:tcW w:type="dxa" w:w="22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95%</w:t>
            </w:r>
          </w:p>
        </w:tc>
        <w:tc>
          <w:tcPr>
            <w:tcW w:type="dxa" w:w="22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7,7%</w:t>
            </w:r>
          </w:p>
        </w:tc>
        <w:tc>
          <w:tcPr>
            <w:tcW w:type="dxa" w:w="22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3,71%</w:t>
            </w:r>
          </w:p>
        </w:tc>
      </w:tr>
      <w:tr>
        <w:trPr>
          <w:cantSplit w:val="true"/>
        </w:trPr>
        <w:tc>
          <w:tcPr>
            <w:tcW w:type="dxa" w:w="2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Водоотведение</w:t>
            </w:r>
          </w:p>
        </w:tc>
        <w:tc>
          <w:tcPr>
            <w:tcW w:type="dxa" w:w="22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98%</w:t>
            </w:r>
          </w:p>
        </w:tc>
        <w:tc>
          <w:tcPr>
            <w:tcW w:type="dxa" w:w="22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17,27%</w:t>
            </w:r>
          </w:p>
        </w:tc>
        <w:tc>
          <w:tcPr>
            <w:tcW w:type="dxa" w:w="222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11,78%</w:t>
            </w:r>
          </w:p>
        </w:tc>
      </w:tr>
    </w:tbl>
    <w:p>
      <w:pPr>
        <w:spacing w:after="40"/>
      </w:pP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Правило расчёта. </w:t>
      </w:r>
      <w:r>
        <w:rPr>
          <w:rFonts w:ascii="Calibri" w:hAnsi="Calibri" w:eastAsia="Calibri"/>
          <w:color w:val="0B2545"/>
        </w:rPr>
        <w:t>Проценты исполнения приведены в официальной трактовке источника. Самостоятельное деление сумм АВР и оплат с НДС на утверждённый объём программы без НДС не выполняется.</w:t>
      </w:r>
    </w:p>
    <w:p>
      <w:pPr>
        <w:keepLines/>
        <w:widowControl/>
      </w:pPr>
      <w:r>
        <w:rPr>
          <w:rFonts w:ascii="Calibri" w:hAnsi="Calibri" w:eastAsia="Calibri"/>
        </w:rPr>
        <w:t>Управленческий контроль должен вестись по каждому объекту: договор, проектная документация, источник финансирования, плановый и фактический график, физический объём, АВР, оплата, отклонение, причина, корректирующее действие и ожидаемый эффект после ввода.</w:t>
      </w:r>
    </w:p>
    <w:p>
      <w:pPr>
        <w:pStyle w:val="SourceNote"/>
        <w:keepLines/>
        <w:widowControl/>
        <w:spacing w:before="80" w:after="160"/>
      </w:pPr>
      <w:r>
        <w:rPr>
          <w:rFonts w:ascii="Calibri" w:hAnsi="Calibri" w:eastAsia="Calibri"/>
        </w:rPr>
        <w:t>Основные источники: Отчет об исп ТС и ИП 2024 рус.pptx; Отчет об исп ТС и ИП 2025 рус финал.pptx; Отчет об исп ТС и ИП 1 пг 2026 рус финал.pptx; План факт ТС.xlsx; ПланФакт 2026 год..xlsx.</w:t>
      </w:r>
    </w:p>
    <w:p>
      <w:pPr>
        <w:pStyle w:val="Heading1"/>
        <w:spacing w:before="0"/>
        <w:keepNext/>
      </w:pPr>
      <w:r>
        <w:t>12. Стратегические инфраструктурные проекты</w:t>
      </w:r>
    </w:p>
    <w:p>
      <w:pPr>
        <w:pStyle w:val="Lead"/>
        <w:keepLines/>
        <w:widowControl/>
      </w:pPr>
      <w:r>
        <w:rPr>
          <w:rFonts w:ascii="Calibri" w:hAnsi="Calibri" w:eastAsia="Calibri"/>
        </w:rPr>
        <w:t>Стратегические проекты должны устранять подтверждённые ограничения системы: локальный дефицит водоснабжения, пик нагрузки КОС, перегрузку отдельных КНС, отсутствие резервных коллекторов и недостаточную измеримость водного баланса.</w:t>
      </w:r>
    </w:p>
    <w:tbl>
      <w:tblPr>
        <w:tblW w:type="dxa" w:w="9360"/>
        <w:tblLayout w:type="fixed"/>
        <w:tblLook w:firstColumn="1" w:firstRow="1" w:lastColumn="0" w:lastRow="0" w:noHBand="0" w:noVBand="1" w:val="04A0"/>
        <w:jc w:val="left"/>
        <w:tblInd w:w="120" w:type="dxa"/>
      </w:tblPr>
      <w:tblGrid>
        <w:gridCol w:w="2400"/>
        <w:gridCol w:w="3100"/>
        <w:gridCol w:w="3860"/>
      </w:tblGrid>
      <w:tr>
        <w:trPr>
          <w:tblHeader w:val="true"/>
          <w:cantSplit w:val="true"/>
        </w:trPr>
        <w:tc>
          <w:tcPr>
            <w:tcW w:type="dxa" w:w="24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Направление</w:t>
            </w:r>
          </w:p>
        </w:tc>
        <w:tc>
          <w:tcPr>
            <w:tcW w:type="dxa" w:w="3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Подтверждённая цель</w:t>
            </w:r>
          </w:p>
        </w:tc>
        <w:tc>
          <w:tcPr>
            <w:tcW w:type="dxa" w:w="38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Что требуется для управленческого контроля</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Новая КОС</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+320 тыс. м3/сут.; общая мощность 960 тыс. м3/сут.</w:t>
            </w:r>
          </w:p>
        </w:tc>
        <w:tc>
          <w:tcPr>
            <w:tcW w:type="dxa" w:w="3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Финансирование, график, проектные риски, этапность ввода</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Западный коллектор</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Повышение надёжности отвода и разгрузка критических участков</w:t>
            </w:r>
          </w:p>
        </w:tc>
        <w:tc>
          <w:tcPr>
            <w:tcW w:type="dxa" w:w="3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Текущий статус решения, трасса, бюджет, сроки</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Реконструкция критических КНС</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Снижение перегрузки и восстановление резерва</w:t>
            </w:r>
          </w:p>
        </w:tc>
        <w:tc>
          <w:tcPr>
            <w:tcW w:type="dxa" w:w="3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Пообъектные паспорта и источники финансирования</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Талгарский пилот</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Цифровой водный баланс и управление зонами</w:t>
            </w:r>
          </w:p>
        </w:tc>
        <w:tc>
          <w:tcPr>
            <w:tcW w:type="dxa" w:w="3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Базовая линия, KPI потерь, охват приборов, эффект пилота</w:t>
            </w:r>
          </w:p>
        </w:tc>
      </w:tr>
      <w:tr>
        <w:trPr>
          <w:cantSplit w:val="true"/>
        </w:trPr>
        <w:tc>
          <w:tcPr>
            <w:tcW w:type="dxa" w:w="24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Проекты локальной мощности водоснабжения</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Снижение дефицита в периоды пикового спроса</w:t>
            </w:r>
          </w:p>
        </w:tc>
        <w:tc>
          <w:tcPr>
            <w:tcW w:type="dxa" w:w="38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Сценарий спроса, подтверждённая мощность и сроки ввода</w:t>
            </w:r>
          </w:p>
        </w:tc>
      </w:tr>
    </w:tbl>
    <w:p>
      <w:pPr>
        <w:spacing w:after="40"/>
      </w:pPr>
    </w:p>
    <w:p>
      <w:pPr>
        <w:pStyle w:val="Heading2"/>
        <w:keepLines/>
        <w:widowControl/>
      </w:pPr>
      <w:r>
        <w:rPr>
          <w:rFonts w:ascii="Calibri" w:hAnsi="Calibri" w:eastAsia="Calibri"/>
        </w:rPr>
        <w:t>Датированные параметры проектов, уже имеющиеся в материалах</w:t>
      </w:r>
    </w:p>
    <w:tbl>
      <w:tblPr>
        <w:tblW w:type="dxa" w:w="9360"/>
        <w:tblLayout w:type="fixed"/>
        <w:tblLook w:firstColumn="1" w:firstRow="1" w:lastColumn="0" w:lastRow="0" w:noHBand="0" w:noVBand="1" w:val="04A0"/>
        <w:jc w:val="left"/>
        <w:tblInd w:w="120" w:type="dxa"/>
      </w:tblPr>
      <w:tblGrid>
        <w:gridCol w:w="2200"/>
        <w:gridCol w:w="3200"/>
        <w:gridCol w:w="3960"/>
      </w:tblGrid>
      <w:tr>
        <w:trPr>
          <w:tblHeader w:val="true"/>
          <w:cantSplit w:val="true"/>
        </w:trPr>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Проект</w:t>
            </w:r>
          </w:p>
        </w:tc>
        <w:tc>
          <w:tcPr>
            <w:tcW w:type="dxa" w:w="3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Последний раскрытый статус</w:t>
            </w:r>
          </w:p>
        </w:tc>
        <w:tc>
          <w:tcPr>
            <w:tcW w:type="dxa" w:w="39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Параметры и открытый вопрос</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Фильтровальная станция «Аксай»</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Январь: СМР 95%, пусконаладка 30%; августовский план ДВИ — сопровождение пусконаладки до полного запуска</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29,7 млрд ₸; 22 тыс. м3/сут.; 140 тыс. жителей Алматы и 25 тыс. жителей области. Нужна дата фактического полного ввода</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Нурлытау / Ерменсай</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Январь: техническая готовность 25%; завершение планировалось на ноябрь 2026</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10,4 млрд ₸; 9 тыс. м3/сут.; требуется корректировка примерно на 4 млрд ₸ из-за исключённых технологических работ</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Аксай / Барлык</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Январь: ТЭО на экспертизе; старт строительства планировался на март 2027</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43 тыс. м3/сут.; ориентир СМР 18 млрд ₸; 15 скважин; охват 80 тыс. жителей</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Западный коллектор</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Январь: техническая готовность 25%; срок завершения в источнике — ноябрь 2026</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Договор 36,3 млрд ₸; требуется пересогласование трассы и ориентировочно ещё 10 млрд ₸</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Новая КОС</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Январь: ПСД в разработке, экспертиза планировалась на декабрь 2026</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320 тыс. м3/сут.; ПСД 419,9 млн ₸; ориентир СМР 54 млрд ₸; начало строительства планировалось на II квартал 2027</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Цех обработки осадка</w:t>
            </w:r>
          </w:p>
        </w:tc>
        <w:tc>
          <w:tcPr>
            <w:tcW w:type="dxa" w:w="3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Январь: положительная экспертиза от 02.08.2024; разрабатывалось ФЭО для финансирования</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СМР 8,141 млрд ₸; производительность обезвоживания 8 700 м3/сут.; нужен текущий статус финансирования</w:t>
            </w:r>
          </w:p>
        </w:tc>
      </w:tr>
    </w:tbl>
    <w:p>
      <w:pPr>
        <w:spacing w:after="40"/>
      </w:pPr>
    </w:p>
    <w:p>
      <w:pPr>
        <w:keepLines/>
        <w:widowControl/>
      </w:pPr>
      <w:r>
        <w:rPr>
          <w:rFonts w:ascii="Calibri" w:hAnsi="Calibri" w:eastAsia="Calibri"/>
        </w:rPr>
        <w:t>Параметры выше не заменяют актуальный паспорт на 23.08.2026: значительная часть статусов датирована январём, а августовские документы подтверждают только отдельные последующие задачи. В отчёте они используются как последний найденный исходный срез, а не как автоматически актуальный факт.</w:t>
      </w: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Ограничение отчёта. </w:t>
      </w:r>
      <w:r>
        <w:rPr>
          <w:rFonts w:ascii="Calibri" w:hAnsi="Calibri" w:eastAsia="Calibri"/>
          <w:color w:val="0B2545"/>
        </w:rPr>
        <w:t>По отдельным проектам в материалах есть исторические, проектные и презентационные статусы, но отсутствует единый актуальный паспорт на одну дату. Поэтому отчёт не объявляет неподтверждённые сроки и источники финансирования действующими.</w:t>
      </w:r>
    </w:p>
    <w:p>
      <w:pPr>
        <w:pStyle w:val="Heading2"/>
        <w:keepLines/>
        <w:widowControl/>
      </w:pPr>
      <w:r>
        <w:rPr>
          <w:rFonts w:ascii="Calibri" w:hAnsi="Calibri" w:eastAsia="Calibri"/>
        </w:rPr>
        <w:t>Обязательный паспорт проекта</w:t>
      </w:r>
    </w:p>
    <w:p>
      <w:pPr>
        <w:keepLines/>
        <w:numPr>
          <w:ilvl w:val="0"/>
          <w:numId w:val="10"/>
        </w:numPr>
        <w:spacing w:after="160" w:line="280" w:lineRule="auto"/>
        <w:widowControl/>
      </w:pPr>
      <w:r>
        <w:rPr>
          <w:rFonts w:ascii="Calibri" w:hAnsi="Calibri" w:eastAsia="Calibri"/>
        </w:rPr>
        <w:t>утверждённая цель и измеримый производственный эффект;</w:t>
      </w:r>
    </w:p>
    <w:p>
      <w:pPr>
        <w:keepLines/>
        <w:numPr>
          <w:ilvl w:val="0"/>
          <w:numId w:val="10"/>
        </w:numPr>
        <w:spacing w:after="160" w:line="280" w:lineRule="auto"/>
        <w:widowControl/>
      </w:pPr>
      <w:r>
        <w:rPr>
          <w:rFonts w:ascii="Calibri" w:hAnsi="Calibri" w:eastAsia="Calibri"/>
        </w:rPr>
        <w:t>текущая стадия и подтверждающий документ;</w:t>
      </w:r>
    </w:p>
    <w:p>
      <w:pPr>
        <w:keepLines/>
        <w:numPr>
          <w:ilvl w:val="0"/>
          <w:numId w:val="10"/>
        </w:numPr>
        <w:spacing w:after="160" w:line="280" w:lineRule="auto"/>
        <w:widowControl/>
      </w:pPr>
      <w:r>
        <w:rPr>
          <w:rFonts w:ascii="Calibri" w:hAnsi="Calibri" w:eastAsia="Calibri"/>
        </w:rPr>
        <w:t>утверждённая стоимость, источник финансирования и освоение;</w:t>
      </w:r>
    </w:p>
    <w:p>
      <w:pPr>
        <w:keepLines/>
        <w:numPr>
          <w:ilvl w:val="0"/>
          <w:numId w:val="10"/>
        </w:numPr>
        <w:spacing w:after="160" w:line="280" w:lineRule="auto"/>
        <w:widowControl/>
      </w:pPr>
      <w:r>
        <w:rPr>
          <w:rFonts w:ascii="Calibri" w:hAnsi="Calibri" w:eastAsia="Calibri"/>
        </w:rPr>
        <w:t>контрольные сроки, критический путь и ключевые разрешения;</w:t>
      </w:r>
    </w:p>
    <w:p>
      <w:pPr>
        <w:keepLines/>
        <w:numPr>
          <w:ilvl w:val="0"/>
          <w:numId w:val="10"/>
        </w:numPr>
        <w:spacing w:after="160" w:line="280" w:lineRule="auto"/>
        <w:widowControl/>
      </w:pPr>
      <w:r>
        <w:rPr>
          <w:rFonts w:ascii="Calibri" w:hAnsi="Calibri" w:eastAsia="Calibri"/>
        </w:rPr>
        <w:t>влияние на OPEX, персонал, электроэнергию и ремонт после ввода;</w:t>
      </w:r>
    </w:p>
    <w:p>
      <w:pPr>
        <w:keepLines/>
        <w:numPr>
          <w:ilvl w:val="0"/>
          <w:numId w:val="10"/>
        </w:numPr>
        <w:spacing w:after="160" w:line="280" w:lineRule="auto"/>
        <w:widowControl/>
      </w:pPr>
      <w:r>
        <w:rPr>
          <w:rFonts w:ascii="Calibri" w:hAnsi="Calibri" w:eastAsia="Calibri"/>
        </w:rPr>
        <w:t>ответственный владелец решения и дата следующей контрольной точки.</w:t>
      </w:r>
    </w:p>
    <w:p>
      <w:pPr>
        <w:pStyle w:val="SourceNote"/>
        <w:keepLines/>
        <w:widowControl/>
        <w:spacing w:before="80" w:after="160"/>
      </w:pPr>
      <w:r>
        <w:rPr>
          <w:rFonts w:ascii="Calibri" w:hAnsi="Calibri" w:eastAsia="Calibri"/>
        </w:rPr>
        <w:t>Основные источники: Концепция пилотного проекта Талгарского месторождения.pptx; ФИНАЛ 13.08.26 Презентация Инвест Отдел ДВИ ОК.pptx; Презентация для Зам акима 22.07 (1) (1).pptx; Основные моменты водоснабжения и водоотведения 26.01.2026 (1).pptx.</w:t>
      </w:r>
    </w:p>
    <w:p>
      <w:pPr>
        <w:pStyle w:val="Heading1"/>
        <w:spacing w:before="0"/>
        <w:keepNext/>
      </w:pPr>
      <w:r>
        <w:t>13. Персонал и кадровая устойчивость</w:t>
      </w:r>
    </w:p>
    <w:p>
      <w:pPr>
        <w:pStyle w:val="Lead"/>
        <w:keepLines/>
        <w:widowControl/>
      </w:pPr>
      <w:r>
        <w:rPr>
          <w:rFonts w:ascii="Calibri" w:hAnsi="Calibri" w:eastAsia="Calibri"/>
        </w:rPr>
        <w:t>Кадровый блок оценивается по четырём уровням: утверждённый штат, фактическая численность, вакансии и укомплектованность, нормативная потребность. Укомплектованность штатного расписания не равна обеспеченности предприятия нормативно необходимым персоналом.</w:t>
      </w:r>
    </w:p>
    <w:tbl>
      <w:tblPr>
        <w:tblW w:type="dxa" w:w="9360"/>
        <w:tblLayout w:type="fixed"/>
        <w:tblLook w:firstColumn="1" w:firstRow="1" w:lastColumn="0" w:lastRow="0" w:noHBand="0" w:noVBand="1" w:val="04A0"/>
        <w:jc w:val="left"/>
        <w:tblInd w:w="120" w:type="dxa"/>
      </w:tblPr>
      <w:tblGrid>
        <w:gridCol w:w="3300"/>
        <w:gridCol w:w="2300"/>
        <w:gridCol w:w="3760"/>
      </w:tblGrid>
      <w:tr>
        <w:trPr>
          <w:tblHeader w:val="true"/>
          <w:cantSplit w:val="true"/>
        </w:trPr>
        <w:tc>
          <w:tcPr>
            <w:tcW w:type="dxa" w:w="33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Показатель на 01.06.2026</w:t>
            </w:r>
          </w:p>
        </w:tc>
        <w:tc>
          <w:tcPr>
            <w:tcW w:type="dxa" w:w="23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Значение</w:t>
            </w:r>
          </w:p>
        </w:tc>
        <w:tc>
          <w:tcPr>
            <w:tcW w:type="dxa" w:w="37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Интерпретация</w:t>
            </w:r>
          </w:p>
        </w:tc>
      </w:tr>
      <w:tr>
        <w:trPr>
          <w:cantSplit w:val="true"/>
        </w:trPr>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Утверждённый штат</w:t>
            </w:r>
          </w:p>
        </w:tc>
        <w:tc>
          <w:tcPr>
            <w:tcW w:type="dxa" w:w="2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3 891,5 штатной единицы</w:t>
            </w:r>
          </w:p>
        </w:tc>
        <w:tc>
          <w:tcPr>
            <w:tcW w:type="dxa" w:w="3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Официально предусмотренные позиции</w:t>
            </w:r>
          </w:p>
        </w:tc>
      </w:tr>
      <w:tr>
        <w:trPr>
          <w:cantSplit w:val="true"/>
        </w:trPr>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Фактическая численность</w:t>
            </w:r>
          </w:p>
        </w:tc>
        <w:tc>
          <w:tcPr>
            <w:tcW w:type="dxa" w:w="2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3 769 человек</w:t>
            </w:r>
          </w:p>
        </w:tc>
        <w:tc>
          <w:tcPr>
            <w:tcW w:type="dxa" w:w="3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Моментный срез</w:t>
            </w:r>
          </w:p>
        </w:tc>
      </w:tr>
      <w:tr>
        <w:trPr>
          <w:cantSplit w:val="true"/>
        </w:trPr>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Вакансии</w:t>
            </w:r>
          </w:p>
        </w:tc>
        <w:tc>
          <w:tcPr>
            <w:tcW w:type="dxa" w:w="2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126</w:t>
            </w:r>
          </w:p>
        </w:tc>
        <w:tc>
          <w:tcPr>
            <w:tcW w:type="dxa" w:w="3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Незакрытые позиции</w:t>
            </w:r>
          </w:p>
        </w:tc>
      </w:tr>
      <w:tr>
        <w:trPr>
          <w:cantSplit w:val="true"/>
        </w:trPr>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Укомплектованность</w:t>
            </w:r>
          </w:p>
        </w:tc>
        <w:tc>
          <w:tcPr>
            <w:tcW w:type="dxa" w:w="2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96,9%</w:t>
            </w:r>
          </w:p>
        </w:tc>
        <w:tc>
          <w:tcPr>
            <w:tcW w:type="dxa" w:w="3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Только относительно утверждённого штатного расписания</w:t>
            </w:r>
          </w:p>
        </w:tc>
      </w:tr>
    </w:tbl>
    <w:p>
      <w:pPr>
        <w:spacing w:after="40"/>
      </w:pPr>
    </w:p>
    <w:p>
      <w:pPr>
        <w:pStyle w:val="Heading2"/>
        <w:keepLines/>
        <w:widowControl/>
      </w:pPr>
      <w:r>
        <w:rPr>
          <w:rFonts w:ascii="Calibri" w:hAnsi="Calibri" w:eastAsia="Calibri"/>
        </w:rPr>
        <w:t>Вакансии по подразделениям на 01.06.2026</w:t>
      </w:r>
    </w:p>
    <w:tbl>
      <w:tblPr>
        <w:tblW w:type="dxa" w:w="9360"/>
        <w:tblLayout w:type="fixed"/>
        <w:tblLook w:firstColumn="1" w:firstRow="1" w:lastColumn="0" w:lastRow="0" w:noHBand="0" w:noVBand="1" w:val="04A0"/>
        <w:jc w:val="left"/>
        <w:tblInd w:w="120" w:type="dxa"/>
      </w:tblPr>
      <w:tblGrid>
        <w:gridCol w:w="3600"/>
        <w:gridCol w:w="1080"/>
        <w:gridCol w:w="3600"/>
        <w:gridCol w:w="1080"/>
      </w:tblGrid>
      <w:tr>
        <w:trPr>
          <w:tblHeader w:val="true"/>
          <w:cantSplit w:val="true"/>
        </w:trPr>
        <w:tc>
          <w:tcPr>
            <w:tcW w:type="dxa" w:w="3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Подразделение</w:t>
            </w:r>
          </w:p>
        </w:tc>
        <w:tc>
          <w:tcPr>
            <w:tcW w:type="dxa" w:w="108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Вакансии</w:t>
            </w:r>
          </w:p>
        </w:tc>
        <w:tc>
          <w:tcPr>
            <w:tcW w:type="dxa" w:w="3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Подразделение</w:t>
            </w:r>
          </w:p>
        </w:tc>
        <w:tc>
          <w:tcPr>
            <w:tcW w:type="dxa" w:w="108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Вакансии</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Департамент водоисточников</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21</w:t>
            </w:r>
          </w:p>
        </w:tc>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Департамент водопроводных сетей</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35</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Департамент водоотведения</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13</w:t>
            </w:r>
          </w:p>
        </w:tc>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Транспорт и спецтехника</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23</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Департамент по сбыту</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13</w:t>
            </w:r>
          </w:p>
        </w:tc>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Административно-управленческий персонал</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13</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Департамент общих вопросов</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4</w:t>
            </w:r>
          </w:p>
        </w:tc>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Департамент внутреннего контроля</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w:t>
            </w:r>
          </w:p>
        </w:tc>
      </w:tr>
      <w:tr>
        <w:trPr>
          <w:cantSplit w:val="true"/>
        </w:trPr>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Департамент капитального строительства</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w:t>
            </w:r>
          </w:p>
        </w:tc>
        <w:tc>
          <w:tcPr>
            <w:tcW w:type="dxa" w:w="3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Всего</w:t>
            </w:r>
          </w:p>
        </w:tc>
        <w:tc>
          <w:tcPr>
            <w:tcW w:type="dxa" w:w="108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126</w:t>
            </w:r>
          </w:p>
        </w:tc>
      </w:tr>
    </w:tbl>
    <w:p>
      <w:pPr>
        <w:spacing w:after="40"/>
      </w:pPr>
    </w:p>
    <w:p>
      <w:pPr>
        <w:keepLines/>
        <w:widowControl/>
      </w:pPr>
      <w:r>
        <w:rPr>
          <w:rFonts w:ascii="Calibri" w:hAnsi="Calibri" w:eastAsia="Calibri"/>
        </w:rPr>
        <w:t>Распределение по подразделениям уже представлено и повторно не запрашивается. Однако оно не показывает профессии, объект, смену и критичность вакансии для непрерывности процесса; именно эта детализация остаётся необходимой.</w:t>
      </w:r>
    </w:p>
    <w:p>
      <w:pPr>
        <w:pStyle w:val="Heading2"/>
        <w:keepLines/>
        <w:widowControl/>
      </w:pPr>
      <w:r>
        <w:rPr>
          <w:rFonts w:ascii="Calibri" w:hAnsi="Calibri" w:eastAsia="Calibri"/>
        </w:rPr>
        <w:t>Динамика и методологические различия</w:t>
      </w:r>
    </w:p>
    <w:p>
      <w:pPr>
        <w:keepLines/>
        <w:numPr>
          <w:ilvl w:val="0"/>
          <w:numId w:val="10"/>
        </w:numPr>
        <w:spacing w:after="160" w:line="280" w:lineRule="auto"/>
        <w:widowControl/>
      </w:pPr>
      <w:r>
        <w:rPr>
          <w:rFonts w:ascii="Calibri" w:hAnsi="Calibri" w:eastAsia="Calibri"/>
        </w:rPr>
        <w:t>укомплектованность основного HR-ряда: 89,9% в 2024 году, 94,2% в 2025 году и 96,9% на 01.06.2026;</w:t>
      </w:r>
    </w:p>
    <w:p>
      <w:pPr>
        <w:keepLines/>
        <w:numPr>
          <w:ilvl w:val="0"/>
          <w:numId w:val="10"/>
        </w:numPr>
        <w:spacing w:after="160" w:line="280" w:lineRule="auto"/>
        <w:widowControl/>
      </w:pPr>
      <w:r>
        <w:rPr>
          <w:rFonts w:ascii="Calibri" w:hAnsi="Calibri" w:eastAsia="Calibri"/>
        </w:rPr>
        <w:t>текучесть основного HR-ряда снизилась с 18,8% в 2024 году до 14,8% в 2025 году; статистический источник содержит альтернативное значение 14,4%;</w:t>
      </w:r>
    </w:p>
    <w:p>
      <w:pPr>
        <w:keepLines/>
        <w:numPr>
          <w:ilvl w:val="0"/>
          <w:numId w:val="10"/>
        </w:numPr>
        <w:spacing w:after="160" w:line="280" w:lineRule="auto"/>
        <w:widowControl/>
      </w:pPr>
      <w:r>
        <w:rPr>
          <w:rFonts w:ascii="Calibri" w:hAnsi="Calibri" w:eastAsia="Calibri"/>
        </w:rPr>
        <w:t>квартальные значения 2026 года 3,2% и 4,5% не складываются автоматически в 7,7%;</w:t>
      </w:r>
    </w:p>
    <w:p>
      <w:pPr>
        <w:keepLines/>
        <w:numPr>
          <w:ilvl w:val="0"/>
          <w:numId w:val="10"/>
        </w:numPr>
        <w:spacing w:after="160" w:line="280" w:lineRule="auto"/>
        <w:widowControl/>
      </w:pPr>
      <w:r>
        <w:rPr>
          <w:rFonts w:ascii="Calibri" w:hAnsi="Calibri" w:eastAsia="Calibri"/>
        </w:rPr>
        <w:t>за 2025 год встречаются 3 645, 3 726 и 3 813 человек - вероятно, среднесписочный, моментный и возрастной контуры;</w:t>
      </w:r>
    </w:p>
    <w:p>
      <w:pPr>
        <w:keepLines/>
        <w:numPr>
          <w:ilvl w:val="0"/>
          <w:numId w:val="10"/>
        </w:numPr>
        <w:spacing w:after="160" w:line="280" w:lineRule="auto"/>
        <w:widowControl/>
      </w:pPr>
      <w:r>
        <w:rPr>
          <w:rFonts w:ascii="Calibri" w:hAnsi="Calibri" w:eastAsia="Calibri"/>
        </w:rPr>
        <w:t>в I полугодии 2026 года статистический контур 3 757 человек отличается от моментного среза 3 769 человек на 12 человек.</w:t>
      </w:r>
    </w:p>
    <w:p>
      <w:pPr>
        <w:pStyle w:val="Heading2"/>
        <w:keepLines/>
        <w:widowControl/>
      </w:pPr>
      <w:r>
        <w:rPr>
          <w:rFonts w:ascii="Calibri" w:hAnsi="Calibri" w:eastAsia="Calibri"/>
        </w:rPr>
        <w:t>Нормативная потребность</w:t>
      </w:r>
    </w:p>
    <w:p>
      <w:pPr>
        <w:pStyle w:val="Callout"/>
        <w:keepLines/>
        <w:spacing w:before="80" w:after="160"/>
        <w:ind w:left="230" w:right="144"/>
        <w:shd w:fill="FCEBEC"/>
        <w:pBdr>
          <w:start w:val="single" w:sz="16" w:space="8" w:color="9B1C1C"/>
        </w:pBdr>
        <w:widowControl/>
      </w:pPr>
      <w:r>
        <w:rPr>
          <w:rFonts w:ascii="Calibri" w:hAnsi="Calibri" w:eastAsia="Calibri"/>
          <w:b/>
          <w:color w:val="9B1C1C"/>
        </w:rPr>
        <w:t xml:space="preserve">Критическое расхождение. </w:t>
      </w:r>
      <w:r>
        <w:rPr>
          <w:rFonts w:ascii="Calibri" w:hAnsi="Calibri" w:eastAsia="Calibri"/>
          <w:color w:val="0B2545"/>
        </w:rPr>
        <w:t>В материалах представлены два норматива - 5 192 и 6 168 человек. До утверждения единого периметра и методики отчёт не рассчитывает кадровый дефицит как разницу между одним из этих нормативов и фактической численностью.</w:t>
      </w:r>
    </w:p>
    <w:p>
      <w:pPr>
        <w:pStyle w:val="Heading2"/>
        <w:keepLines/>
        <w:widowControl/>
      </w:pPr>
      <w:r>
        <w:rPr>
          <w:rFonts w:ascii="Calibri" w:hAnsi="Calibri" w:eastAsia="Calibri"/>
        </w:rPr>
        <w:t>Оплата труда</w:t>
      </w:r>
    </w:p>
    <w:tbl>
      <w:tblPr>
        <w:tblW w:type="dxa" w:w="9360"/>
        <w:tblLayout w:type="fixed"/>
        <w:tblLook w:firstColumn="1" w:firstRow="1" w:lastColumn="0" w:lastRow="0" w:noHBand="0" w:noVBand="1" w:val="04A0"/>
        <w:jc w:val="left"/>
        <w:tblInd w:w="120" w:type="dxa"/>
      </w:tblPr>
      <w:tblGrid>
        <w:gridCol w:w="2500"/>
        <w:gridCol w:w="2600"/>
        <w:gridCol w:w="4260"/>
      </w:tblGrid>
      <w:tr>
        <w:trPr>
          <w:tblHeader w:val="true"/>
          <w:cantSplit w:val="true"/>
        </w:trPr>
        <w:tc>
          <w:tcPr>
            <w:tcW w:type="dxa" w:w="25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Контур</w:t>
            </w:r>
          </w:p>
        </w:tc>
        <w:tc>
          <w:tcPr>
            <w:tcW w:type="dxa" w:w="2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Показатель</w:t>
            </w:r>
          </w:p>
        </w:tc>
        <w:tc>
          <w:tcPr>
            <w:tcW w:type="dxa" w:w="42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Правило использования</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HR, 01.06.2026</w:t>
            </w:r>
          </w:p>
        </w:tc>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315 тыс. ₸/мес.</w:t>
            </w:r>
          </w:p>
        </w:tc>
        <w:tc>
          <w:tcPr>
            <w:tcW w:type="dxa" w:w="4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Основной моментный HR-показатель</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Другой кадровый источник 2026</w:t>
            </w:r>
          </w:p>
        </w:tc>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327 тыс. ₸/мес.</w:t>
            </w:r>
          </w:p>
        </w:tc>
        <w:tc>
          <w:tcPr>
            <w:tcW w:type="dxa" w:w="4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Иная методика / период</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Сравнительный материал</w:t>
            </w:r>
          </w:p>
        </w:tc>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282 916 ₸/мес.</w:t>
            </w:r>
          </w:p>
        </w:tc>
        <w:tc>
          <w:tcPr>
            <w:tcW w:type="dxa" w:w="4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Использован для внешнего сопоставления</w:t>
            </w:r>
          </w:p>
        </w:tc>
      </w:tr>
      <w:tr>
        <w:trPr>
          <w:cantSplit w:val="true"/>
        </w:trPr>
        <w:tc>
          <w:tcPr>
            <w:tcW w:type="dxa" w:w="2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Тарифный контур 2025</w:t>
            </w:r>
          </w:p>
        </w:tc>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282 566 ₸ ВС; 283 555 ₸ ВО</w:t>
            </w:r>
          </w:p>
        </w:tc>
        <w:tc>
          <w:tcPr>
            <w:tcW w:type="dxa" w:w="4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Раздельные услуговые периметры</w:t>
            </w:r>
          </w:p>
        </w:tc>
      </w:tr>
    </w:tbl>
    <w:p>
      <w:pPr>
        <w:spacing w:after="40"/>
      </w:pPr>
    </w:p>
    <w:p>
      <w:pPr>
        <w:keepLines/>
        <w:widowControl/>
      </w:pPr>
      <w:r>
        <w:rPr>
          <w:rFonts w:ascii="Calibri" w:hAnsi="Calibri" w:eastAsia="Calibri"/>
        </w:rPr>
        <w:t>Следующий уровень управления - ранжирование 126 вакансий по критичности для непрерывности процесса. Общий процент укомплектованности может скрывать дефицит машинистов насосных установок, электромонтёров, слесарей аварийно-восстановительных работ, операторов очистных сооружений, лабораторного и диспетчерского персонала.</w:t>
      </w:r>
    </w:p>
    <w:p>
      <w:pPr>
        <w:pStyle w:val="SourceNote"/>
        <w:keepLines/>
        <w:widowControl/>
        <w:spacing w:before="80" w:after="160"/>
      </w:pPr>
      <w:r>
        <w:rPr>
          <w:rFonts w:ascii="Calibri" w:hAnsi="Calibri" w:eastAsia="Calibri"/>
        </w:rPr>
        <w:t>Основные источники: 1Сведения департ. по работе с персоналом.xlsx; 2Сведения департ. по работе с персоналом.xlsx; Сведения департ. по работе с персоналом.xlsx; Числ, ЗП, текучесть.xlsx; Стат данные за 24-25-26.xlsx.</w:t>
      </w:r>
    </w:p>
    <w:p>
      <w:pPr>
        <w:pStyle w:val="Heading1"/>
        <w:spacing w:before="0"/>
        <w:keepNext/>
      </w:pPr>
      <w:r>
        <w:t>14. Цифровизация и управление активами</w:t>
      </w:r>
    </w:p>
    <w:p>
      <w:pPr>
        <w:pStyle w:val="Lead"/>
        <w:keepLines/>
        <w:widowControl/>
      </w:pPr>
      <w:r>
        <w:rPr>
          <w:rFonts w:ascii="Calibri" w:hAnsi="Calibri" w:eastAsia="Calibri"/>
        </w:rPr>
        <w:t>Цифровизация должна обеспечивать сквозную идентификацию каждого актива и связывать его техническое состояние с авариями, ремонтами, энергопотреблением и инвестициями. Текущие ГИС- и балансовые данные пока не совпадают.</w:t>
      </w:r>
    </w:p>
    <w:tbl>
      <w:tblPr>
        <w:tblW w:type="dxa" w:w="9360"/>
        <w:tblLayout w:type="fixed"/>
        <w:tblLook w:firstColumn="1" w:firstRow="1" w:lastColumn="0" w:lastRow="0" w:noHBand="0" w:noVBand="1" w:val="04A0"/>
        <w:jc w:val="left"/>
        <w:tblInd w:w="120" w:type="dxa"/>
      </w:tblPr>
      <w:tblGrid>
        <w:gridCol w:w="2100"/>
        <w:gridCol w:w="1750"/>
        <w:gridCol w:w="1850"/>
        <w:gridCol w:w="1550"/>
        <w:gridCol w:w="2110"/>
      </w:tblGrid>
      <w:tr>
        <w:trPr>
          <w:tblHeader w:val="true"/>
          <w:cantSplit w:val="true"/>
        </w:trPr>
        <w:tc>
          <w:tcPr>
            <w:tcW w:type="dxa" w:w="2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Контур</w:t>
            </w:r>
          </w:p>
        </w:tc>
        <w:tc>
          <w:tcPr>
            <w:tcW w:type="dxa" w:w="17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Баланс / ОС</w:t>
            </w:r>
          </w:p>
        </w:tc>
        <w:tc>
          <w:tcPr>
            <w:tcW w:type="dxa" w:w="18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Электронная карта</w:t>
            </w:r>
          </w:p>
        </w:tc>
        <w:tc>
          <w:tcPr>
            <w:tcW w:type="dxa" w:w="15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Разница</w:t>
            </w:r>
          </w:p>
        </w:tc>
        <w:tc>
          <w:tcPr>
            <w:tcW w:type="dxa" w:w="21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Полная атрибутика</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Водоснабжение</w:t>
            </w:r>
          </w:p>
        </w:tc>
        <w:tc>
          <w:tcPr>
            <w:tcW w:type="dxa" w:w="17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4 252,71 км</w:t>
            </w:r>
          </w:p>
        </w:tc>
        <w:tc>
          <w:tcPr>
            <w:tcW w:type="dxa" w:w="18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4 215,83 км</w:t>
            </w:r>
          </w:p>
        </w:tc>
        <w:tc>
          <w:tcPr>
            <w:tcW w:type="dxa" w:w="15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-36,88 км</w:t>
            </w:r>
          </w:p>
        </w:tc>
        <w:tc>
          <w:tcPr>
            <w:tcW w:type="dxa" w:w="2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1 279,72 км; около 30,1%</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Водоотведение</w:t>
            </w:r>
          </w:p>
        </w:tc>
        <w:tc>
          <w:tcPr>
            <w:tcW w:type="dxa" w:w="17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2 450,25 км</w:t>
            </w:r>
          </w:p>
        </w:tc>
        <w:tc>
          <w:tcPr>
            <w:tcW w:type="dxa" w:w="18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2 489,62 км</w:t>
            </w:r>
          </w:p>
        </w:tc>
        <w:tc>
          <w:tcPr>
            <w:tcW w:type="dxa" w:w="15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+39,37 км</w:t>
            </w:r>
          </w:p>
        </w:tc>
        <w:tc>
          <w:tcPr>
            <w:tcW w:type="dxa" w:w="21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7"/>
              </w:rPr>
              <w:t>2 125,07 км; около 86,7%</w:t>
            </w:r>
          </w:p>
        </w:tc>
      </w:tr>
    </w:tbl>
    <w:p>
      <w:pPr>
        <w:spacing w:after="40"/>
      </w:pPr>
    </w:p>
    <w:p>
      <w:pPr>
        <w:keepLines/>
        <w:widowControl/>
      </w:pPr>
      <w:r>
        <w:rPr>
          <w:rFonts w:ascii="Calibri" w:hAnsi="Calibri" w:eastAsia="Calibri"/>
        </w:rPr>
        <w:t>Разница по длине сама по себе не позволяет определить конкретные участки: необходимо сопоставление инвентарных номеров, геометрии, технических паспортов и документов на баланс. Наиболее значимая проблема - низкая доля полной атрибутики водопроводных сетей.</w:t>
      </w:r>
    </w:p>
    <w:p>
      <w:pPr>
        <w:pStyle w:val="Heading2"/>
        <w:keepLines/>
        <w:widowControl/>
      </w:pPr>
      <w:r>
        <w:rPr>
          <w:rFonts w:ascii="Calibri" w:hAnsi="Calibri" w:eastAsia="Calibri"/>
        </w:rPr>
        <w:t>Целевая архитектура Asset ID</w:t>
      </w:r>
    </w:p>
    <w:p>
      <w:pPr>
        <w:keepLines/>
        <w:numPr>
          <w:ilvl w:val="0"/>
          <w:numId w:val="10"/>
        </w:numPr>
        <w:spacing w:after="160" w:line="280" w:lineRule="auto"/>
        <w:widowControl/>
      </w:pPr>
      <w:r>
        <w:rPr>
          <w:rFonts w:ascii="Calibri" w:hAnsi="Calibri" w:eastAsia="Calibri"/>
        </w:rPr>
        <w:t>один идентификатор в ГИС, бухгалтерском учёте и техническом паспорте;</w:t>
      </w:r>
    </w:p>
    <w:p>
      <w:pPr>
        <w:keepLines/>
        <w:numPr>
          <w:ilvl w:val="0"/>
          <w:numId w:val="10"/>
        </w:numPr>
        <w:spacing w:after="160" w:line="280" w:lineRule="auto"/>
        <w:widowControl/>
      </w:pPr>
      <w:r>
        <w:rPr>
          <w:rFonts w:ascii="Calibri" w:hAnsi="Calibri" w:eastAsia="Calibri"/>
        </w:rPr>
        <w:t>привязка аварий, обследований, ремонтов и реконструкций;</w:t>
      </w:r>
    </w:p>
    <w:p>
      <w:pPr>
        <w:keepLines/>
        <w:numPr>
          <w:ilvl w:val="0"/>
          <w:numId w:val="10"/>
        </w:numPr>
        <w:spacing w:after="160" w:line="280" w:lineRule="auto"/>
        <w:widowControl/>
      </w:pPr>
      <w:r>
        <w:rPr>
          <w:rFonts w:ascii="Calibri" w:hAnsi="Calibri" w:eastAsia="Calibri"/>
        </w:rPr>
        <w:t>привязка энергопотребления, приборов учёта и режимов работы;</w:t>
      </w:r>
    </w:p>
    <w:p>
      <w:pPr>
        <w:keepLines/>
        <w:numPr>
          <w:ilvl w:val="0"/>
          <w:numId w:val="10"/>
        </w:numPr>
        <w:spacing w:after="160" w:line="280" w:lineRule="auto"/>
        <w:widowControl/>
      </w:pPr>
      <w:r>
        <w:rPr>
          <w:rFonts w:ascii="Calibri" w:hAnsi="Calibri" w:eastAsia="Calibri"/>
        </w:rPr>
        <w:t>привязка объектов инвестиционной программы и источников финансирования;</w:t>
      </w:r>
    </w:p>
    <w:p>
      <w:pPr>
        <w:keepLines/>
        <w:numPr>
          <w:ilvl w:val="0"/>
          <w:numId w:val="10"/>
        </w:numPr>
        <w:spacing w:after="160" w:line="280" w:lineRule="auto"/>
        <w:widowControl/>
      </w:pPr>
      <w:r>
        <w:rPr>
          <w:rFonts w:ascii="Calibri" w:hAnsi="Calibri" w:eastAsia="Calibri"/>
        </w:rPr>
        <w:t>контроль сетей без документации и статуса оформления прав.</w:t>
      </w:r>
    </w:p>
    <w:p>
      <w:pPr>
        <w:pStyle w:val="Heading2"/>
        <w:keepLines/>
        <w:widowControl/>
      </w:pPr>
      <w:r>
        <w:rPr>
          <w:rFonts w:ascii="Calibri" w:hAnsi="Calibri" w:eastAsia="Calibri"/>
        </w:rPr>
        <w:t>Автоматизация и дистанционный учёт</w:t>
      </w:r>
    </w:p>
    <w:p>
      <w:pPr>
        <w:keepLines/>
        <w:widowControl/>
      </w:pPr>
      <w:r>
        <w:rPr>
          <w:rFonts w:ascii="Calibri" w:hAnsi="Calibri" w:eastAsia="Calibri"/>
        </w:rPr>
        <w:t>Инвестиции в автоматизацию и рост числа подключённых дистанционных приборов подтверждены, однако итоговый эффект пока не раскрыт единым набором KPI. Для цифровых проектов необходима базовая линия: охват объектов телеметрией, доля валидных данных, снижение времени обнаружения утечек, снижение потерь, сокращение выездов и экономический эффект.</w:t>
      </w:r>
    </w:p>
    <w:p>
      <w:pPr>
        <w:pStyle w:val="Callout"/>
        <w:keepLines/>
        <w:spacing w:before="80" w:after="160"/>
        <w:ind w:left="230" w:right="144"/>
        <w:shd w:fill="EAF3F8"/>
        <w:pBdr>
          <w:start w:val="single" w:sz="16" w:space="8" w:color="1F4D78"/>
        </w:pBdr>
        <w:widowControl/>
      </w:pPr>
      <w:r>
        <w:rPr>
          <w:rFonts w:ascii="Calibri" w:hAnsi="Calibri" w:eastAsia="Calibri"/>
          <w:b/>
          <w:color w:val="1F4D78"/>
        </w:rPr>
        <w:t xml:space="preserve">Ключевой результат. </w:t>
      </w:r>
      <w:r>
        <w:rPr>
          <w:rFonts w:ascii="Calibri" w:hAnsi="Calibri" w:eastAsia="Calibri"/>
          <w:color w:val="0B2545"/>
        </w:rPr>
        <w:t>Цифровизация считается завершённой не после установки системы, а после появления проверяемого управленческого эффекта и устойчивого процесса обновления данных.</w:t>
      </w:r>
    </w:p>
    <w:p>
      <w:pPr>
        <w:pStyle w:val="SourceNote"/>
        <w:keepLines/>
        <w:widowControl/>
        <w:spacing w:before="80" w:after="160"/>
      </w:pPr>
      <w:r>
        <w:rPr>
          <w:rFonts w:ascii="Calibri" w:hAnsi="Calibri" w:eastAsia="Calibri"/>
        </w:rPr>
        <w:t>Основные источники: Информация ОИиСЭК оцифровка 01.01.2024 - 31.07.2026.xlsx; Информация ОИиСЭК 01.01.2024 - 31.07.2026.xlsx; Сети Водоснабжения без документации.xlsx; Сети Водоотведения без документации .xlsx; Концепция пилотного проекта Талгарского месторождения.pptx.</w:t>
      </w:r>
    </w:p>
    <w:p>
      <w:pPr>
        <w:pStyle w:val="Heading1"/>
        <w:spacing w:before="0"/>
        <w:keepNext/>
      </w:pPr>
      <w:r>
        <w:t>15. Корпоративное управление, внутренний контроль и обеспечивающие функции</w:t>
      </w:r>
    </w:p>
    <w:p>
      <w:pPr>
        <w:pStyle w:val="Lead"/>
        <w:keepLines/>
        <w:widowControl/>
      </w:pPr>
      <w:r>
        <w:rPr>
          <w:rFonts w:ascii="Calibri" w:hAnsi="Calibri" w:eastAsia="Calibri"/>
        </w:rPr>
        <w:t>Организационная структура и основные обеспечивающие функции представлены в исходных материалах. При этом наличие подразделения или регламента не является доказательством результативности функции: для управленческого отчёта нужны измеримые итоги, динамика нарушений, сроки устранения и остаточный риск.</w:t>
      </w:r>
    </w:p>
    <w:tbl>
      <w:tblPr>
        <w:tblW w:type="dxa" w:w="9360"/>
        <w:tblLayout w:type="fixed"/>
        <w:tblLook w:firstColumn="1" w:firstRow="1" w:lastColumn="0" w:lastRow="0" w:noHBand="0" w:noVBand="1" w:val="04A0"/>
        <w:jc w:val="left"/>
        <w:tblInd w:w="120" w:type="dxa"/>
      </w:tblPr>
      <w:tblGrid>
        <w:gridCol w:w="2100"/>
        <w:gridCol w:w="3300"/>
        <w:gridCol w:w="3960"/>
      </w:tblGrid>
      <w:tr>
        <w:trPr>
          <w:tblHeader w:val="true"/>
          <w:cantSplit w:val="true"/>
        </w:trPr>
        <w:tc>
          <w:tcPr>
            <w:tcW w:type="dxa" w:w="2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Функция</w:t>
            </w:r>
          </w:p>
        </w:tc>
        <w:tc>
          <w:tcPr>
            <w:tcW w:type="dxa" w:w="33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Что подтверждено</w:t>
            </w:r>
          </w:p>
        </w:tc>
        <w:tc>
          <w:tcPr>
            <w:tcW w:type="dxa" w:w="39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Что отсутствует для оценки результата</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Лабораторный контроль</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Аккредитация ХБЛ; промышленный контроль ПДК</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Свод качества питьевой воды и очищенного стока</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Метрология</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Реестр приборов и план поверки</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Итог фактической поверки и доля действующих свидетельств</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ГЗ и ЧС</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Учения, отсутствие ЧС/крупных аварий в профильном контуре</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Оценка результатов учений и закрытие замечаний</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Охрана труда</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Расходы и организационные мероприятия</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Травматизм, LTIFR, тяжесть, near miss, выполнение корректирующих мер</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Закупки</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Бюджеты 2024-2025 и отдельные план-факт материалы</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Единый итог 2026: экономия, сроки, несостоявшиеся закупки, исполнение договоров</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Внутренний контроль / аудит / комплаенс</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Организационный контур</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План, фактические проверки, существенные замечания, просрочка устранения</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Информационная безопасность</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Отдельные элементы автоматизации</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Инциденты, критичные уязвимости, резервное копирование, восстановление</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Складской аварийный запас</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Полная сводка не представлена</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Норматив, факт, дефицит по критичным позициям</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Клиентский сервис</w:t>
            </w:r>
          </w:p>
        </w:tc>
        <w:tc>
          <w:tcPr>
            <w:tcW w:type="dxa" w:w="33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Данные по начислениям и приборам</w:t>
            </w:r>
          </w:p>
        </w:tc>
        <w:tc>
          <w:tcPr>
            <w:tcW w:type="dxa" w:w="3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Обращения, жалобы, SLA, перерасчёты, повторные обращения</w:t>
            </w:r>
          </w:p>
        </w:tc>
      </w:tr>
    </w:tbl>
    <w:p>
      <w:pPr>
        <w:spacing w:after="40"/>
      </w:pPr>
    </w:p>
    <w:p>
      <w:pPr>
        <w:pStyle w:val="Heading2"/>
        <w:keepLines/>
        <w:widowControl/>
      </w:pPr>
      <w:r>
        <w:rPr>
          <w:rFonts w:ascii="Calibri" w:hAnsi="Calibri" w:eastAsia="Calibri"/>
        </w:rPr>
        <w:t>Корпоративный цикл контроля</w:t>
      </w:r>
    </w:p>
    <w:p>
      <w:pPr>
        <w:keepLines/>
        <w:numPr>
          <w:ilvl w:val="0"/>
          <w:numId w:val="10"/>
        </w:numPr>
        <w:spacing w:after="160" w:line="280" w:lineRule="auto"/>
        <w:widowControl/>
      </w:pPr>
      <w:r>
        <w:rPr>
          <w:rFonts w:ascii="Calibri" w:hAnsi="Calibri" w:eastAsia="Calibri"/>
        </w:rPr>
        <w:t>единый реестр KPI с владельцем, формулой, источником и датой закрытия;</w:t>
      </w:r>
    </w:p>
    <w:p>
      <w:pPr>
        <w:keepLines/>
        <w:numPr>
          <w:ilvl w:val="0"/>
          <w:numId w:val="10"/>
        </w:numPr>
        <w:spacing w:after="160" w:line="280" w:lineRule="auto"/>
        <w:widowControl/>
      </w:pPr>
      <w:r>
        <w:rPr>
          <w:rFonts w:ascii="Calibri" w:hAnsi="Calibri" w:eastAsia="Calibri"/>
        </w:rPr>
        <w:t>ежемесячная сверка производственных, финансовых и тарифных показателей;</w:t>
      </w:r>
    </w:p>
    <w:p>
      <w:pPr>
        <w:keepLines/>
        <w:numPr>
          <w:ilvl w:val="0"/>
          <w:numId w:val="10"/>
        </w:numPr>
        <w:spacing w:after="160" w:line="280" w:lineRule="auto"/>
        <w:widowControl/>
      </w:pPr>
      <w:r>
        <w:rPr>
          <w:rFonts w:ascii="Calibri" w:hAnsi="Calibri" w:eastAsia="Calibri"/>
        </w:rPr>
        <w:t>квартальный реестр существенных рисков и корректирующих мероприятий;</w:t>
      </w:r>
    </w:p>
    <w:p>
      <w:pPr>
        <w:keepLines/>
        <w:numPr>
          <w:ilvl w:val="0"/>
          <w:numId w:val="10"/>
        </w:numPr>
        <w:spacing w:after="160" w:line="280" w:lineRule="auto"/>
        <w:widowControl/>
      </w:pPr>
      <w:r>
        <w:rPr>
          <w:rFonts w:ascii="Calibri" w:hAnsi="Calibri" w:eastAsia="Calibri"/>
        </w:rPr>
        <w:t>контроль просроченных поручений и повторных нарушений;</w:t>
      </w:r>
    </w:p>
    <w:p>
      <w:pPr>
        <w:keepLines/>
        <w:numPr>
          <w:ilvl w:val="0"/>
          <w:numId w:val="10"/>
        </w:numPr>
        <w:spacing w:after="160" w:line="280" w:lineRule="auto"/>
        <w:widowControl/>
      </w:pPr>
      <w:r>
        <w:rPr>
          <w:rFonts w:ascii="Calibri" w:hAnsi="Calibri" w:eastAsia="Calibri"/>
        </w:rPr>
        <w:t>раздельное раскрытие процесса, результата и остаточного риска.</w:t>
      </w:r>
    </w:p>
    <w:p>
      <w:pPr>
        <w:pStyle w:val="Callout"/>
        <w:keepLines/>
        <w:spacing w:before="80" w:after="160"/>
        <w:ind w:left="230" w:right="144"/>
        <w:shd w:fill="EAF3F8"/>
        <w:pBdr>
          <w:start w:val="single" w:sz="16" w:space="8" w:color="1F4D78"/>
        </w:pBdr>
        <w:widowControl/>
      </w:pPr>
      <w:r>
        <w:rPr>
          <w:rFonts w:ascii="Calibri" w:hAnsi="Calibri" w:eastAsia="Calibri"/>
          <w:b/>
          <w:color w:val="1F4D78"/>
        </w:rPr>
        <w:t xml:space="preserve">Принцип. </w:t>
      </w:r>
      <w:r>
        <w:rPr>
          <w:rFonts w:ascii="Calibri" w:hAnsi="Calibri" w:eastAsia="Calibri"/>
          <w:color w:val="0B2545"/>
        </w:rPr>
        <w:t>В итоговом отчёте по обеспечивающим функциям недостаточно написать «работа ведётся». Нужны показатель результата, отклонение, причина и корректирующее действие.</w:t>
      </w:r>
    </w:p>
    <w:p>
      <w:pPr>
        <w:pStyle w:val="SourceNote"/>
        <w:keepLines/>
        <w:widowControl/>
        <w:spacing w:before="80" w:after="160"/>
      </w:pPr>
      <w:r>
        <w:rPr>
          <w:rFonts w:ascii="Calibri" w:hAnsi="Calibri" w:eastAsia="Calibri"/>
        </w:rPr>
        <w:t>Основные источники: Структурная схема от 01.06.2026 ввод с 01.06.2026 Укрупненная с численностью.pptx; слайды ГЗ и ЧС.xlsx; метрология.docx; Инфо по ИЛ за 2024-2026.xlsx; Бюджет Закупок 2024 утвержд..xlsx; Бюджет Закупок 2025_утвержденный.xlsx.</w:t>
      </w:r>
    </w:p>
    <w:p>
      <w:pPr>
        <w:pStyle w:val="Heading1"/>
        <w:spacing w:before="0"/>
        <w:keepNext/>
      </w:pPr>
      <w:r>
        <w:t>16. Ключевые риски предприятия</w:t>
      </w:r>
    </w:p>
    <w:p>
      <w:pPr>
        <w:pStyle w:val="Lead"/>
        <w:keepLines/>
        <w:widowControl/>
      </w:pPr>
      <w:r>
        <w:rPr>
          <w:rFonts w:ascii="Calibri" w:hAnsi="Calibri" w:eastAsia="Calibri"/>
        </w:rPr>
        <w:t>Риски классифицированы без искусственного присвоения вероятностей и финансового ущерба. Пока единая корпоративная шкала не утверждена, используются только рабочие статусы: «требует решения», «регулярный контроль» и «недостаточно данных».</w:t>
      </w:r>
    </w:p>
    <w:tbl>
      <w:tblPr>
        <w:tblW w:type="dxa" w:w="9360"/>
        <w:tblLayout w:type="fixed"/>
        <w:tblLook w:firstColumn="1" w:firstRow="1" w:lastColumn="0" w:lastRow="0" w:noHBand="0" w:noVBand="1" w:val="04A0"/>
        <w:jc w:val="left"/>
        <w:tblInd w:w="120" w:type="dxa"/>
      </w:tblPr>
      <w:tblGrid>
        <w:gridCol w:w="2100"/>
        <w:gridCol w:w="2800"/>
        <w:gridCol w:w="1500"/>
        <w:gridCol w:w="2960"/>
      </w:tblGrid>
      <w:tr>
        <w:trPr>
          <w:tblHeader w:val="true"/>
          <w:cantSplit w:val="true"/>
        </w:trPr>
        <w:tc>
          <w:tcPr>
            <w:tcW w:type="dxa" w:w="2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Риск</w:t>
            </w:r>
          </w:p>
        </w:tc>
        <w:tc>
          <w:tcPr>
            <w:tcW w:type="dxa" w:w="28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Подтверждающая база</w:t>
            </w:r>
          </w:p>
        </w:tc>
        <w:tc>
          <w:tcPr>
            <w:tcW w:type="dxa" w:w="15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Рабочий статус</w:t>
            </w:r>
          </w:p>
        </w:tc>
        <w:tc>
          <w:tcPr>
            <w:tcW w:type="dxa" w:w="29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Направление реагирования</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Локальный дефицит мощности водоснабжения</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Рост спроса, локальные ограничения и стратегические проекты</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Требует решения</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Паспорта дефицитных зон, баланс мощности и график ввода проектов</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Аварийность и старение водопроводных сетей</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3 487 аварий в 2025; рост по стальным трубам</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Требует решения</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Риск-ориентированная программа замены участков</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Расходы и потери воды</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29% добычи в I полугодии 2026</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Требует решения</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Зональный водный баланс, DMA, учёт и поиск утечек</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Перегруженные КНС и критические коллекторы</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КНС-1 выше проекта; ограничения КНС-2/2А и коллектора Тренёва</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Требует решения</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Пообъектное резервирование и проекты реконструкции</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Пиковая нагрузка КОС</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644 746 м3/сут. при проекте 640 тыс.</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Требует решения</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Новая КОС, управление пиками, надёжность действующих сооружений</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Отрицательная тарифная экономика</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-2,533 млрд ₸ за I полугодие 2026</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Требует решения</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Reconciliation затрат, тарифов, активов и компенсаций</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Рост энергозатрат</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5,524 млрд ₸ в 2024; 6,684-6,698 млрд ₸ в 2025</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Регулярный контроль</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Удельные показатели по объектам и энергоэффективность</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Дебиторская задолженность</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Разные бухгалтерский и рабочий контуры</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Требует решения</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Мост сверки, сегментация портфеля и результат взыскания</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Неполная идентификация активов</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Расхождения ГИС/ОС; низкая атрибутика ВС</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Требует решения</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Asset ID и пообъектная инвентаризация</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Кадровый дефицит критических профессий</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Общая укомплектованность не раскрывает критические вакансии</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Недостаточно данных</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Единый норматив и реестр критических вакансий</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Экология и качество</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Неполные итоговые KPI воды, стоков, осадка и разрешений</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Недостаточно данных</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Единый экологический и лабораторный дашборд</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Внутренний контроль и ИБ</w:t>
            </w:r>
          </w:p>
        </w:tc>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Результативные показатели не представлены</w:t>
            </w:r>
          </w:p>
        </w:tc>
        <w:tc>
          <w:tcPr>
            <w:tcW w:type="dxa" w:w="1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Недостаточно данных</w:t>
            </w:r>
          </w:p>
        </w:tc>
        <w:tc>
          <w:tcPr>
            <w:tcW w:type="dxa" w:w="29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Реестр проверок, нарушений, инцидентов и просроченных мер</w:t>
            </w:r>
          </w:p>
        </w:tc>
      </w:tr>
    </w:tbl>
    <w:p>
      <w:pPr>
        <w:spacing w:after="40"/>
      </w:pPr>
    </w:p>
    <w:p>
      <w:pPr>
        <w:pStyle w:val="Callout"/>
        <w:keepLines/>
        <w:spacing w:before="80" w:after="160"/>
        <w:ind w:left="230" w:right="144"/>
        <w:shd w:fill="FCEBEC"/>
        <w:pBdr>
          <w:start w:val="single" w:sz="16" w:space="8" w:color="9B1C1C"/>
        </w:pBdr>
        <w:widowControl/>
      </w:pPr>
      <w:r>
        <w:rPr>
          <w:rFonts w:ascii="Calibri" w:hAnsi="Calibri" w:eastAsia="Calibri"/>
          <w:b/>
          <w:color w:val="9B1C1C"/>
        </w:rPr>
        <w:t xml:space="preserve">Системный риск. </w:t>
      </w:r>
      <w:r>
        <w:rPr>
          <w:rFonts w:ascii="Calibri" w:hAnsi="Calibri" w:eastAsia="Calibri"/>
          <w:color w:val="0B2545"/>
        </w:rPr>
        <w:t>Отсутствие единого официального реестра показателей и Asset ID создаёт повторяющиеся расхождения между подразделениями и затрудняет оценку причин, динамики и эффекта управленческих решений.</w:t>
      </w:r>
    </w:p>
    <w:p>
      <w:pPr>
        <w:pStyle w:val="SourceNote"/>
        <w:keepLines/>
        <w:widowControl/>
        <w:spacing w:before="80" w:after="160"/>
      </w:pPr>
      <w:r>
        <w:rPr>
          <w:rFonts w:ascii="Calibri" w:hAnsi="Calibri" w:eastAsia="Calibri"/>
        </w:rPr>
        <w:t>Основные источники: Канонический реестр KPI Алматы Су 2024-2026 v4 контрольный.xlsx; первичные реестры и формы, перечисленные в разделах 3-15.</w:t>
      </w:r>
    </w:p>
    <w:p>
      <w:pPr>
        <w:pStyle w:val="Heading1"/>
        <w:spacing w:before="0"/>
        <w:keepNext/>
      </w:pPr>
      <w:r>
        <w:t>17. Приоритеты и план действий на 2026-2030 годы</w:t>
      </w:r>
    </w:p>
    <w:p>
      <w:pPr>
        <w:pStyle w:val="Lead"/>
        <w:keepLines/>
        <w:widowControl/>
      </w:pPr>
      <w:r>
        <w:rPr>
          <w:rFonts w:ascii="Calibri" w:hAnsi="Calibri" w:eastAsia="Calibri"/>
        </w:rPr>
        <w:t>План разделён на три горизонта. Первый формирует управляемость и достоверность данных; второй устраняет инфраструктурные ограничения; третий переводит предприятие к прогнозному управлению жизненным циклом активов.</w:t>
      </w:r>
    </w:p>
    <w:p>
      <w:pPr>
        <w:pStyle w:val="Heading2"/>
        <w:keepLines/>
        <w:widowControl/>
      </w:pPr>
      <w:r>
        <w:rPr>
          <w:rFonts w:ascii="Calibri" w:hAnsi="Calibri" w:eastAsia="Calibri"/>
        </w:rPr>
        <w:t>Горизонт 1: до конца 2026 года</w:t>
      </w:r>
    </w:p>
    <w:tbl>
      <w:tblPr>
        <w:tblW w:type="dxa" w:w="9360"/>
        <w:tblLayout w:type="fixed"/>
        <w:tblLook w:firstColumn="1" w:firstRow="1" w:lastColumn="0" w:lastRow="0" w:noHBand="0" w:noVBand="1" w:val="04A0"/>
        <w:jc w:val="left"/>
        <w:tblInd w:w="120" w:type="dxa"/>
      </w:tblPr>
      <w:tblGrid>
        <w:gridCol w:w="5200"/>
        <w:gridCol w:w="4160"/>
      </w:tblGrid>
      <w:tr>
        <w:trPr>
          <w:tblHeader w:val="true"/>
          <w:cantSplit w:val="true"/>
        </w:trPr>
        <w:tc>
          <w:tcPr>
            <w:tcW w:type="dxa" w:w="5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Действие</w:t>
            </w:r>
          </w:p>
        </w:tc>
        <w:tc>
          <w:tcPr>
            <w:tcW w:type="dxa" w:w="41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Измеримый результат</w:t>
            </w:r>
          </w:p>
        </w:tc>
      </w:tr>
      <w:tr>
        <w:trPr>
          <w:cantSplit w:val="true"/>
        </w:trPr>
        <w:tc>
          <w:tcPr>
            <w:tcW w:type="dxa" w:w="5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Утвердить единый реестр KPI</w:t>
            </w:r>
          </w:p>
        </w:tc>
        <w:tc>
          <w:tcPr>
            <w:tcW w:type="dxa" w:w="4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Формула, период, источник, владелец и дата закрытия для каждого показателя</w:t>
            </w:r>
          </w:p>
        </w:tc>
      </w:tr>
      <w:tr>
        <w:trPr>
          <w:cantSplit w:val="true"/>
        </w:trPr>
        <w:tc>
          <w:tcPr>
            <w:tcW w:type="dxa" w:w="5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Закрыть ключевые reconciliation</w:t>
            </w:r>
          </w:p>
        </w:tc>
        <w:tc>
          <w:tcPr>
            <w:tcW w:type="dxa" w:w="4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Водный баланс, ДЗ, тарифный и бухгалтерский результат, ГИС/ОС, переданные активы</w:t>
            </w:r>
          </w:p>
        </w:tc>
      </w:tr>
      <w:tr>
        <w:trPr>
          <w:cantSplit w:val="true"/>
        </w:trPr>
        <w:tc>
          <w:tcPr>
            <w:tcW w:type="dxa" w:w="5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Сформировать реестр критических активов</w:t>
            </w:r>
          </w:p>
        </w:tc>
        <w:tc>
          <w:tcPr>
            <w:tcW w:type="dxa" w:w="4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Участки сетей, КНС, коллекторы, КОС, водозаборы с обоснованным статусом</w:t>
            </w:r>
          </w:p>
        </w:tc>
      </w:tr>
      <w:tr>
        <w:trPr>
          <w:cantSplit w:val="true"/>
        </w:trPr>
        <w:tc>
          <w:tcPr>
            <w:tcW w:type="dxa" w:w="5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Перевести ИП-2026 на объектный контроль</w:t>
            </w:r>
          </w:p>
        </w:tc>
        <w:tc>
          <w:tcPr>
            <w:tcW w:type="dxa" w:w="4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Еженедельный график физического выполнения, АВР, оплат и отклонений</w:t>
            </w:r>
          </w:p>
        </w:tc>
      </w:tr>
      <w:tr>
        <w:trPr>
          <w:cantSplit w:val="true"/>
        </w:trPr>
        <w:tc>
          <w:tcPr>
            <w:tcW w:type="dxa" w:w="5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Утвердить обязательные KPI качества и безопасности</w:t>
            </w:r>
          </w:p>
        </w:tc>
        <w:tc>
          <w:tcPr>
            <w:tcW w:type="dxa" w:w="4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Питьевая вода, очищенный сток, экология, травматизм, аварийная готовность</w:t>
            </w:r>
          </w:p>
        </w:tc>
      </w:tr>
      <w:tr>
        <w:trPr>
          <w:cantSplit w:val="true"/>
        </w:trPr>
        <w:tc>
          <w:tcPr>
            <w:tcW w:type="dxa" w:w="5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Ранжировать вакансии</w:t>
            </w:r>
          </w:p>
        </w:tc>
        <w:tc>
          <w:tcPr>
            <w:tcW w:type="dxa" w:w="4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Отдельный список критических вакансий и рисков сменности</w:t>
            </w:r>
          </w:p>
        </w:tc>
      </w:tr>
    </w:tbl>
    <w:p>
      <w:pPr>
        <w:spacing w:after="40"/>
      </w:pPr>
    </w:p>
    <w:p>
      <w:pPr>
        <w:pStyle w:val="Heading2"/>
        <w:keepLines/>
        <w:widowControl/>
      </w:pPr>
      <w:r>
        <w:rPr>
          <w:rFonts w:ascii="Calibri" w:hAnsi="Calibri" w:eastAsia="Calibri"/>
        </w:rPr>
        <w:t>Горизонт 2: 2027-2028 годы</w:t>
      </w:r>
    </w:p>
    <w:p>
      <w:pPr>
        <w:keepLines/>
        <w:numPr>
          <w:ilvl w:val="0"/>
          <w:numId w:val="10"/>
        </w:numPr>
        <w:spacing w:after="160" w:line="280" w:lineRule="auto"/>
        <w:widowControl/>
      </w:pPr>
      <w:r>
        <w:rPr>
          <w:rFonts w:ascii="Calibri" w:hAnsi="Calibri" w:eastAsia="Calibri"/>
        </w:rPr>
        <w:t>реализовать программу реконструкции участков водопровода с наибольшей аварийностью и последствиями отказа;</w:t>
      </w:r>
    </w:p>
    <w:p>
      <w:pPr>
        <w:keepLines/>
        <w:numPr>
          <w:ilvl w:val="0"/>
          <w:numId w:val="10"/>
        </w:numPr>
        <w:spacing w:after="160" w:line="280" w:lineRule="auto"/>
        <w:widowControl/>
      </w:pPr>
      <w:r>
        <w:rPr>
          <w:rFonts w:ascii="Calibri" w:hAnsi="Calibri" w:eastAsia="Calibri"/>
        </w:rPr>
        <w:t>обеспечить проектные решения по перегруженным КНС и критическим коллекторам;</w:t>
      </w:r>
    </w:p>
    <w:p>
      <w:pPr>
        <w:keepLines/>
        <w:numPr>
          <w:ilvl w:val="0"/>
          <w:numId w:val="10"/>
        </w:numPr>
        <w:spacing w:after="160" w:line="280" w:lineRule="auto"/>
        <w:widowControl/>
      </w:pPr>
      <w:r>
        <w:rPr>
          <w:rFonts w:ascii="Calibri" w:hAnsi="Calibri" w:eastAsia="Calibri"/>
        </w:rPr>
        <w:t>увеличить фактическую передачу данных дистанционными приборами и внедрить зональный водный баланс;</w:t>
      </w:r>
    </w:p>
    <w:p>
      <w:pPr>
        <w:keepLines/>
        <w:numPr>
          <w:ilvl w:val="0"/>
          <w:numId w:val="10"/>
        </w:numPr>
        <w:spacing w:after="160" w:line="280" w:lineRule="auto"/>
        <w:widowControl/>
      </w:pPr>
      <w:r>
        <w:rPr>
          <w:rFonts w:ascii="Calibri" w:hAnsi="Calibri" w:eastAsia="Calibri"/>
        </w:rPr>
        <w:t>согласовать устойчивую модель покрытия OPEX для принятых на баланс активов;</w:t>
      </w:r>
    </w:p>
    <w:p>
      <w:pPr>
        <w:keepLines/>
        <w:numPr>
          <w:ilvl w:val="0"/>
          <w:numId w:val="10"/>
        </w:numPr>
        <w:spacing w:after="160" w:line="280" w:lineRule="auto"/>
        <w:widowControl/>
      </w:pPr>
      <w:r>
        <w:rPr>
          <w:rFonts w:ascii="Calibri" w:hAnsi="Calibri" w:eastAsia="Calibri"/>
        </w:rPr>
        <w:t>завершить приоритетную сверку ГИС, ОС и технической документации.</w:t>
      </w:r>
    </w:p>
    <w:p>
      <w:pPr>
        <w:pStyle w:val="Heading2"/>
        <w:keepLines/>
        <w:widowControl/>
      </w:pPr>
      <w:r>
        <w:rPr>
          <w:rFonts w:ascii="Calibri" w:hAnsi="Calibri" w:eastAsia="Calibri"/>
        </w:rPr>
        <w:t>Горизонт 3: 2029-2030 годы</w:t>
      </w:r>
    </w:p>
    <w:p>
      <w:pPr>
        <w:keepLines/>
        <w:numPr>
          <w:ilvl w:val="0"/>
          <w:numId w:val="10"/>
        </w:numPr>
        <w:spacing w:after="160" w:line="280" w:lineRule="auto"/>
        <w:widowControl/>
      </w:pPr>
      <w:r>
        <w:rPr>
          <w:rFonts w:ascii="Calibri" w:hAnsi="Calibri" w:eastAsia="Calibri"/>
        </w:rPr>
        <w:t>перейти к прогнозному ремонту и управлению стоимостью жизненного цикла;</w:t>
      </w:r>
    </w:p>
    <w:p>
      <w:pPr>
        <w:keepLines/>
        <w:numPr>
          <w:ilvl w:val="0"/>
          <w:numId w:val="10"/>
        </w:numPr>
        <w:spacing w:after="160" w:line="280" w:lineRule="auto"/>
        <w:widowControl/>
      </w:pPr>
      <w:r>
        <w:rPr>
          <w:rFonts w:ascii="Calibri" w:hAnsi="Calibri" w:eastAsia="Calibri"/>
        </w:rPr>
        <w:t>использовать единый Asset ID для планирования OPEX и инвестиционной программы;</w:t>
      </w:r>
    </w:p>
    <w:p>
      <w:pPr>
        <w:keepLines/>
        <w:numPr>
          <w:ilvl w:val="0"/>
          <w:numId w:val="10"/>
        </w:numPr>
        <w:spacing w:after="160" w:line="280" w:lineRule="auto"/>
        <w:widowControl/>
      </w:pPr>
      <w:r>
        <w:rPr>
          <w:rFonts w:ascii="Calibri" w:hAnsi="Calibri" w:eastAsia="Calibri"/>
        </w:rPr>
        <w:t>обеспечить ввод ключевых мощностей в соответствии с подтверждённым спросом;</w:t>
      </w:r>
    </w:p>
    <w:p>
      <w:pPr>
        <w:keepLines/>
        <w:numPr>
          <w:ilvl w:val="0"/>
          <w:numId w:val="10"/>
        </w:numPr>
        <w:spacing w:after="160" w:line="280" w:lineRule="auto"/>
        <w:widowControl/>
      </w:pPr>
      <w:r>
        <w:rPr>
          <w:rFonts w:ascii="Calibri" w:hAnsi="Calibri" w:eastAsia="Calibri"/>
        </w:rPr>
        <w:t>сформировать устойчивую систему экологических, клиентских и операционных KPI;</w:t>
      </w:r>
    </w:p>
    <w:p>
      <w:pPr>
        <w:keepLines/>
        <w:numPr>
          <w:ilvl w:val="0"/>
          <w:numId w:val="10"/>
        </w:numPr>
        <w:spacing w:after="160" w:line="280" w:lineRule="auto"/>
        <w:widowControl/>
      </w:pPr>
      <w:r>
        <w:rPr>
          <w:rFonts w:ascii="Calibri" w:hAnsi="Calibri" w:eastAsia="Calibri"/>
        </w:rPr>
        <w:t>связать тарифные заявки с подтверждённой пообъектной экономикой.</w:t>
      </w:r>
    </w:p>
    <w:p>
      <w:pPr>
        <w:pStyle w:val="Callout"/>
        <w:keepLines/>
        <w:spacing w:before="80" w:after="160"/>
        <w:ind w:left="230" w:right="144"/>
        <w:shd w:fill="EAF3F8"/>
        <w:pBdr>
          <w:start w:val="single" w:sz="16" w:space="8" w:color="1F4D78"/>
        </w:pBdr>
        <w:widowControl/>
      </w:pPr>
      <w:r>
        <w:rPr>
          <w:rFonts w:ascii="Calibri" w:hAnsi="Calibri" w:eastAsia="Calibri"/>
          <w:b/>
          <w:color w:val="1F4D78"/>
        </w:rPr>
        <w:t xml:space="preserve">Последовательность. </w:t>
      </w:r>
      <w:r>
        <w:rPr>
          <w:rFonts w:ascii="Calibri" w:hAnsi="Calibri" w:eastAsia="Calibri"/>
          <w:color w:val="0B2545"/>
        </w:rPr>
        <w:t>Сначала единые данные и критичность активов, затем капитальные решения, после этого - прогнозное управление. Нарушение этой последовательности повышает риск инвестировать без измеримого эффекта.</w:t>
      </w:r>
    </w:p>
    <w:p>
      <w:pPr>
        <w:pStyle w:val="Heading1"/>
        <w:spacing w:before="0"/>
        <w:keepNext/>
      </w:pPr>
      <w:r>
        <w:t>18. Решения, требующие поддержки акимата, собственника и государственных органов</w:t>
      </w:r>
    </w:p>
    <w:p>
      <w:pPr>
        <w:pStyle w:val="Lead"/>
        <w:keepLines/>
        <w:widowControl/>
      </w:pPr>
      <w:r>
        <w:rPr>
          <w:rFonts w:ascii="Calibri" w:hAnsi="Calibri" w:eastAsia="Calibri"/>
        </w:rPr>
        <w:t>Внешняя поддержка нужна только по вопросам, которые невозможно закрыть внутренним управленческим решением предприятия. По каждому вопросу до официального направления следует обновить статус: одобрено, профинансировано, частично исполнено, находится на рассмотрении или требует нового решения.</w:t>
      </w:r>
    </w:p>
    <w:tbl>
      <w:tblPr>
        <w:tblW w:type="dxa" w:w="9360"/>
        <w:tblLayout w:type="fixed"/>
        <w:tblLook w:firstColumn="1" w:firstRow="1" w:lastColumn="0" w:lastRow="0" w:noHBand="0" w:noVBand="1" w:val="04A0"/>
        <w:jc w:val="left"/>
        <w:tblInd w:w="120" w:type="dxa"/>
      </w:tblPr>
      <w:tblGrid>
        <w:gridCol w:w="2350"/>
        <w:gridCol w:w="3500"/>
        <w:gridCol w:w="3510"/>
      </w:tblGrid>
      <w:tr>
        <w:trPr>
          <w:tblHeader w:val="true"/>
          <w:cantSplit w:val="true"/>
        </w:trPr>
        <w:tc>
          <w:tcPr>
            <w:tcW w:type="dxa" w:w="23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Вопрос</w:t>
            </w:r>
          </w:p>
        </w:tc>
        <w:tc>
          <w:tcPr>
            <w:tcW w:type="dxa" w:w="35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Что уже подтверждено источниками</w:t>
            </w:r>
          </w:p>
        </w:tc>
        <w:tc>
          <w:tcPr>
            <w:tcW w:type="dxa" w:w="35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Что требуется подтвердить сейчас</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Поддержка по долгу за электроэнергию</w:t>
            </w:r>
          </w:p>
        </w:tc>
        <w:tc>
          <w:tcPr>
            <w:tcW w:type="dxa" w:w="3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Запрос 6,6 млрд ₸: 4,1 млрд ₸ фактического долга и 2,5 млрд ₸ прогноза; письмо в УЭиВ от 01.06.2026 №03-11/913</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Решение, сумма финансирования, дата перечисления и остаток обязательств</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Специальная техника</w:t>
            </w:r>
          </w:p>
        </w:tc>
        <w:tc>
          <w:tcPr>
            <w:tcW w:type="dxa" w:w="3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ФЭО на 51 единицу техники примерно на 1,7 млрд ₸</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Утверждённый перечень, решение о финансировании, закуп и сроки поставки</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Оплата труда</w:t>
            </w:r>
          </w:p>
        </w:tc>
        <w:tc>
          <w:tcPr>
            <w:tcW w:type="dxa" w:w="3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Материалы ссылаются на законодательное основание и письмо в УЭиВ от 26.01.2026 №03-11/137</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Принятое постановление/тарифное решение, источник покрытия и дата введения</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Западный коллектор</w:t>
            </w:r>
          </w:p>
        </w:tc>
        <w:tc>
          <w:tcPr>
            <w:tcW w:type="dxa" w:w="3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Договор 36,3 млрд ₸; январская готовность 25%; необходимость корректировки трассы примерно на 10 млрд ₸</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Фактическая готовность, утверждение корректировки, финансирование и новый срок</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Аксайское экологическое обязательство</w:t>
            </w:r>
          </w:p>
        </w:tc>
        <w:tc>
          <w:tcPr>
            <w:tcW w:type="dxa" w:w="3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Компенсационная высадка 133 тыс. деревьев; оценка 4,8 млрд ₸ в ценах 2023 года</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Правовое решение, источник финансирования и фактическое исполнение</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Нурлытау / Ерменсай</w:t>
            </w:r>
          </w:p>
        </w:tc>
        <w:tc>
          <w:tcPr>
            <w:tcW w:type="dxa" w:w="3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Договор 10,4 млрд ₸; январская готовность 25%; оценка дополнительных работ около 4 млрд ₸</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Утверждённая корректировка ПСД, стоимость и дата ввода</w:t>
            </w:r>
          </w:p>
        </w:tc>
      </w:tr>
      <w:tr>
        <w:trPr>
          <w:cantSplit w:val="true"/>
        </w:trPr>
        <w:tc>
          <w:tcPr>
            <w:tcW w:type="dxa" w:w="23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Новая КОС</w:t>
            </w:r>
          </w:p>
        </w:tc>
        <w:tc>
          <w:tcPr>
            <w:tcW w:type="dxa" w:w="35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Мощность 320 тыс. м3/сут.; ПСД 419,9 млн ₸; ориентир СМР 54 млрд ₸; экспертиза планировалась на декабрь 2026</w:t>
            </w:r>
          </w:p>
        </w:tc>
        <w:tc>
          <w:tcPr>
            <w:tcW w:type="dxa" w:w="35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Актуальный график, финансирование, разрешения и межведомственные решения</w:t>
            </w:r>
          </w:p>
        </w:tc>
      </w:tr>
    </w:tbl>
    <w:p>
      <w:pPr>
        <w:spacing w:after="40"/>
      </w:pPr>
    </w:p>
    <w:p>
      <w:pPr>
        <w:pStyle w:val="Heading2"/>
        <w:keepLines/>
        <w:widowControl/>
      </w:pPr>
      <w:r>
        <w:rPr>
          <w:rFonts w:ascii="Calibri" w:hAnsi="Calibri" w:eastAsia="Calibri"/>
        </w:rPr>
        <w:t>Минимальный пакет для внешнего решения</w:t>
      </w:r>
    </w:p>
    <w:p>
      <w:pPr>
        <w:keepLines/>
        <w:numPr>
          <w:ilvl w:val="0"/>
          <w:numId w:val="10"/>
        </w:numPr>
        <w:spacing w:after="160" w:line="280" w:lineRule="auto"/>
        <w:widowControl/>
      </w:pPr>
      <w:r>
        <w:rPr>
          <w:rFonts w:ascii="Calibri" w:hAnsi="Calibri" w:eastAsia="Calibri"/>
        </w:rPr>
        <w:t>подтверждённая проблема и её влияние на городскую услугу;</w:t>
      </w:r>
    </w:p>
    <w:p>
      <w:pPr>
        <w:keepLines/>
        <w:numPr>
          <w:ilvl w:val="0"/>
          <w:numId w:val="10"/>
        </w:numPr>
        <w:spacing w:after="160" w:line="280" w:lineRule="auto"/>
        <w:widowControl/>
      </w:pPr>
      <w:r>
        <w:rPr>
          <w:rFonts w:ascii="Calibri" w:hAnsi="Calibri" w:eastAsia="Calibri"/>
        </w:rPr>
        <w:t>актуальный статус предыдущих поручений и финансирования;</w:t>
      </w:r>
    </w:p>
    <w:p>
      <w:pPr>
        <w:keepLines/>
        <w:numPr>
          <w:ilvl w:val="0"/>
          <w:numId w:val="10"/>
        </w:numPr>
        <w:spacing w:after="160" w:line="280" w:lineRule="auto"/>
        <w:widowControl/>
      </w:pPr>
      <w:r>
        <w:rPr>
          <w:rFonts w:ascii="Calibri" w:hAnsi="Calibri" w:eastAsia="Calibri"/>
        </w:rPr>
        <w:t>варианты решения и последствия бездействия;</w:t>
      </w:r>
    </w:p>
    <w:p>
      <w:pPr>
        <w:keepLines/>
        <w:numPr>
          <w:ilvl w:val="0"/>
          <w:numId w:val="10"/>
        </w:numPr>
        <w:spacing w:after="160" w:line="280" w:lineRule="auto"/>
        <w:widowControl/>
      </w:pPr>
      <w:r>
        <w:rPr>
          <w:rFonts w:ascii="Calibri" w:hAnsi="Calibri" w:eastAsia="Calibri"/>
        </w:rPr>
        <w:t>утверждённая стоимость и источник финансирования;</w:t>
      </w:r>
    </w:p>
    <w:p>
      <w:pPr>
        <w:keepLines/>
        <w:numPr>
          <w:ilvl w:val="0"/>
          <w:numId w:val="10"/>
        </w:numPr>
        <w:spacing w:after="160" w:line="280" w:lineRule="auto"/>
        <w:widowControl/>
      </w:pPr>
      <w:r>
        <w:rPr>
          <w:rFonts w:ascii="Calibri" w:hAnsi="Calibri" w:eastAsia="Calibri"/>
        </w:rPr>
        <w:t>сроки, этапность, ответственные стороны и измеримый результат;</w:t>
      </w:r>
    </w:p>
    <w:p>
      <w:pPr>
        <w:keepLines/>
        <w:numPr>
          <w:ilvl w:val="0"/>
          <w:numId w:val="10"/>
        </w:numPr>
        <w:spacing w:after="160" w:line="280" w:lineRule="auto"/>
        <w:widowControl/>
      </w:pPr>
      <w:r>
        <w:rPr>
          <w:rFonts w:ascii="Calibri" w:hAnsi="Calibri" w:eastAsia="Calibri"/>
        </w:rPr>
        <w:t>влияние нового объекта на будущие OPEX и штат.</w:t>
      </w:r>
    </w:p>
    <w:p>
      <w:pPr>
        <w:pStyle w:val="Callout"/>
        <w:keepLines/>
        <w:spacing w:before="80" w:after="160"/>
        <w:ind w:left="230" w:right="144"/>
        <w:shd w:fill="FFF7E0"/>
        <w:pBdr>
          <w:start w:val="single" w:sz="16" w:space="8" w:color="7A5A00"/>
        </w:pBdr>
        <w:widowControl/>
      </w:pPr>
      <w:r>
        <w:rPr>
          <w:rFonts w:ascii="Calibri" w:hAnsi="Calibri" w:eastAsia="Calibri"/>
          <w:b/>
          <w:color w:val="7A5A00"/>
        </w:rPr>
        <w:t xml:space="preserve">Принцип представления. </w:t>
      </w:r>
      <w:r>
        <w:rPr>
          <w:rFonts w:ascii="Calibri" w:hAnsi="Calibri" w:eastAsia="Calibri"/>
          <w:color w:val="0B2545"/>
        </w:rPr>
        <w:t>Историческая сумма запроса не представляется как действующая потребность без проверки текущего статуса решения, освоения и остатка.</w:t>
      </w:r>
    </w:p>
    <w:p>
      <w:pPr>
        <w:pStyle w:val="SourceNote"/>
        <w:keepLines/>
        <w:widowControl/>
        <w:spacing w:before="80" w:after="160"/>
      </w:pPr>
      <w:r>
        <w:rPr>
          <w:rFonts w:ascii="Calibri" w:hAnsi="Calibri" w:eastAsia="Calibri"/>
        </w:rPr>
        <w:t>Основные источники: Презентация для Зам акима 08.07 для ген дира.pptx; Презентация для Зам акима 22.07 (1) (1).pptx; О приведении уровня оплаты труда в соответствие с законодательством.pptx; ФИНАЛ 13.08.26 Презентация Инвест Отдел ДВИ ОК.pptx.</w:t>
      </w:r>
    </w:p>
    <w:p>
      <w:pPr>
        <w:pStyle w:val="Heading1"/>
        <w:spacing w:before="0"/>
        <w:keepNext/>
      </w:pPr>
      <w:r>
        <w:t>19. Итоговая управленческая оценка предприятия</w:t>
      </w:r>
    </w:p>
    <w:p>
      <w:pPr>
        <w:pStyle w:val="Lead"/>
        <w:keepLines/>
        <w:widowControl/>
      </w:pPr>
      <w:r>
        <w:rPr>
          <w:rFonts w:ascii="Calibri" w:hAnsi="Calibri" w:eastAsia="Calibri"/>
        </w:rPr>
        <w:t>ГКП на ПХВ «Алматы Су» остаётся операционно функционирующим предприятием с растущим масштабом инфраструктуры и клиентской базы. Положительные изменения 2025 года - увеличение обновления сетей, снижение абсолютных распределительных потерь, улучшение аудированного финансового результата и снижение текучести - подтверждены источниками.</w:t>
      </w:r>
    </w:p>
    <w:p>
      <w:pPr>
        <w:keepLines/>
        <w:widowControl/>
      </w:pPr>
      <w:r>
        <w:rPr>
          <w:rFonts w:ascii="Calibri" w:hAnsi="Calibri" w:eastAsia="Calibri"/>
        </w:rPr>
        <w:t>Одновременно рост периметра не сопровождается завершённой системой пообъектного управления активами и единым корпоративным набором KPI. Аварийность водопровода, перегрузка отдельных КНС, пиковая загрузка КОС, отрицательная тарифная экономика I полугодия 2026 года, расхождения ДЗ и недостаточная цифровая атрибуция активов требуют управленческого решения.</w:t>
      </w:r>
    </w:p>
    <w:tbl>
      <w:tblPr>
        <w:tblW w:type="dxa" w:w="9360"/>
        <w:tblLayout w:type="fixed"/>
        <w:tblLook w:firstColumn="1" w:firstRow="1" w:lastColumn="0" w:lastRow="0" w:noHBand="0" w:noVBand="1" w:val="04A0"/>
        <w:jc w:val="left"/>
        <w:tblInd w:w="120" w:type="dxa"/>
      </w:tblPr>
      <w:tblGrid>
        <w:gridCol w:w="2600"/>
        <w:gridCol w:w="6760"/>
      </w:tblGrid>
      <w:tr>
        <w:trPr>
          <w:tblHeader w:val="true"/>
          <w:cantSplit w:val="true"/>
        </w:trPr>
        <w:tc>
          <w:tcPr>
            <w:tcW w:type="dxa" w:w="2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Область</w:t>
            </w:r>
          </w:p>
        </w:tc>
        <w:tc>
          <w:tcPr>
            <w:tcW w:type="dxa" w:w="67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Итоговая оценка</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Производство</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Объёмы обеспечиваются, но водный баланс и потери требуют детализации по зонам</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Водопровод</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Расширение и обновление подтверждены; аварийность и износ остаются системным риском</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Водоотведение</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Сеть и число КНС растут; есть критические точки резервирования и гидравлики</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КОС и экология</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Пиковая нагрузка достигает проектной мощности; итоговые экологические KPI неполны</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Потребители</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Клиентская база растёт; дистанционная передача данных остаётся низкой</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Финансы и тариф</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2025 год прибыльный по аудиту; в I полугодии 2026 сохраняется отрицательный тарифный и бухгалтерский результат в разных контурах</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Инвестиции</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Портфель существенный; в 2026 году требуется ускорение физического и финансового выполнения</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Персонал</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Укомплектованность штатного расписания высокая; нормативная потребность и критические вакансии не согласованы</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Данные и контроль</w:t>
            </w:r>
          </w:p>
        </w:tc>
        <w:tc>
          <w:tcPr>
            <w:tcW w:type="dxa" w:w="6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Главный межфункциональный разрыв - отсутствие единого реестра KPI и Asset ID</w:t>
            </w:r>
          </w:p>
        </w:tc>
      </w:tr>
    </w:tbl>
    <w:p>
      <w:pPr>
        <w:spacing w:after="40"/>
      </w:pPr>
    </w:p>
    <w:p>
      <w:pPr>
        <w:pStyle w:val="Callout"/>
        <w:keepLines/>
        <w:spacing w:before="80" w:after="160"/>
        <w:ind w:left="230" w:right="144"/>
        <w:shd w:fill="EAF3F8"/>
        <w:pBdr>
          <w:start w:val="single" w:sz="16" w:space="8" w:color="1F4D78"/>
        </w:pBdr>
        <w:widowControl/>
      </w:pPr>
      <w:r>
        <w:rPr>
          <w:rFonts w:ascii="Calibri" w:hAnsi="Calibri" w:eastAsia="Calibri"/>
          <w:b/>
          <w:color w:val="1F4D78"/>
        </w:rPr>
        <w:t xml:space="preserve">Общая оценка. </w:t>
      </w:r>
      <w:r>
        <w:rPr>
          <w:rFonts w:ascii="Calibri" w:hAnsi="Calibri" w:eastAsia="Calibri"/>
          <w:color w:val="0B2545"/>
        </w:rPr>
        <w:t>Предприятие способно обеспечивать текущий операционный контур, но его устойчивость всё сильнее зависит от своевременного снятия инфраструктурных ограничений, тарифного покрытия новых активов и качества управленческих данных.</w:t>
      </w:r>
    </w:p>
    <w:p>
      <w:pPr>
        <w:pStyle w:val="Heading2"/>
        <w:keepLines/>
        <w:widowControl/>
      </w:pPr>
      <w:r>
        <w:rPr>
          <w:rFonts w:ascii="Calibri" w:hAnsi="Calibri" w:eastAsia="Calibri"/>
        </w:rPr>
        <w:t>Решение первого приоритета</w:t>
      </w:r>
    </w:p>
    <w:p>
      <w:pPr>
        <w:keepLines/>
        <w:widowControl/>
      </w:pPr>
      <w:r>
        <w:rPr>
          <w:rFonts w:ascii="Calibri" w:hAnsi="Calibri" w:eastAsia="Calibri"/>
        </w:rPr>
        <w:t>Утвердить единый корпоративный паспорт показателей и критических активов, после чего увязать инвестиционную программу, тарифную заявку, OPEX, кадровую потребность и цифровизацию с измеримыми производственными рисками и результатами.</w:t>
      </w:r>
    </w:p>
    <w:p>
      <w:r>
        <w:br w:type="page"/>
      </w:r>
    </w:p>
    <w:p>
      <w:pPr>
        <w:pStyle w:val="Heading1"/>
        <w:spacing w:before="0"/>
        <w:keepNext/>
      </w:pPr>
      <w:r>
        <w:t>20. Приложения и доказательная база</w:t>
      </w:r>
    </w:p>
    <w:p>
      <w:pPr>
        <w:pStyle w:val="Lead"/>
        <w:keepLines/>
        <w:widowControl/>
      </w:pPr>
      <w:r>
        <w:rPr>
          <w:rFonts w:ascii="Calibri" w:hAnsi="Calibri" w:eastAsia="Calibri"/>
        </w:rPr>
        <w:t>Приложения предназначены для аудита выводов и последующей актуализации отчёта. Они разделяют подтверждённые данные, расчётные показатели, расхождения и запрос недостающей информации.</w:t>
      </w:r>
    </w:p>
    <w:p>
      <w:pPr>
        <w:pStyle w:val="Heading2"/>
        <w:keepLines/>
        <w:widowControl/>
      </w:pPr>
      <w:r>
        <w:rPr>
          <w:rFonts w:ascii="Calibri" w:hAnsi="Calibri" w:eastAsia="Calibri"/>
        </w:rPr>
        <w:t>20.1. Легенда статусов данных</w:t>
      </w:r>
    </w:p>
    <w:tbl>
      <w:tblPr>
        <w:tblW w:type="dxa" w:w="9360"/>
        <w:tblLayout w:type="fixed"/>
        <w:tblLook w:firstColumn="1" w:firstRow="1" w:lastColumn="0" w:lastRow="0" w:noHBand="0" w:noVBand="1" w:val="04A0"/>
        <w:jc w:val="left"/>
        <w:tblInd w:w="120" w:type="dxa"/>
      </w:tblPr>
      <w:tblGrid>
        <w:gridCol w:w="2200"/>
        <w:gridCol w:w="7160"/>
      </w:tblGrid>
      <w:tr>
        <w:trPr>
          <w:tblHeader w:val="true"/>
          <w:cantSplit w:val="true"/>
        </w:trPr>
        <w:tc>
          <w:tcPr>
            <w:tcW w:type="dxa" w:w="22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Статус</w:t>
            </w:r>
          </w:p>
        </w:tc>
        <w:tc>
          <w:tcPr>
            <w:tcW w:type="dxa" w:w="71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Определение</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Подтверждено</w:t>
            </w:r>
          </w:p>
        </w:tc>
        <w:tc>
          <w:tcPr>
            <w:tcW w:type="dxa" w:w="7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Показатель найден в приоритетном источнике с установленными периодом и периметром</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Расчёт отчёта</w:t>
            </w:r>
          </w:p>
        </w:tc>
        <w:tc>
          <w:tcPr>
            <w:tcW w:type="dxa" w:w="7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Арифметически рассчитано из подтверждённых исходных значений; формула раскрыта</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Контур источника</w:t>
            </w:r>
          </w:p>
        </w:tc>
        <w:tc>
          <w:tcPr>
            <w:tcW w:type="dxa" w:w="7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Показатель корректен только в границах конкретной формы, презентации или методики</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Требует сверки</w:t>
            </w:r>
          </w:p>
        </w:tc>
        <w:tc>
          <w:tcPr>
            <w:tcW w:type="dxa" w:w="7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Имеются расхождения периода, состава, знаменателя или версии</w:t>
            </w:r>
          </w:p>
        </w:tc>
      </w:tr>
      <w:tr>
        <w:trPr>
          <w:cantSplit w:val="true"/>
        </w:trPr>
        <w:tc>
          <w:tcPr>
            <w:tcW w:type="dxa" w:w="22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8"/>
              </w:rPr>
              <w:t>Не представлено</w:t>
            </w:r>
          </w:p>
        </w:tc>
        <w:tc>
          <w:tcPr>
            <w:tcW w:type="dxa" w:w="71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Нужный результативный показатель отсутствует; оценка не выполняется</w:t>
            </w:r>
          </w:p>
        </w:tc>
      </w:tr>
    </w:tbl>
    <w:p>
      <w:pPr>
        <w:spacing w:after="40"/>
      </w:pPr>
    </w:p>
    <w:p>
      <w:pPr>
        <w:pStyle w:val="Heading2"/>
        <w:keepLines/>
        <w:widowControl/>
      </w:pPr>
      <w:r>
        <w:rPr>
          <w:rFonts w:ascii="Calibri" w:hAnsi="Calibri" w:eastAsia="Calibri"/>
        </w:rPr>
        <w:t>20.2. Реестр ключевых методологических расхождений</w:t>
      </w:r>
    </w:p>
    <w:tbl>
      <w:tblPr>
        <w:tblW w:type="dxa" w:w="9360"/>
        <w:tblLayout w:type="fixed"/>
        <w:tblLook w:firstColumn="1" w:firstRow="1" w:lastColumn="0" w:lastRow="0" w:noHBand="0" w:noVBand="1" w:val="04A0"/>
        <w:jc w:val="left"/>
        <w:tblInd w:w="120" w:type="dxa"/>
      </w:tblPr>
      <w:tblGrid>
        <w:gridCol w:w="2600"/>
        <w:gridCol w:w="3100"/>
        <w:gridCol w:w="3660"/>
      </w:tblGrid>
      <w:tr>
        <w:trPr>
          <w:tblHeader w:val="true"/>
          <w:cantSplit w:val="true"/>
        </w:trPr>
        <w:tc>
          <w:tcPr>
            <w:tcW w:type="dxa" w:w="26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Показатель</w:t>
            </w:r>
          </w:p>
        </w:tc>
        <w:tc>
          <w:tcPr>
            <w:tcW w:type="dxa" w:w="3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Значения</w:t>
            </w:r>
          </w:p>
        </w:tc>
        <w:tc>
          <w:tcPr>
            <w:tcW w:type="dxa" w:w="36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Решение в отчёте</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Водопроводные сети 2026</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4 146,03; 4 252,71; 4 215,83 км</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Показывать по датам и контурам</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Канализационные сети 2026</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2 450,25 баланс; 2 489,62 карта</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Не заменять одно другим</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Потребители</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606 071/613 812 за 2024; 649 237/650 285/652 104/652 543 за 2025</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Основная районная серия + отдельные альтернативы</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ДЗ I полугодия / 01.07.2026</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6 168,054; 1 105; 927; 966 млн ₸</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Разделить бухгалтерский, рабочий, гарантийный и просроченный контуры</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Финрезультат I полугодия 2026</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-1,136846 и -2,533 млрд ₸</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Бухгалтерский и тарифный результаты не сопоставлять напрямую</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Переданное имущество</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73,2 и 85,115 млрд ₸</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Не суммировать; проверить пересечение</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Нормативная численность</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5 192 и 6 168 человек</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Не рассчитывать дефицит до единой методики</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Средняя зарплата</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315 тыс.; 327 тыс.; 282 916 ₸; тарифные 282 566/283 555 ₸</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Сохранять раздельные периметры</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Паводковый расход КОС</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8,5-10 и 8,5-12 м3/с</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В основном тексте свежий показатель; альтернатива в сверке</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Водный баланс I полугодия 2026</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Разница 0,111 млн м3</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Оставить открытым до уточнения состава</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Осадок 2024</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Накоплено 13 330 100; образовано/обработано 1 330 100 м3</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Не исправлять; запросить сверку формул и единиц</w:t>
            </w:r>
          </w:p>
        </w:tc>
      </w:tr>
      <w:tr>
        <w:trPr>
          <w:cantSplit w:val="true"/>
        </w:trPr>
        <w:tc>
          <w:tcPr>
            <w:tcW w:type="dxa" w:w="26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Оборудование 2026</w:t>
            </w:r>
          </w:p>
        </w:tc>
        <w:tc>
          <w:tcPr>
            <w:tcW w:type="dxa" w:w="3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Источник маркирует срез датой 31.12.2026</w:t>
            </w:r>
          </w:p>
        </w:tc>
        <w:tc>
          <w:tcPr>
            <w:tcW w:type="dxa" w:w="36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6"/>
              </w:rPr>
              <w:t>Не считать подтверждённым фактом на 23.08.2026</w:t>
            </w:r>
          </w:p>
        </w:tc>
      </w:tr>
    </w:tbl>
    <w:p>
      <w:pPr>
        <w:spacing w:after="40"/>
      </w:pPr>
    </w:p>
    <w:p>
      <w:pPr>
        <w:pStyle w:val="Heading2"/>
        <w:keepLines/>
        <w:widowControl/>
      </w:pPr>
      <w:r>
        <w:rPr>
          <w:rFonts w:ascii="Calibri" w:hAnsi="Calibri" w:eastAsia="Calibri"/>
        </w:rPr>
        <w:t>20.3. Ключевой реестр источников</w:t>
      </w:r>
    </w:p>
    <w:tbl>
      <w:tblPr>
        <w:tblW w:type="dxa" w:w="9360"/>
        <w:tblLayout w:type="fixed"/>
        <w:tblLook w:firstColumn="1" w:firstRow="1" w:lastColumn="0" w:lastRow="0" w:noHBand="0" w:noVBand="1" w:val="04A0"/>
        <w:jc w:val="left"/>
        <w:tblInd w:w="120" w:type="dxa"/>
      </w:tblPr>
      <w:tblGrid>
        <w:gridCol w:w="2100"/>
        <w:gridCol w:w="7260"/>
      </w:tblGrid>
      <w:tr>
        <w:trPr>
          <w:tblHeader w:val="true"/>
          <w:cantSplit w:val="true"/>
        </w:trPr>
        <w:tc>
          <w:tcPr>
            <w:tcW w:type="dxa" w:w="21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Блок</w:t>
            </w:r>
          </w:p>
        </w:tc>
        <w:tc>
          <w:tcPr>
            <w:tcW w:type="dxa" w:w="72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6"/>
              </w:rPr>
              <w:t>Основные файлы</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Финансы</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Финансовая отчётноcть от 31 декабря 2024 год.pdf; Финансовая отчетность и аудиторское заключение за 2025 г..pdf</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Водоснабжение</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Информация Алматы Су 22-26гг..xlsx; Справка по аварийности свод.xlsx; Структура потерь и расходов.xlsx</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Водоисточники</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 1,2,3,4 Добыча воды за 2024-2026 (6 мес).xlsx; Инфо. по добыче и потерям за 2024-2025.xlsx</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Водоотведение / КНС</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информация по ДВО 2024, 2025, 2026 года по месячно.xlsx; КНС ВКНС.xlsx; КНС ЗКНС (2).xlsx; событийные реестры</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КОС / экология</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Описание КОС август 2026 г.docx; Данные по сырому осадку свод за года 2024-2026.xlsx; Аварийный сброс и разливы.xlsx</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Энергия</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ведомость эл.потр.2020-2026.xlsx; фактическое потребл.эл.эн. ДВИ, ДВО за 2024-2026гг.xlsx; расходы по электроэнергии</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Потребители</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Кол-во потребителей и ИПУ по районам.xlsx; Пункт 8 Отдел мониторинга приборов коммерческого учета.xlsx</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Задолженность</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Презентация по ДЗ 01 июля 2026 (1).pptx; ДЗ свыше 1 мес по районам.xlsx; бухгалтерские таблицы ДЗ</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Тарифы / ИП</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Отчёты об исполнении ТС и ИП за 2024, 2025 и I полугодие 2026; План факт ТС.xlsx; ПланФакт 2026 год..xlsx</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Персонал</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1Сведения департ. по работе с персоналом.xlsx; 2Сведения...xlsx; Числ, ЗП, текучесть.xlsx; Стат данные за 24-25-26.xlsx</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ГИС / активы</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Информация ОИиСЭК ... оцифровка.xlsx; Сети Водоснабжения без документации.xlsx; Сети Водоотведения без документации .xlsx</w:t>
            </w:r>
          </w:p>
        </w:tc>
      </w:tr>
      <w:tr>
        <w:trPr>
          <w:cantSplit w:val="true"/>
        </w:trPr>
        <w:tc>
          <w:tcPr>
            <w:tcW w:type="dxa" w:w="21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Надёжность</w:t>
            </w:r>
          </w:p>
        </w:tc>
        <w:tc>
          <w:tcPr>
            <w:tcW w:type="dxa" w:w="72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6"/>
              </w:rPr>
              <w:t>ДТ и СТ Алматы Су.xlsx; слайды ГЗ и ЧС.xlsx; метрология.docx; Инфо по ИЛ за 2024-2026.xlsx</w:t>
            </w:r>
          </w:p>
        </w:tc>
      </w:tr>
    </w:tbl>
    <w:p>
      <w:pPr>
        <w:spacing w:after="40"/>
      </w:pPr>
    </w:p>
    <w:p>
      <w:r>
        <w:br w:type="page"/>
      </w:r>
    </w:p>
    <w:p>
      <w:pPr>
        <w:pStyle w:val="Heading1"/>
        <w:keepLines/>
        <w:widowControl/>
      </w:pPr>
      <w:r>
        <w:rPr>
          <w:rFonts w:ascii="Calibri" w:hAnsi="Calibri" w:eastAsia="Calibri"/>
        </w:rPr>
        <w:t>Приложение. Запрос действительно необходимых данных для финализации отчёта</w:t>
      </w:r>
    </w:p>
    <w:p>
      <w:pPr>
        <w:pStyle w:val="Lead"/>
        <w:keepLines/>
        <w:widowControl/>
      </w:pPr>
      <w:r>
        <w:rPr>
          <w:rFonts w:ascii="Calibri" w:hAnsi="Calibri" w:eastAsia="Calibri"/>
        </w:rPr>
        <w:t>Перед формированием этого запроса повторно инвентаризированы 177 рабочих файлов. Содержательно прочитаны 176 файлов: листы XLS/XLSX, таблицы DOCX, слайды PPTX и текстовые слои PDF. Файл «Азиза/Пеня.xlsx» зашифрован и без пароля не использован. В запросе ниже оставлена только разница между уже найденными данными и необходимым подтверждением.</w:t>
      </w:r>
    </w:p>
    <w:p>
      <w:pPr>
        <w:pStyle w:val="Heading2"/>
        <w:keepLines/>
        <w:widowControl/>
      </w:pPr>
      <w:r>
        <w:rPr>
          <w:rFonts w:ascii="Calibri" w:hAnsi="Calibri" w:eastAsia="Calibri"/>
        </w:rPr>
        <w:t>A. Результат повторной проверки исходных материалов</w:t>
      </w:r>
    </w:p>
    <w:tbl>
      <w:tblPr>
        <w:tblW w:type="dxa" w:w="9360"/>
        <w:tblLayout w:type="fixed"/>
        <w:tblLook w:firstColumn="1" w:firstRow="1" w:lastColumn="0" w:lastRow="0" w:noHBand="0" w:noVBand="1" w:val="04A0"/>
        <w:jc w:val="left"/>
        <w:tblInd w:w="120" w:type="dxa"/>
      </w:tblPr>
      <w:tblGrid>
        <w:gridCol w:w="700"/>
        <w:gridCol w:w="1450"/>
        <w:gridCol w:w="7210"/>
      </w:tblGrid>
      <w:tr>
        <w:trPr>
          <w:tblHeader w:val="true"/>
          <w:cantSplit w:val="true"/>
        </w:trPr>
        <w:tc>
          <w:tcPr>
            <w:tcW w:type="dxa" w:w="7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4"/>
              </w:rPr>
              <w:t>Код</w:t>
            </w:r>
          </w:p>
        </w:tc>
        <w:tc>
          <w:tcPr>
            <w:tcW w:type="dxa" w:w="145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4"/>
              </w:rPr>
              <w:t>Статус</w:t>
            </w:r>
          </w:p>
        </w:tc>
        <w:tc>
          <w:tcPr>
            <w:tcW w:type="dxa" w:w="721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4"/>
              </w:rPr>
              <w:t>Что установлено повторной проверкой</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A1</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Не найдено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Аккредитация лаборатории и промышленные пробы не являются статистикой качества питьевой воды</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A2</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Не найдено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Есть аварийность сетей и события КНС, но нет длительности отключений водоснабжения и затронутых потребителей</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A3</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Найдена историческая эффективность очистки за 2000-2025 годы; нет текущих вход/выход, нормативов и превышений</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A4</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 журнал аварийных и технических сбросов за 2024-июль 2026; нет единого разрешительного и санкционного реестра</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A5</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Не найдено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Есть затраты на ОТиТБ и данные ГЗ/ЧС, но нет производственного травматизма, LTIFR и near miss</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A6</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Найдены помесячные перерасчёты и дополнительные начисления; нет обращений, жалоб, повторов и SLA</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A7</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Найдены датированные проектные параметры и риски; нет единого актуального паспорта на 23.08.2026</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A8</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Найдены бухгалтерский, рабочий, просроченный, гарантийный и взыскательный контуры; нет формульного моста</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A9</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Найдены утверждённый/рабочий контуры и объектные реестры; не сведены основания утверждения, НДС, АВР и оплаты</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A10</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Найдены агрегаты стоимости, движения ОС и оценка непокрытых OPEX; нет пообъектной связи через Asset ID</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A11</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Найдены нагрузки, насосы, резерв отдельных КНС и событийные журналы; нет утверждённых паспортов переключения и реконструкции</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A12</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Найдены вакансии по подразделениям; нет критичности по профессии, объекту и смене, а методика норматива расходится</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A13</w:t>
            </w:r>
          </w:p>
        </w:tc>
        <w:tc>
          <w:tcPr>
            <w:tcW w:type="dxa" w:w="145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4"/>
              </w:rPr>
              <w:t>Частично</w:t>
            </w:r>
          </w:p>
        </w:tc>
        <w:tc>
          <w:tcPr>
            <w:tcW w:type="dxa" w:w="721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4"/>
              </w:rPr>
              <w:t>Найдены суммы запросов, письма и датированные проектные статусы; нет результата внешнего решения на контрольную дату</w:t>
            </w:r>
          </w:p>
        </w:tc>
      </w:tr>
    </w:tbl>
    <w:p>
      <w:pPr>
        <w:spacing w:after="40"/>
      </w:pPr>
    </w:p>
    <w:p>
      <w:pPr>
        <w:pStyle w:val="Heading2"/>
        <w:keepLines/>
        <w:widowControl/>
      </w:pPr>
      <w:r>
        <w:rPr>
          <w:rFonts w:ascii="Calibri" w:hAnsi="Calibri" w:eastAsia="Calibri"/>
        </w:rPr>
        <w:t>B. Остаточный запрос до утверждения финальной версии</w:t>
      </w:r>
    </w:p>
    <w:tbl>
      <w:tblPr>
        <w:tblW w:type="dxa" w:w="9360"/>
        <w:tblLayout w:type="fixed"/>
        <w:tblLook w:firstColumn="1" w:firstRow="1" w:lastColumn="0" w:lastRow="0" w:noHBand="0" w:noVBand="1" w:val="04A0"/>
        <w:jc w:val="left"/>
        <w:tblInd w:w="120" w:type="dxa"/>
      </w:tblPr>
      <w:tblGrid>
        <w:gridCol w:w="700"/>
        <w:gridCol w:w="1900"/>
        <w:gridCol w:w="4760"/>
        <w:gridCol w:w="2000"/>
      </w:tblGrid>
      <w:tr>
        <w:trPr>
          <w:tblHeader w:val="true"/>
          <w:cantSplit w:val="true"/>
        </w:trPr>
        <w:tc>
          <w:tcPr>
            <w:tcW w:type="dxa" w:w="7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Код</w:t>
            </w:r>
          </w:p>
        </w:tc>
        <w:tc>
          <w:tcPr>
            <w:tcW w:type="dxa" w:w="19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Блок</w:t>
            </w:r>
          </w:p>
        </w:tc>
        <w:tc>
          <w:tcPr>
            <w:tcW w:type="dxa" w:w="47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Необходимые данные</w:t>
            </w:r>
          </w:p>
        </w:tc>
        <w:tc>
          <w:tcPr>
            <w:tcW w:type="dxa" w:w="20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5"/>
              </w:rPr>
              <w:t>Формат</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A1</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Качество питьевой воды</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2024, 2025, 2026 YTD: число проб, соответствие, превышения по показателям, зоны/источники, меры</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 подписанная справка</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A2</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Непрерывность водоснабжения</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Количество и длительность плановых/аварийных отключений, потребители под отключением, среднее время восстановления</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помесячно и по районам</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A3</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КОС и очищенный сток</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2024, 2025, 2026 YTD: концентрации на входе/выходе, текущая эффективность, превышения и разрешённые нормативы</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 разрешительные документы</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A4</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Экология и Сорбулак</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Разрешения, предписания, обязательные платежи, санкции, исполнение мер и правовая классификация уже отражённых сбросов</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Реестр + копии ключевых документов</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A5</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Охрана труда</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Травмы, тяжёлые/смертельные случаи, потерянные дни, LTIFR/иная утверждённая методика, near miss, проверки и просрочка мер</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 методика</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A6</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Клиентский сервис</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Обращения, жалобы, повторы, SLA, число и причины перерасчётов; денежные таблицы повторно не предоставлять</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помесячно</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A7</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Стратегические проекты</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Подтвердить/обновить приведённые в отчёте паспорта на 23.08.2026: стадия, стоимость, источник, освоение, график, риск, решение</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Подписанный реестр проектов</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A8</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Дебиторская задолженность</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Мост бухгалтерская ДЗ -&gt; потребительская -&gt; просроченная -&gt; судебная -&gt; гарантии -&gt; остаток</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с формулами</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A9</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Инвестиционная программа 2026</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Один лист сверки решений об утверждении с объектным план-фактом: база с/без НДС, АВР, оплаты и причины расхождений</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 решения об утверждении</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A10</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Переданные активы и OPEX</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Пообъектная связь стоимости, даты передачи и OPEX с единым Asset ID; агрегаты повторно не предоставлять</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с Asset ID</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A11</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Критические КНС и коллекторы</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Утверждённые сценарии рабочего/аварийного резерва, переключения и актуальный статус реконструкции объектов, уже описанных в отчёте</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Паспорта объектов</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A12</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Персонал</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Утверждённая методика норматива и критические вакансии по профессии, объекту и смене; агрегат по подразделениям уже есть</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XLSX + приказ/методика</w:t>
            </w:r>
          </w:p>
        </w:tc>
      </w:tr>
      <w:tr>
        <w:trPr>
          <w:cantSplit w:val="true"/>
        </w:trPr>
        <w:tc>
          <w:tcPr>
            <w:tcW w:type="dxa" w:w="7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center"/>
            </w:pPr>
            <w:r>
              <w:rPr>
                <w:rFonts w:ascii="Calibri" w:hAnsi="Calibri" w:eastAsia="Calibri"/>
                <w:sz w:val="15"/>
              </w:rPr>
              <w:t>A13</w:t>
            </w:r>
          </w:p>
        </w:tc>
        <w:tc>
          <w:tcPr>
            <w:tcW w:type="dxa" w:w="19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Внешние решения</w:t>
            </w:r>
          </w:p>
        </w:tc>
        <w:tc>
          <w:tcPr>
            <w:tcW w:type="dxa" w:w="47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По каждому найденному запросу: решение/номер/дата, одобренная сумма, финансирование, исполнено, остаток и следующий шаг</w:t>
            </w:r>
          </w:p>
        </w:tc>
        <w:tc>
          <w:tcPr>
            <w:tcW w:type="dxa" w:w="2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5"/>
              </w:rPr>
              <w:t>Реестр поручений и решений</w:t>
            </w:r>
          </w:p>
        </w:tc>
      </w:tr>
    </w:tbl>
    <w:p>
      <w:pPr>
        <w:spacing w:after="40"/>
      </w:pPr>
    </w:p>
    <w:p>
      <w:pPr>
        <w:pStyle w:val="Heading2"/>
        <w:keepLines/>
        <w:widowControl/>
      </w:pPr>
      <w:r>
        <w:rPr>
          <w:rFonts w:ascii="Calibri" w:hAnsi="Calibri" w:eastAsia="Calibri"/>
        </w:rPr>
        <w:t>C. Методологические подтверждения</w:t>
      </w:r>
    </w:p>
    <w:p>
      <w:pPr>
        <w:keepLines/>
        <w:numPr>
          <w:ilvl w:val="0"/>
          <w:numId w:val="10"/>
        </w:numPr>
        <w:spacing w:after="160" w:line="280" w:lineRule="auto"/>
        <w:widowControl/>
      </w:pPr>
      <w:r>
        <w:rPr>
          <w:rFonts w:ascii="Calibri" w:hAnsi="Calibri" w:eastAsia="Calibri"/>
        </w:rPr>
        <w:t>Единый знаменатель числа потребителей за 2024-2026 годы.</w:t>
      </w:r>
    </w:p>
    <w:p>
      <w:pPr>
        <w:keepLines/>
        <w:numPr>
          <w:ilvl w:val="0"/>
          <w:numId w:val="10"/>
        </w:numPr>
        <w:spacing w:after="160" w:line="280" w:lineRule="auto"/>
        <w:widowControl/>
      </w:pPr>
      <w:r>
        <w:rPr>
          <w:rFonts w:ascii="Calibri" w:hAnsi="Calibri" w:eastAsia="Calibri"/>
        </w:rPr>
        <w:t>Определение доступной, установленной и проектной мощности водоисточников.</w:t>
      </w:r>
    </w:p>
    <w:p>
      <w:pPr>
        <w:keepLines/>
        <w:numPr>
          <w:ilvl w:val="0"/>
          <w:numId w:val="10"/>
        </w:numPr>
        <w:spacing w:after="160" w:line="280" w:lineRule="auto"/>
        <w:widowControl/>
      </w:pPr>
      <w:r>
        <w:rPr>
          <w:rFonts w:ascii="Calibri" w:hAnsi="Calibri" w:eastAsia="Calibri"/>
        </w:rPr>
        <w:t>Единый реестр насосного оборудования: всего, рабочее, резерв, ремонт, списание.</w:t>
      </w:r>
    </w:p>
    <w:p>
      <w:pPr>
        <w:keepLines/>
        <w:numPr>
          <w:ilvl w:val="0"/>
          <w:numId w:val="10"/>
        </w:numPr>
        <w:spacing w:after="160" w:line="280" w:lineRule="auto"/>
        <w:widowControl/>
      </w:pPr>
      <w:r>
        <w:rPr>
          <w:rFonts w:ascii="Calibri" w:hAnsi="Calibri" w:eastAsia="Calibri"/>
        </w:rPr>
        <w:t>Состав водного баланса I полугодия 2026 года и причина разницы 111 тыс. м3.</w:t>
      </w:r>
    </w:p>
    <w:p>
      <w:pPr>
        <w:keepLines/>
        <w:numPr>
          <w:ilvl w:val="0"/>
          <w:numId w:val="10"/>
        </w:numPr>
        <w:spacing w:after="160" w:line="280" w:lineRule="auto"/>
        <w:widowControl/>
      </w:pPr>
      <w:r>
        <w:rPr>
          <w:rFonts w:ascii="Calibri" w:hAnsi="Calibri" w:eastAsia="Calibri"/>
        </w:rPr>
        <w:t>Окончательная протяжённость канализационных сетей за 2025 год.</w:t>
      </w:r>
    </w:p>
    <w:p>
      <w:pPr>
        <w:keepLines/>
        <w:numPr>
          <w:ilvl w:val="0"/>
          <w:numId w:val="10"/>
        </w:numPr>
        <w:spacing w:after="160" w:line="280" w:lineRule="auto"/>
        <w:widowControl/>
      </w:pPr>
      <w:r>
        <w:rPr>
          <w:rFonts w:ascii="Calibri" w:hAnsi="Calibri" w:eastAsia="Calibri"/>
        </w:rPr>
        <w:t>Паводковый расход КОС: 8,5-10 или 8,5-12 м3/с.</w:t>
      </w:r>
    </w:p>
    <w:p>
      <w:pPr>
        <w:keepLines/>
        <w:numPr>
          <w:ilvl w:val="0"/>
          <w:numId w:val="10"/>
        </w:numPr>
        <w:spacing w:after="160" w:line="280" w:lineRule="auto"/>
        <w:widowControl/>
      </w:pPr>
      <w:r>
        <w:rPr>
          <w:rFonts w:ascii="Calibri" w:hAnsi="Calibri" w:eastAsia="Calibri"/>
        </w:rPr>
        <w:t>Сверка показателей осадка за 2024 год: 13 330 100 против 1 330 100 м3, формулы и единицы измерения.</w:t>
      </w:r>
    </w:p>
    <w:p>
      <w:pPr>
        <w:keepLines/>
        <w:numPr>
          <w:ilvl w:val="0"/>
          <w:numId w:val="10"/>
        </w:numPr>
        <w:spacing w:after="160" w:line="280" w:lineRule="auto"/>
        <w:widowControl/>
      </w:pPr>
      <w:r>
        <w:rPr>
          <w:rFonts w:ascii="Calibri" w:hAnsi="Calibri" w:eastAsia="Calibri"/>
        </w:rPr>
        <w:t>Окончательная стоимость электроэнергии за 2025 год.</w:t>
      </w:r>
    </w:p>
    <w:p>
      <w:pPr>
        <w:keepLines/>
        <w:numPr>
          <w:ilvl w:val="0"/>
          <w:numId w:val="10"/>
        </w:numPr>
        <w:spacing w:after="160" w:line="280" w:lineRule="auto"/>
        <w:widowControl/>
      </w:pPr>
      <w:r>
        <w:rPr>
          <w:rFonts w:ascii="Calibri" w:hAnsi="Calibri" w:eastAsia="Calibri"/>
        </w:rPr>
        <w:t>Единая методика средней заработной платы и текучести кадров.</w:t>
      </w:r>
    </w:p>
    <w:p>
      <w:pPr>
        <w:pStyle w:val="Heading2"/>
        <w:keepLines/>
        <w:widowControl/>
      </w:pPr>
      <w:r>
        <w:rPr>
          <w:rFonts w:ascii="Calibri" w:hAnsi="Calibri" w:eastAsia="Calibri"/>
        </w:rPr>
        <w:t>D. Полнота внутренних контрольных функций</w:t>
      </w:r>
    </w:p>
    <w:tbl>
      <w:tblPr>
        <w:tblW w:type="dxa" w:w="9360"/>
        <w:tblLayout w:type="fixed"/>
        <w:tblLook w:firstColumn="1" w:firstRow="1" w:lastColumn="0" w:lastRow="0" w:noHBand="0" w:noVBand="1" w:val="04A0"/>
        <w:jc w:val="left"/>
        <w:tblInd w:w="120" w:type="dxa"/>
      </w:tblPr>
      <w:tblGrid>
        <w:gridCol w:w="3000"/>
        <w:gridCol w:w="6360"/>
      </w:tblGrid>
      <w:tr>
        <w:trPr>
          <w:tblHeader w:val="true"/>
          <w:cantSplit w:val="true"/>
        </w:trPr>
        <w:tc>
          <w:tcPr>
            <w:tcW w:type="dxa" w:w="30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Функция</w:t>
            </w:r>
          </w:p>
        </w:tc>
        <w:tc>
          <w:tcPr>
            <w:tcW w:type="dxa" w:w="63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7"/>
              </w:rPr>
              <w:t>Необходимый результат</w:t>
            </w:r>
          </w:p>
        </w:tc>
      </w:tr>
      <w:tr>
        <w:trPr>
          <w:cantSplit w:val="true"/>
        </w:trPr>
        <w:tc>
          <w:tcPr>
            <w:tcW w:type="dxa" w:w="3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Внутренний контроль / аудит / комплаенс</w:t>
            </w:r>
          </w:p>
        </w:tc>
        <w:tc>
          <w:tcPr>
            <w:tcW w:type="dxa" w:w="6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План и факт проверок, существенные замечания, повторные нарушения, просроченные меры</w:t>
            </w:r>
          </w:p>
        </w:tc>
      </w:tr>
      <w:tr>
        <w:trPr>
          <w:cantSplit w:val="true"/>
        </w:trPr>
        <w:tc>
          <w:tcPr>
            <w:tcW w:type="dxa" w:w="3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Автоматизация и ИБ</w:t>
            </w:r>
          </w:p>
        </w:tc>
        <w:tc>
          <w:tcPr>
            <w:tcW w:type="dxa" w:w="6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Инциденты, уязвимости, резервное копирование, восстановление, доступность критичных систем</w:t>
            </w:r>
          </w:p>
        </w:tc>
      </w:tr>
      <w:tr>
        <w:trPr>
          <w:cantSplit w:val="true"/>
        </w:trPr>
        <w:tc>
          <w:tcPr>
            <w:tcW w:type="dxa" w:w="3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Складской аварийный запас</w:t>
            </w:r>
          </w:p>
        </w:tc>
        <w:tc>
          <w:tcPr>
            <w:tcW w:type="dxa" w:w="6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Норматив, факт, дефицит, срок пополнения по критичным позициям</w:t>
            </w:r>
          </w:p>
        </w:tc>
      </w:tr>
      <w:tr>
        <w:trPr>
          <w:cantSplit w:val="true"/>
        </w:trPr>
        <w:tc>
          <w:tcPr>
            <w:tcW w:type="dxa" w:w="3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Закупки 2026</w:t>
            </w:r>
          </w:p>
        </w:tc>
        <w:tc>
          <w:tcPr>
            <w:tcW w:type="dxa" w:w="6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План, договоры, освоение, экономия, несостоявшиеся процедуры, просрочка поставок</w:t>
            </w:r>
          </w:p>
        </w:tc>
      </w:tr>
      <w:tr>
        <w:trPr>
          <w:cantSplit w:val="true"/>
        </w:trPr>
        <w:tc>
          <w:tcPr>
            <w:tcW w:type="dxa" w:w="30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ГИС / ОС</w:t>
            </w:r>
          </w:p>
        </w:tc>
        <w:tc>
          <w:tcPr>
            <w:tcW w:type="dxa" w:w="63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7"/>
              </w:rPr>
              <w:t>Прогресс устранения расхождений после 31.07.2026, оформленные права и закрытые позиции по Asset ID; исходные перечни повторно не предоставлять</w:t>
            </w:r>
          </w:p>
        </w:tc>
      </w:tr>
    </w:tbl>
    <w:p>
      <w:pPr>
        <w:spacing w:after="40"/>
      </w:pPr>
    </w:p>
    <w:p>
      <w:pPr>
        <w:pStyle w:val="Heading2"/>
        <w:keepLines/>
        <w:widowControl/>
      </w:pPr>
      <w:r>
        <w:rPr>
          <w:rFonts w:ascii="Calibri" w:hAnsi="Calibri" w:eastAsia="Calibri"/>
        </w:rPr>
        <w:t>E. Данные, которые повторно запрашивать не требуется</w:t>
      </w:r>
    </w:p>
    <w:p>
      <w:pPr>
        <w:keepLines/>
        <w:numPr>
          <w:ilvl w:val="0"/>
          <w:numId w:val="10"/>
        </w:numPr>
        <w:spacing w:after="160" w:line="280" w:lineRule="auto"/>
        <w:widowControl/>
      </w:pPr>
      <w:r>
        <w:rPr>
          <w:rFonts w:ascii="Calibri" w:hAnsi="Calibri" w:eastAsia="Calibri"/>
        </w:rPr>
        <w:t>аварийность водопроводных сетей за 2024-2025 годы и промежуточный 2026 год;</w:t>
      </w:r>
    </w:p>
    <w:p>
      <w:pPr>
        <w:keepLines/>
        <w:numPr>
          <w:ilvl w:val="0"/>
          <w:numId w:val="10"/>
        </w:numPr>
        <w:spacing w:after="160" w:line="280" w:lineRule="auto"/>
        <w:widowControl/>
      </w:pPr>
      <w:r>
        <w:rPr>
          <w:rFonts w:ascii="Calibri" w:hAnsi="Calibri" w:eastAsia="Calibri"/>
        </w:rPr>
        <w:t>обновление водопроводных сетей и базовые показатели протяжённости/износа;</w:t>
      </w:r>
    </w:p>
    <w:p>
      <w:pPr>
        <w:keepLines/>
        <w:numPr>
          <w:ilvl w:val="0"/>
          <w:numId w:val="10"/>
        </w:numPr>
        <w:spacing w:after="160" w:line="280" w:lineRule="auto"/>
        <w:widowControl/>
      </w:pPr>
      <w:r>
        <w:rPr>
          <w:rFonts w:ascii="Calibri" w:hAnsi="Calibri" w:eastAsia="Calibri"/>
        </w:rPr>
        <w:t>добыча воды и раскрытые компоненты водного баланса;</w:t>
      </w:r>
    </w:p>
    <w:p>
      <w:pPr>
        <w:keepLines/>
        <w:numPr>
          <w:ilvl w:val="0"/>
          <w:numId w:val="10"/>
        </w:numPr>
        <w:spacing w:after="160" w:line="280" w:lineRule="auto"/>
        <w:widowControl/>
      </w:pPr>
      <w:r>
        <w:rPr>
          <w:rFonts w:ascii="Calibri" w:hAnsi="Calibri" w:eastAsia="Calibri"/>
        </w:rPr>
        <w:t>событийные реестры КНС;</w:t>
      </w:r>
    </w:p>
    <w:p>
      <w:pPr>
        <w:keepLines/>
        <w:numPr>
          <w:ilvl w:val="0"/>
          <w:numId w:val="10"/>
        </w:numPr>
        <w:spacing w:after="160" w:line="280" w:lineRule="auto"/>
        <w:widowControl/>
      </w:pPr>
      <w:r>
        <w:rPr>
          <w:rFonts w:ascii="Calibri" w:hAnsi="Calibri" w:eastAsia="Calibri"/>
        </w:rPr>
        <w:t>базовые данные по ГЗ и ЧС, транспорту и спецтехнике;</w:t>
      </w:r>
    </w:p>
    <w:p>
      <w:pPr>
        <w:keepLines/>
        <w:numPr>
          <w:ilvl w:val="0"/>
          <w:numId w:val="10"/>
        </w:numPr>
        <w:spacing w:after="160" w:line="280" w:lineRule="auto"/>
        <w:widowControl/>
      </w:pPr>
      <w:r>
        <w:rPr>
          <w:rFonts w:ascii="Calibri" w:hAnsi="Calibri" w:eastAsia="Calibri"/>
        </w:rPr>
        <w:t>реестры метрологии, аккредитация лаборатории и промышленные пробы;</w:t>
      </w:r>
    </w:p>
    <w:p>
      <w:pPr>
        <w:keepLines/>
        <w:numPr>
          <w:ilvl w:val="0"/>
          <w:numId w:val="10"/>
        </w:numPr>
        <w:spacing w:after="160" w:line="280" w:lineRule="auto"/>
        <w:widowControl/>
      </w:pPr>
      <w:r>
        <w:rPr>
          <w:rFonts w:ascii="Calibri" w:hAnsi="Calibri" w:eastAsia="Calibri"/>
        </w:rPr>
        <w:t>историческая эффективность очистки КОС за 2000-2025 годы;</w:t>
      </w:r>
    </w:p>
    <w:p>
      <w:pPr>
        <w:keepLines/>
        <w:numPr>
          <w:ilvl w:val="0"/>
          <w:numId w:val="10"/>
        </w:numPr>
        <w:spacing w:after="160" w:line="280" w:lineRule="auto"/>
        <w:widowControl/>
      </w:pPr>
      <w:r>
        <w:rPr>
          <w:rFonts w:ascii="Calibri" w:hAnsi="Calibri" w:eastAsia="Calibri"/>
        </w:rPr>
        <w:t>журнал аварийных и технических сбросов за 2024-июль 2026 года;</w:t>
      </w:r>
    </w:p>
    <w:p>
      <w:pPr>
        <w:keepLines/>
        <w:numPr>
          <w:ilvl w:val="0"/>
          <w:numId w:val="10"/>
        </w:numPr>
        <w:spacing w:after="160" w:line="280" w:lineRule="auto"/>
        <w:widowControl/>
      </w:pPr>
      <w:r>
        <w:rPr>
          <w:rFonts w:ascii="Calibri" w:hAnsi="Calibri" w:eastAsia="Calibri"/>
        </w:rPr>
        <w:t>исходные данные по энергопотреблению;</w:t>
      </w:r>
    </w:p>
    <w:p>
      <w:pPr>
        <w:keepLines/>
        <w:numPr>
          <w:ilvl w:val="0"/>
          <w:numId w:val="10"/>
        </w:numPr>
        <w:spacing w:after="160" w:line="280" w:lineRule="auto"/>
        <w:widowControl/>
      </w:pPr>
      <w:r>
        <w:rPr>
          <w:rFonts w:ascii="Calibri" w:hAnsi="Calibri" w:eastAsia="Calibri"/>
        </w:rPr>
        <w:t>клиентская база, приборы учёта и дистанционная передача;</w:t>
      </w:r>
    </w:p>
    <w:p>
      <w:pPr>
        <w:keepLines/>
        <w:numPr>
          <w:ilvl w:val="0"/>
          <w:numId w:val="10"/>
        </w:numPr>
        <w:spacing w:after="160" w:line="280" w:lineRule="auto"/>
        <w:widowControl/>
      </w:pPr>
      <w:r>
        <w:rPr>
          <w:rFonts w:ascii="Calibri" w:hAnsi="Calibri" w:eastAsia="Calibri"/>
        </w:rPr>
        <w:t>денежные и объёмные таблицы перерасчётов и дополнительных начислений;</w:t>
      </w:r>
    </w:p>
    <w:p>
      <w:pPr>
        <w:keepLines/>
        <w:numPr>
          <w:ilvl w:val="0"/>
          <w:numId w:val="10"/>
        </w:numPr>
        <w:spacing w:after="160" w:line="280" w:lineRule="auto"/>
        <w:widowControl/>
      </w:pPr>
      <w:r>
        <w:rPr>
          <w:rFonts w:ascii="Calibri" w:hAnsi="Calibri" w:eastAsia="Calibri"/>
        </w:rPr>
        <w:t>действующие тарифы, тарифные формы и аудированная финансовая отчётность;</w:t>
      </w:r>
    </w:p>
    <w:p>
      <w:pPr>
        <w:keepLines/>
        <w:numPr>
          <w:ilvl w:val="0"/>
          <w:numId w:val="10"/>
        </w:numPr>
        <w:spacing w:after="160" w:line="280" w:lineRule="auto"/>
        <w:widowControl/>
      </w:pPr>
      <w:r>
        <w:rPr>
          <w:rFonts w:ascii="Calibri" w:hAnsi="Calibri" w:eastAsia="Calibri"/>
        </w:rPr>
        <w:t>реестры инвестиционной программы, датированные параметры крупных проектов и суммы внешних запросов;</w:t>
      </w:r>
    </w:p>
    <w:p>
      <w:pPr>
        <w:keepLines/>
        <w:numPr>
          <w:ilvl w:val="0"/>
          <w:numId w:val="10"/>
        </w:numPr>
        <w:spacing w:after="160" w:line="280" w:lineRule="auto"/>
        <w:widowControl/>
      </w:pPr>
      <w:r>
        <w:rPr>
          <w:rFonts w:ascii="Calibri" w:hAnsi="Calibri" w:eastAsia="Calibri"/>
        </w:rPr>
        <w:t>базовые кадровые показатели и распределение вакансий по подразделениям;</w:t>
      </w:r>
    </w:p>
    <w:p>
      <w:pPr>
        <w:keepLines/>
        <w:numPr>
          <w:ilvl w:val="0"/>
          <w:numId w:val="10"/>
        </w:numPr>
        <w:spacing w:after="160" w:line="280" w:lineRule="auto"/>
        <w:widowControl/>
      </w:pPr>
      <w:r>
        <w:rPr>
          <w:rFonts w:ascii="Calibri" w:hAnsi="Calibri" w:eastAsia="Calibri"/>
        </w:rPr>
        <w:t>балансовые и ГИС-протяжённости, перечни сетей без документации.</w:t>
      </w:r>
    </w:p>
    <w:p>
      <w:pPr>
        <w:pStyle w:val="Heading2"/>
        <w:keepLines/>
        <w:widowControl/>
      </w:pPr>
      <w:r>
        <w:rPr>
          <w:rFonts w:ascii="Calibri" w:hAnsi="Calibri" w:eastAsia="Calibri"/>
        </w:rPr>
        <w:t>Требования к предоставлению</w:t>
      </w:r>
    </w:p>
    <w:tbl>
      <w:tblPr>
        <w:tblW w:type="dxa" w:w="9360"/>
        <w:tblLayout w:type="fixed"/>
        <w:tblLook w:firstColumn="1" w:firstRow="1" w:lastColumn="0" w:lastRow="0" w:noHBand="0" w:noVBand="1" w:val="04A0"/>
        <w:jc w:val="left"/>
        <w:tblInd w:w="120" w:type="dxa"/>
      </w:tblPr>
      <w:tblGrid>
        <w:gridCol w:w="2800"/>
        <w:gridCol w:w="6560"/>
      </w:tblGrid>
      <w:tr>
        <w:trPr>
          <w:tblHeader w:val="true"/>
          <w:cantSplit w:val="true"/>
        </w:trPr>
        <w:tc>
          <w:tcPr>
            <w:tcW w:type="dxa" w:w="280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Требование</w:t>
            </w:r>
          </w:p>
        </w:tc>
        <w:tc>
          <w:tcPr>
            <w:tcW w:type="dxa" w:w="6560"/>
            <w:tcMar>
              <w:top w:w="80" w:type="dxa"/>
              <w:start w:w="120" w:type="dxa"/>
              <w:bottom w:w="80" w:type="dxa"/>
              <w:end w:w="120" w:type="dxa"/>
            </w:tcMar>
            <w:vAlign w:val="center"/>
            <w:shd w:fill="F2F4F7"/>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Pr>
          <w:p>
            <w:pPr>
              <w:pStyle w:val="TableHeader"/>
              <w:spacing w:after="0"/>
              <w:jc w:val="center"/>
            </w:pPr>
            <w:r>
              <w:rPr>
                <w:rFonts w:ascii="Calibri" w:hAnsi="Calibri" w:eastAsia="Calibri"/>
                <w:b/>
                <w:color w:val="0B2545"/>
                <w:sz w:val="18"/>
              </w:rPr>
              <w:t>Описание</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Одна контрольная дата</w:t>
            </w:r>
          </w:p>
        </w:tc>
        <w:tc>
          <w:tcPr>
            <w:tcW w:type="dxa" w:w="6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Все актуальные статусы представить по состоянию на 23.08.2026 либо указать иную фактическую дату</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Определение показателя</w:t>
            </w:r>
          </w:p>
        </w:tc>
        <w:tc>
          <w:tcPr>
            <w:tcW w:type="dxa" w:w="6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Наименование, единица измерения, формула, периметр и период</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Владелец данных</w:t>
            </w:r>
          </w:p>
        </w:tc>
        <w:tc>
          <w:tcPr>
            <w:tcW w:type="dxa" w:w="6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Подразделение и ответственное должностное лицо</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Первичный источник</w:t>
            </w:r>
          </w:p>
        </w:tc>
        <w:tc>
          <w:tcPr>
            <w:tcW w:type="dxa" w:w="6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Файл/реестр/система, из которой сформировано значение</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Версионность</w:t>
            </w:r>
          </w:p>
        </w:tc>
        <w:tc>
          <w:tcPr>
            <w:tcW w:type="dxa" w:w="6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Номер версии, дата выгрузки, статус: проект/утверждено/факт</w:t>
            </w:r>
          </w:p>
        </w:tc>
      </w:tr>
      <w:tr>
        <w:trPr>
          <w:cantSplit w:val="true"/>
        </w:trPr>
        <w:tc>
          <w:tcPr>
            <w:tcW w:type="dxa" w:w="280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Без объединённых ячеек</w:t>
            </w:r>
          </w:p>
        </w:tc>
        <w:tc>
          <w:tcPr>
            <w:tcW w:type="dxa" w:w="6560"/>
            <w:tcBorders>
              <w:top w:val="single" w:sz="4" w:space="0" w:color="D6DCE3"/>
              <w:start w:val="single" w:sz="4" w:space="0" w:color="D6DCE3"/>
              <w:bottom w:val="single" w:sz="4" w:space="0" w:color="D6DCE3"/>
              <w:end w:val="single" w:sz="4" w:space="0" w:color="D6DCE3"/>
              <w:insideH w:val="single" w:sz="4" w:space="0" w:color="D6DCE3"/>
              <w:insideV w:val="single" w:sz="4" w:space="0" w:color="D6DCE3"/>
            </w:tcBorders>
            <w:tcMar>
              <w:top w:w="80" w:type="dxa"/>
              <w:start w:w="120" w:type="dxa"/>
              <w:bottom w:w="80" w:type="dxa"/>
              <w:end w:w="120" w:type="dxa"/>
            </w:tcMar>
            <w:vAlign w:val="center"/>
          </w:tcPr>
          <w:p>
            <w:pPr>
              <w:pStyle w:val="TableText"/>
              <w:spacing w:after="0"/>
              <w:jc w:val="left"/>
            </w:pPr>
            <w:r>
              <w:rPr>
                <w:rFonts w:ascii="Calibri" w:hAnsi="Calibri" w:eastAsia="Calibri"/>
                <w:sz w:val="18"/>
              </w:rPr>
              <w:t>Табличные данные предоставить в машиночитаемом XLSX, одна строка - один объект/период</w:t>
            </w:r>
          </w:p>
        </w:tc>
      </w:tr>
    </w:tbl>
    <w:p>
      <w:pPr>
        <w:spacing w:after="40"/>
      </w:pPr>
    </w:p>
    <w:p>
      <w:pPr>
        <w:pStyle w:val="Callout"/>
        <w:keepLines/>
        <w:spacing w:before="80" w:after="160"/>
        <w:ind w:left="230" w:right="144"/>
        <w:shd w:fill="EAF5EF"/>
        <w:pBdr>
          <w:start w:val="single" w:sz="16" w:space="8" w:color="2F6B4F"/>
        </w:pBdr>
        <w:widowControl/>
      </w:pPr>
      <w:r>
        <w:rPr>
          <w:rFonts w:ascii="Calibri" w:hAnsi="Calibri" w:eastAsia="Calibri"/>
          <w:b/>
          <w:color w:val="2F6B4F"/>
        </w:rPr>
        <w:t xml:space="preserve">Ожидаемый результат запроса. </w:t>
      </w:r>
      <w:r>
        <w:rPr>
          <w:rFonts w:ascii="Calibri" w:hAnsi="Calibri" w:eastAsia="Calibri"/>
          <w:color w:val="0B2545"/>
        </w:rPr>
        <w:t>После получения данных разделы качества, экологии, охраны труда, клиентского сервиса, долгов, проектов, активов и кадров смогут перейти из статуса «требует сверки / не представлено» в статус подтверждённой управленческой отчётности.</w:t>
      </w:r>
    </w:p>
    <w:p>
      <w:r>
        <w:br w:type="page"/>
      </w:r>
    </w:p>
    <w:p>
      <w:pPr>
        <w:pStyle w:val="Heading1"/>
      </w:pPr>
      <w:r>
        <w:t>Приложение А. Пояснения к 45 слайдам презентации</w:t>
      </w:r>
    </w:p>
    <w:p>
      <w:r>
        <w:t>Этот раздел связывает управленческие выводы отчёта с последовательностью финальной презентации от 3 сентября 2026 года. Для каждого слайда приведены основная мысль и развернутое пояснение спикера. Числа и статусы сохранены в формулировках презентации; они не заменяют таблицы и источники основной части отчёта.</w:t>
      </w:r>
    </w:p>
    <w:p>
      <w:r>
        <w:t>При использовании приложения для выступления рекомендуется сначала называть вывод слайда, затем раскрывать подтверждающие данные и завершать переходом к следующему блоку. Если показатель имеет исторический, проектный или неподтверждённый статус, это необходимо произносить вместе с числом.</w:t>
      </w:r>
    </w:p>
    <w:p>
      <w:pPr>
        <w:pStyle w:val="Heading2"/>
      </w:pPr>
      <w:r>
        <w:t>Слайд 01. Состояние системы, ключевые риски и программа развития</w:t>
      </w:r>
    </w:p>
    <w:p>
      <w:r>
        <w:rPr>
          <w:b/>
        </w:rPr>
        <w:t>Ключевая мысль. Цель доклада — показать, как превратить масштаб предприятия в управляемую устойчивость.</w:t>
      </w:r>
    </w:p>
    <w:p>
      <w:r>
        <w:t>Уважаемые коллеги, сегодня мы представляем не просто перечень показателей и проектов. Перед нами управленческая модель развития «Алматы Су», построенная на трех принципах: подтвержденные данные, приоритизация рисков и контроль измеримого результата.</w:t>
      </w:r>
    </w:p>
    <w:p>
      <w:r>
        <w:t>Предприятие обеспечивает критически важную для города услугу и управляет полным циклом воды — от источника до очистки сточных вод. Устойчивость услуги ограничивают рост периметра, износ инфраструктуры, пиковые нагрузки, кадровые и финансовые ограничения. Поэтому задача доклада — отделить факты от расчетов и проектов, локализовать ключевые риски и связать каждый риск с конкретным направлением дорожной карты.</w:t>
      </w:r>
    </w:p>
    <w:p>
      <w:r>
        <w:t>В финале мы выйдем на пять решений, без которых программа останется набором инициатив: единая система данных, подтвержденная ресурсная база, приоритетный инвестиционный портфель, владельцы и сроки по направлениям, а также измеримые показатели результата.</w:t>
      </w:r>
    </w:p>
    <w:p>
      <w:pPr>
        <w:pStyle w:val="Heading2"/>
      </w:pPr>
      <w:r>
        <w:t>Слайд 02. Система работает, но запас устойчивости ограничен</w:t>
      </w:r>
    </w:p>
    <w:p>
      <w:r>
        <w:rPr>
          <w:b/>
        </w:rPr>
        <w:t>Ключевая мысль. Предприятие обеспечивает услугу при растущей нагрузке и ограниченном технологическом резерве.</w:t>
      </w:r>
    </w:p>
    <w:p>
      <w:r>
        <w:t>Главный тезис слайда: предприятие выполняет свою функцию, однако надежность все сильнее зависит от доступного резерва. Периметр системы расширяется, клиентская база растет, а инфраструктура и производственные мощности должны успевать за этим ростом.</w:t>
      </w:r>
    </w:p>
    <w:p>
      <w:r>
        <w:t>Ограничение нельзя свести к одному показателю. Для одних зон критична доступная мощность источников и водоводов, для других — состояние сетей и наличие резервного маршрута, для системы водоотведения — резервирование КНС и пропускная способность КОС. Именно поэтому реактивный подход, когда мы устраняем уже возникшие последствия, необходимо заменить системным управлением рисками.</w:t>
      </w:r>
    </w:p>
    <w:p>
      <w:r>
        <w:t>Ответ предприятия сформирован как единая программа развития. Она объединяет цифровизацию, НИОКР, кадровую политику, реконструкцию, учет воды, развитие КОС, АСУ ТП, инвестиционное планирование и энергоэффективность. Эти направления должны работать не раздельно, а как один контур устойчивости.</w:t>
      </w:r>
    </w:p>
    <w:p>
      <w:pPr>
        <w:pStyle w:val="Heading2"/>
      </w:pPr>
      <w:r>
        <w:t>Слайд 03. «Алматы Су» управляет полным городским циклом воды</w:t>
      </w:r>
    </w:p>
    <w:p>
      <w:r>
        <w:rPr>
          <w:b/>
        </w:rPr>
        <w:t>Ключевая мысль. Устойчивость услуги определяется не отдельным объектом, а непрерывностью всей производственной цепочки.</w:t>
      </w:r>
    </w:p>
    <w:p>
      <w:r>
        <w:t>Производственная цепочка начинается с 392 скважин. Далее воду принимают объекты водоподготовки: 254 насосные станции и 121 резервуар чистой воды. После подготовки вода транспортируется и распределяется по сетям, поступает потребителю, затем сточные воды отводятся через 70 канализационных насосных станций и направляются на очистные сооружения.</w:t>
      </w:r>
    </w:p>
    <w:p>
      <w:r>
        <w:t>Каждое звено критично. Недостаточная мощность источника, ограничение водовода, авария на сети, перегрузка КНС или снижение пропускной способности КОС отражаются на всей услуге. Поэтому оценивать устойчивость необходимо сквозным образом — от источника до очищенного выпуска.</w:t>
      </w:r>
    </w:p>
    <w:p>
      <w:r>
        <w:t>Отдельный функциональный контур поддерживает всю цепочку: лаборатория отвечает за качество, метрология — за достоверность измерений, ГИС — за пространственную модель активов, энергетика — за надежность и затраты, инвестиции — за обновление и развитие. Нарушение устойчивости одного звена влияет на весь городской цикл.</w:t>
      </w:r>
    </w:p>
    <w:p>
      <w:pPr>
        <w:pStyle w:val="Heading2"/>
      </w:pPr>
      <w:r>
        <w:t>Слайд 04. Периметр системы растет быстрее подтвержденной ресурсной базы</w:t>
      </w:r>
    </w:p>
    <w:p>
      <w:r>
        <w:rPr>
          <w:b/>
        </w:rPr>
        <w:t>Ключевая мысль. Рост сети и клиентской базы уже увеличил эксплуатационную нагрузку, но объем принятых активов требует отдельной сверки.</w:t>
      </w:r>
    </w:p>
    <w:p>
      <w:r>
        <w:t>По сравнению с 2024 годом балансовый контур водопровода на 7 августа 2026 года увеличился на 485,28 километра, или на 12,9 процента. Канализационная сеть выросла на 372,46 километра, или на 17,9 процента. Клиентская база между 31 декабря 2024 года и 1 июля 2026 года увеличилась на 68 362 потребителя, или на 11,3 процента.</w:t>
      </w:r>
    </w:p>
    <w:p>
      <w:r>
        <w:t>Совокупный арифметический прирост двух сетей составляет 857,74 километра. Но эту цифру нельзя автоматически трактовать как объем новых активов, принятых предприятием. Она отражает разницу двух срезов, тогда как управленческое решение требует пообъектного реестра: что именно принято, когда, на каком праве, в каком техническом состоянии и с какими обязательствами по эксплуатации.</w:t>
      </w:r>
    </w:p>
    <w:p>
      <w:r>
        <w:t>Практический вывод очевиден: рост периметра увеличивает нагрузку на персонал, транспорт, аварийные бригады, ремонтные программы, цифровые реестры и инвестиции. Масштаб должен сопровождаться подтвержденной ресурсной базой.</w:t>
      </w:r>
    </w:p>
    <w:p>
      <w:pPr>
        <w:pStyle w:val="Heading2"/>
      </w:pPr>
      <w:r>
        <w:t>Слайд 05. Шесть ограничений формируют управленческую повестку</w:t>
      </w:r>
    </w:p>
    <w:p>
      <w:r>
        <w:rPr>
          <w:b/>
        </w:rPr>
        <w:t>Ключевая мысль. Приоритет должен определяться риском для непрерывности услуги, а не ведомственной принадлежностью объекта.</w:t>
      </w:r>
    </w:p>
    <w:p>
      <w:r>
        <w:t>Первое ограничение — локальная доступность воды. Общего объема ресурса недостаточно для вывода о надежности каждой зоны: важны источники, водоводы, давление, рельеф и потери. Второе — состояние водопроводных сетей: износ, аварийность и неполная паспортизация затрудняют выбор ремонтных приоритетов.</w:t>
      </w:r>
    </w:p>
    <w:p>
      <w:r>
        <w:t>Третье ограничение относится к водоотведению: критические коллекторы, перегруженные КНС и пиковая нагрузка КОС сокращают резерв. Четвертое — экономика и энергия: действующий тариф не покрывает полную стоимость услуг, а стоимость электроэнергии растет быстрее ее потребления. Пятое — кадры и данные: высокая укомплектованность не равна нормативной обеспеченности, а несвязанные реестры снижают управляемость. Шестое — инвестиционная программа, где высокая контрактуемость еще не означает сопоставимый объем выполненных и введенных работ.</w:t>
      </w:r>
    </w:p>
    <w:p>
      <w:r>
        <w:t>Эти ограничения не должны решаться изолированно. Они раскрываются через девять направлений дорожной карты, объединенных единым критерием — непрерывностью и качеством услуги.</w:t>
      </w:r>
    </w:p>
    <w:p>
      <w:pPr>
        <w:pStyle w:val="Heading2"/>
      </w:pPr>
      <w:r>
        <w:t>Слайд 06. Статус показателя определяется источником, датой и составом</w:t>
      </w:r>
    </w:p>
    <w:p>
      <w:r>
        <w:rPr>
          <w:b/>
        </w:rPr>
        <w:t>Ключевая мысль. Одинаково выглядящие цифры могут иметь разный управленческий смысл.</w:t>
      </w:r>
    </w:p>
    <w:p>
      <w:r>
        <w:t>В докладе используются пять статусов. Факт — значение, подтвержденное первичным или профильным источником. Расчет — показатель, полученный из подтвержденных компонентов, при этом формула должна быть раскрыта. Проект — плановая мощность, стоимость или срок, которые еще не являются достигнутым результатом.</w:t>
      </w:r>
    </w:p>
    <w:p>
      <w:r>
        <w:t>Исторический срез действителен только на указанную дату и не должен автоматически переноситься на текущий период. Статус «не подтверждено» означает, что значение встречается в материалах, но до проверки источника и состава не используется как факт.</w:t>
      </w:r>
    </w:p>
    <w:p>
      <w:r>
        <w:t>Поэтому полноценный показатель — это не только число. Он должен включать единицу измерения, период, объект, состав, источник и статус. Такая дисциплина данных нужна не ради методологии как таковой. Она предотвращает ошибочные сравнения, сложение несопоставимых контуров и принятие решений на основании проектных или устаревших значений.</w:t>
      </w:r>
    </w:p>
    <w:p>
      <w:pPr>
        <w:pStyle w:val="Heading2"/>
      </w:pPr>
      <w:r>
        <w:t>Слайд 07. Девять направлений дорожной карты развития</w:t>
      </w:r>
    </w:p>
    <w:p>
      <w:r>
        <w:rPr>
          <w:b/>
        </w:rPr>
        <w:t>Ключевая мысль. Каждое ограничение переводится в программу, срок и измеримый результат.</w:t>
      </w:r>
    </w:p>
    <w:p>
      <w:r>
        <w:t>Дорожная карта объединяет девять направлений. Для цифрового двойника «Цифровой водоканал» указан срок 1 сентября 2027 года, для научно-технического сотрудничества и НИОКР, а также для АСУ ТП — 31 декабря 2027 года. Для кадровой политики указан срок 1 января 2027 года; отдельная дата завершения единой методики расчета потребности на слайде не определена.</w:t>
      </w:r>
    </w:p>
    <w:p>
      <w:r>
        <w:t>Инфраструктурный блок включает реконструкцию сетей и сооружений на период 2025–2029 годов, отдельные проекты — до 2030 года; цифровизацию приборов учета на 2026–2028 годы; развитие и модернизацию КОС на 2026–2029 годы. Управленческий блок дополняют инвестиционное планирование на 2026–2027 годы и программа энергоэффективности на 2024–2029 годы.</w:t>
      </w:r>
    </w:p>
    <w:p>
      <w:r>
        <w:t>Важно, чтобы девять направлений не превратились в девять независимых планов. Для каждого необходимы владелец, контрольный срок, подтвержденная базовая точка, KPI результата и зависимость от других направлений.</w:t>
      </w:r>
    </w:p>
    <w:p>
      <w:pPr>
        <w:pStyle w:val="Heading2"/>
      </w:pPr>
      <w:r>
        <w:t>Слайд 08. Раздел 01. Цифровизация</w:t>
      </w:r>
    </w:p>
    <w:p>
      <w:r>
        <w:rPr>
          <w:b/>
        </w:rPr>
        <w:t>Ключевая мысль. Цифровизация начинается не с визуализации, а с достоверного реестра активов.</w:t>
      </w:r>
    </w:p>
    <w:p>
      <w:r>
        <w:t>Переходим к первому направлению дорожной карты. Его задача — связать объекты, процессы, измерения, аварии, ремонты и инвестиции в единую управленческую модель. Базовым условием является достоверность исходных данных: единый идентификатор каждого актива, паспорт, координаты, техническое состояние и история изменений.</w:t>
      </w:r>
    </w:p>
    <w:p>
      <w:pPr>
        <w:pStyle w:val="Heading2"/>
      </w:pPr>
      <w:r>
        <w:t>Слайд 09. Цифровой двойник требует единого реестра активов</w:t>
      </w:r>
    </w:p>
    <w:p>
      <w:r>
        <w:rPr>
          <w:b/>
        </w:rPr>
        <w:t>Ключевая мысль. Сначала единый ID и паспорт актива, затем ГИС, гидравлическая модель и аналитика рисков.</w:t>
      </w:r>
    </w:p>
    <w:p>
      <w:r>
        <w:t>Сегодня данные находятся в нескольких контурах: балансовом, электронных картах и оперативном учете. По водопроводным сетям расхождение между контурами составляет минус 36,88 километра. Полный набор атрибутов имеется примерно по 1 279,72 километра, то есть ориентировочная полнота составляет около 30,1 процента. По канализации расхождение составляет плюс 39,37 километра, а полнота атрибутов — около 86,7 процента.</w:t>
      </w:r>
    </w:p>
    <w:p>
      <w:r>
        <w:t>Целевая архитектура строится последовательно. У объекта появляется уникальный идентификатор и единый паспорт. Затем он закрепляется в актуальной ГИС-модели, связывается с гидравлической моделью, телеметрией и цифровым двойником. Только после этого можно надежно применять аналитику утечек, прогноз аварий, оптимизацию ремонтов и планирование развития.</w:t>
      </w:r>
    </w:p>
    <w:p>
      <w:r>
        <w:t>Ключевой результат цифровизации — не красивая карта, а единая связь между состоянием актива, аварийностью, эксплуатационными затратами и инвестиционным решением.</w:t>
      </w:r>
    </w:p>
    <w:p>
      <w:pPr>
        <w:pStyle w:val="Heading2"/>
      </w:pPr>
      <w:r>
        <w:t>Слайд 10. Раздел 02. Научно-техническое сотрудничество</w:t>
      </w:r>
    </w:p>
    <w:p>
      <w:r>
        <w:rPr>
          <w:b/>
        </w:rPr>
        <w:t>Ключевая мысль. НИОКР должны завершаться не отчетом, а подтвержденной моделью ресурса и технологией, готовой к внедрению.</w:t>
      </w:r>
    </w:p>
    <w:p>
      <w:r>
        <w:t>Научно-техническое направление необходимо встроить в производственные задачи предприятия. Исследования должны отвечать на конкретные вопросы: сколько ресурса доступно, какие технологии очистки применимы, как диагностировать критические объекты и какие решения можно безопасно масштабировать.</w:t>
      </w:r>
    </w:p>
    <w:p>
      <w:pPr>
        <w:pStyle w:val="Heading2"/>
      </w:pPr>
      <w:r>
        <w:t>Слайд 11. НИОКР формирует научную основу развития системы</w:t>
      </w:r>
    </w:p>
    <w:p>
      <w:r>
        <w:rPr>
          <w:b/>
        </w:rPr>
        <w:t>Ключевая мысль. Исследования связываются с конкретными объектами внедрения.</w:t>
      </w:r>
    </w:p>
    <w:p>
      <w:r>
        <w:t>Первое направление НИОКР — водные ресурсы: оценка запасов подземных вод Алматинского месторождения, актуализация гидрогеологической модели, учет климатических и техногенных факторов, а также обоснование работ по Каскеленскому месторождению.</w:t>
      </w:r>
    </w:p>
    <w:p>
      <w:r>
        <w:t>Второе направление — водоподготовка: современные методы очистки, сорбционные материалы, фильтрация и оптимизация реагентных режимов. Дополнительная фильтровальная станция мощностью 21–43 тысячи кубометров в сутки пока имеет статус проекта и не должна учитываться как введенная мощность.</w:t>
      </w:r>
    </w:p>
    <w:p>
      <w:r>
        <w:t>Третье направление охватывает водоотведение и экологию: переработку осадка, биогаз, органические удобрения и экологический аудит. Четвертое — диагностику трубопроводов и сооружений, датчики уровня в скважинах и оперативный контроль насосов. Формат сотрудничества должен объединить лабораторную базу вузов, инженерные компетенции, совместное проектирование, пилотирование и подготовку к промышленному внедрению.</w:t>
      </w:r>
    </w:p>
    <w:p>
      <w:pPr>
        <w:pStyle w:val="Heading2"/>
      </w:pPr>
      <w:r>
        <w:t>Слайд 12. Подземные источники обеспечивают 69,5% добычи воды</w:t>
      </w:r>
    </w:p>
    <w:p>
      <w:r>
        <w:rPr>
          <w:b/>
        </w:rPr>
        <w:t>Ключевая мысль. Общий объем добычи не гарантирует доступность воды в каждой зоне города.</w:t>
      </w:r>
    </w:p>
    <w:p>
      <w:r>
        <w:t>За первое полугодие 2026 года добыто 136,876 миллиона кубометров воды. Из них 95,184 миллиона, или 69,5 процента, обеспечили подземные источники. Поверхностные источники дали 41,692 миллиона кубометров, или 30,5 процента.</w:t>
      </w:r>
    </w:p>
    <w:p>
      <w:r>
        <w:t>Эта структура важна, но сама по себе не отвечает на вопрос о надежности конкретных районов. Локальная доступность зависит от местоположения источника, пропускной способности водоводов, давления, рельефа, состояния сети и уровня потерь. Поэтому общий ресурс нельзя механически распределить по зонам без гидравлической и пространственной модели.</w:t>
      </w:r>
    </w:p>
    <w:p>
      <w:r>
        <w:t>Управленческий вывод: необходимо формировать баланс не только по предприятию в целом, но и по зонам, связывая источник, транспортировку, давление, фактический спрос и резерв.</w:t>
      </w:r>
    </w:p>
    <w:p>
      <w:pPr>
        <w:pStyle w:val="Heading2"/>
      </w:pPr>
      <w:r>
        <w:t>Слайд 13. Мощность источников состоит из несопоставимых контуров</w:t>
      </w:r>
    </w:p>
    <w:p>
      <w:r>
        <w:rPr>
          <w:b/>
        </w:rPr>
        <w:t>Ключевая мысль. Дефицит можно рассчитывать только на одну дату и по одному составу мощности.</w:t>
      </w:r>
    </w:p>
    <w:p>
      <w:r>
        <w:t>В материалах представлены четыре разных показателя. Установленная мощность подземных источников — 1 071,86 тысячи кубометров в сутки, статус — факт. Проектная мощность поверхностных источников — 286,6 тысячи кубометров в сутки, статус — проект. Фактически доступная мощность — 791 тысяча кубометров в сутки, но это исторический срез на 13 октября 2025 года. На ту же дату пиковый спрос составлял 870 тысяч кубометров в сутки.</w:t>
      </w:r>
    </w:p>
    <w:p>
      <w:r>
        <w:t>Отдельно указаны значения 1 361 и 1 074 тысячи кубометров в сутки. Их состав и источники требуют подтверждения, поэтому они вынесены за основной контур. Проектный прирост плюс 99 тысяч кубометров в сутки также пока не является введенной мощностью.</w:t>
      </w:r>
    </w:p>
    <w:p>
      <w:r>
        <w:t>Следовательно, делать вывод о дефиците путем сравнения любой пары чисел некорректно. Сначала необходимо свести мощность и спрос на одну дату, уточнить состав работающего оборудования, ограничения водоводов и фактическую доступность по зонам.</w:t>
      </w:r>
    </w:p>
    <w:p>
      <w:pPr>
        <w:pStyle w:val="Heading2"/>
      </w:pPr>
      <w:r>
        <w:t>Слайд 14. Контроль питьевой воды описан, но итоговый KPI отсутствует</w:t>
      </w:r>
    </w:p>
    <w:p>
      <w:r>
        <w:rPr>
          <w:b/>
        </w:rPr>
        <w:t>Ключевая мысль. Наличие процедур контроля еще не дает единого показателя качества услуги.</w:t>
      </w:r>
    </w:p>
    <w:p>
      <w:r>
        <w:t>Процесс лабораторного контроля выстроен: отбор пробы, анализ, проверка соответствия, фиксация превышения и принятие мер. Однако для управленческой оценки нужен единый ряд за 2024–2026 годы: количество проб, доля соответствия, превышения по показателям и зонам, причины, принятые меры и результат повторного контроля.</w:t>
      </w:r>
    </w:p>
    <w:p>
      <w:r>
        <w:t>Метрологический контур обеспечивает достоверность измерений. Обязательной поверке подлежат 1 800 средств измерений, на 1 039 сформирован план поверки. Выдано 10 извещений о непригодности, выявлено 25 нарушений, заменены четыре расходомера и два термометра.</w:t>
      </w:r>
    </w:p>
    <w:p>
      <w:r>
        <w:t>Эти данные показывают работу процесса, но не заменяют итоговый KPI качества питьевой воды. Задача — связать лабораторный результат, место, период, корректирующее действие и подтвержденный эффект в одном регулярном показателе.</w:t>
      </w:r>
    </w:p>
    <w:p>
      <w:pPr>
        <w:pStyle w:val="Heading2"/>
      </w:pPr>
      <w:r>
        <w:t>Слайд 15. Ресурсный контур работает, но резерв ограничен</w:t>
      </w:r>
    </w:p>
    <w:p>
      <w:r>
        <w:rPr>
          <w:b/>
        </w:rPr>
        <w:t>Ключевая мысль. Высокая текущая укомплектованность не доказывает нормативную обеспеченность.</w:t>
      </w:r>
    </w:p>
    <w:p>
      <w:r>
        <w:t>На 1 июня 2026 года утвержденный штат составляет 3 891,5 единицы, фактически работают 3 769 человек, указано 126 вакансий, укомплектованность — 96,9 процента. Разность между штатными единицами и числом работников составляет 122,5, поэтому показатель вакансий требует сверки по единице учета и составу. Наиболее критичные вакансии сосредоточены в водопроводных сетях — 35, транспорте — 23 и на источниках — 21.</w:t>
      </w:r>
    </w:p>
    <w:p>
      <w:r>
        <w:t>Транспортная нагрузка в 2025 году по сравнению с 2024 годом выросла: пробег — на 7,6 процента, моточасы — на 9,7 процента. Одновременно количество поломок снизилось примерно на 16 процентов, простой — примерно на 4,2 процента. Это положительная динамика, но ее необходимо сопоставлять с ростом периметра и интенсивностью использования техники.</w:t>
      </w:r>
    </w:p>
    <w:p>
      <w:r>
        <w:t>В реестре за период с 1 января 2024 года по 31 июля 2026 года указаны 49 аварийных бригад и 161 единица специальной техники; чрезвычайных ситуаций и крупных аварий не зафиксировано. Эти данные не подтверждают фактическую доступность всех ресурсов одновременно и не отменяют необходимость нормативного расчета резерва.</w:t>
      </w:r>
    </w:p>
    <w:p>
      <w:pPr>
        <w:pStyle w:val="Heading2"/>
      </w:pPr>
      <w:r>
        <w:t>Слайд 16. Кадровая политика закрывает дефицит компетенций</w:t>
      </w:r>
    </w:p>
    <w:p>
      <w:r>
        <w:rPr>
          <w:b/>
        </w:rPr>
        <w:t>Ключевая мысль. Сначала подтверждается потребность по функциям и сменам, затем планируются подготовка и найм.</w:t>
      </w:r>
    </w:p>
    <w:p>
      <w:r>
        <w:t>В материалах встречаются нормативы 5 192 и 6 168 человек. Пока методика, перечень функций и сменность не сведены, эти значения нельзя использовать как подтвержденный дефицит.</w:t>
      </w:r>
    </w:p>
    <w:p>
      <w:r>
        <w:t>Правильная последовательность такова: единая методика численности, расчет потребности по функциям и сменам, подтверждение дефицита, затем подготовка, найм и формирование кадрового резерва. Путь специалиста должен быть непрерывным: вуз, практика, трудоустройство, аттестация, развитие и включение в резерв.</w:t>
      </w:r>
    </w:p>
    <w:p>
      <w:r>
        <w:t>Инновационно-образовательный центр становится связующим узлом между вузом и предприятием. Его функции — внедрение технологий, экспертная и научно-методическая поддержка, разработка нормативных документов, развитие компетенций и подготовка инновационных проектов. Такой подход позволяет управлять не только количеством работников, но и критическими компетенциями.</w:t>
      </w:r>
    </w:p>
    <w:p>
      <w:pPr>
        <w:pStyle w:val="Heading2"/>
      </w:pPr>
      <w:r>
        <w:t>Слайд 17. Раздел 04. Реконструкция сетей и объектов</w:t>
      </w:r>
    </w:p>
    <w:p>
      <w:r>
        <w:rPr>
          <w:b/>
        </w:rPr>
        <w:t>Ключевая мысль. Инвестиционные приоритеты должны определяться физическим риском и отсутствием резерва.</w:t>
      </w:r>
    </w:p>
    <w:p>
      <w:r>
        <w:t>В этом разделе рассматриваются три уровня риска: динамика изношенной длины, структура аварийности и критические объекты без резервного маршрута. Далее эти риски переводятся в годовые объемы реконструкции и измеримые целевые показатели.</w:t>
      </w:r>
    </w:p>
    <w:p>
      <w:pPr>
        <w:pStyle w:val="Heading2"/>
      </w:pPr>
      <w:r>
        <w:t>Слайд 18. Изношенная длина водопровода продолжает расти</w:t>
      </w:r>
    </w:p>
    <w:p>
      <w:r>
        <w:rPr>
          <w:b/>
        </w:rPr>
        <w:t>Ключевая мысль. Снижение процента износа не означает сокращение физической длины изношенных сетей.</w:t>
      </w:r>
    </w:p>
    <w:p>
      <w:r>
        <w:t>В 2024 году эксплуатационный контур водопровода составлял 3 767,43 километра, изношенная длина — 2 052,79 километра, доля износа — 54,49 процента. В 2025 году общий контур вырос до 4 080,74 километра, изношенная длина — до 2 071,30 километра, а доля снизилась до 50,76 процента. В первом полугодии 2026 года контур составил 4 146,03 километра, изношенная длина — 2 129,21 километра, расчетная доля — 51,36 процента.</w:t>
      </w:r>
    </w:p>
    <w:p>
      <w:r>
        <w:t>За период с 2024 года до первого полугодия 2026 года сеть увеличилась на 378,60 километра, а изношенная длина — на 76,42 километра. Доля износа при этом снизилась на 3,13 процентного пункта, поскольку изменился знаменатель.</w:t>
      </w:r>
    </w:p>
    <w:p>
      <w:r>
        <w:t>Объем обновления составлял 56,327 километра в 2024 году, 92,351 километра в 2025 году и 6,272 километра в первом полугодии 2026 года. Для решений важны оба показателя: и доля, и абсолютная изношенная длина.</w:t>
      </w:r>
    </w:p>
    <w:p>
      <w:pPr>
        <w:pStyle w:val="Heading2"/>
      </w:pPr>
      <w:r>
        <w:t>Слайд 19. Рост аварийности сформирован стальными сетями</w:t>
      </w:r>
    </w:p>
    <w:p>
      <w:r>
        <w:rPr>
          <w:b/>
        </w:rPr>
        <w:t>Ключевая мысль. Общий рост аварийности на 17,2% объясняется прежде всего ухудшением на стальных трубопроводах.</w:t>
      </w:r>
    </w:p>
    <w:p>
      <w:r>
        <w:t>Количество аварий увеличилось с 2 975 до 3 487, то есть на 512 случаев, или на 17,2 процента. Основной вклад внесли стальные сети: аварийность выросла с 1 447 до 2 365 случаев — на 918. По чугунным сетям рост составил 11 случаев, с 373 до 384. На полиэтиленовых сетях, напротив, показатель снизился с 1 155 до 738, то есть на 417 случаев.</w:t>
      </w:r>
    </w:p>
    <w:p>
      <w:r>
        <w:t>Территориальная картина также неоднородна. Наибольший рост отмечен в Жетысуском районе — плюс 204 случая, Алатауском — плюс 134, Турксибском — плюс 122. В Алмалинском и Наурызбайском районах зафиксировано снижение.</w:t>
      </w:r>
    </w:p>
    <w:p>
      <w:r>
        <w:t>Следовательно, ремонтную программу нужно строить не по средней аварийности, а по связке «материал — возраст — диаметр — район — последствия отказа». Положительная динамика на полиэтилене не компенсирует рост отказов на стальных сетях.</w:t>
      </w:r>
    </w:p>
    <w:p>
      <w:pPr>
        <w:pStyle w:val="Heading2"/>
      </w:pPr>
      <w:r>
        <w:t>Слайд 20. Критические коллекторы сохраняют риск водоотведения</w:t>
      </w:r>
    </w:p>
    <w:p>
      <w:r>
        <w:rPr>
          <w:b/>
        </w:rPr>
        <w:t>Ключевая мысль. Среднее снижение износа не устраняет риск объектов без резервного маршрута.</w:t>
      </w:r>
    </w:p>
    <w:p>
      <w:r>
        <w:t>Балансовая длина канализационных сетей выросла с 2 077,79 километра в 2024 году до 2 450,25 километра в 2026 году. Средняя доля износа снизилась с 53,81 до 46,86 процента. Но этот средний показатель не отражает состояние наиболее критичных участков.</w:t>
      </w:r>
    </w:p>
    <w:p>
      <w:r>
        <w:t>Коллектор по улице Требина диаметром 1 000 миллиметров не имеет возможности переключения. Сельские коллекторы построены в 1961–1986 годах из стали и железобетона; для них отмечены коррозия и повреждение гидроизоляции. Коллектор КНС «Водник» эксплуатируется с 1975 года, а профильный источник указывает износ 100 процентов.</w:t>
      </w:r>
    </w:p>
    <w:p>
      <w:r>
        <w:t>Для таких объектов риск определяется не только техническим состоянием, но и последствиями отказа, наличием обходного маршрута и временем восстановления. Поэтому критические коллекторы должны иметь отдельные планы обследования, резервирования и реконструкции.</w:t>
      </w:r>
    </w:p>
    <w:p>
      <w:pPr>
        <w:pStyle w:val="Heading2"/>
      </w:pPr>
      <w:r>
        <w:t>Слайд 21. Отдельные КНС работают без достаточного резерва</w:t>
      </w:r>
    </w:p>
    <w:p>
      <w:r>
        <w:rPr>
          <w:b/>
        </w:rPr>
        <w:t>Ключевая мысль. Резерв подтверждается рабочей схемой переключения, а не паспортной мощностью.</w:t>
      </w:r>
    </w:p>
    <w:p>
      <w:r>
        <w:t>КНС-1 «Трудовик» имеет проектную мощность 35 тысяч кубометров в сутки, тогда как средний фактический приток указан на уровне 53 280, максимальный — 55 тысяч. Средняя нагрузка составляет около 152 процентов проектной.</w:t>
      </w:r>
    </w:p>
    <w:p>
      <w:r>
        <w:t>По КНС «Водник» проектная мощность — 80 640 кубометров в сутки, средний приток — 79 тысяч, максимальный — 82 100. Совокупная производительность пяти насосов КНС-2 указана как 81 640 кубометров в сутки; при работе всех пяти агрегатов аварийного резерва не остается. Статус КНС-2А как неработающей требует подтверждения.</w:t>
      </w:r>
    </w:p>
    <w:p>
      <w:r>
        <w:t>Для оценки резерва необходимо контролировать не только мощность, но и схему переключения, резервный маршрут, доступную производительность, исправность резервного насоса и нормативное время восстановления. Это переводит понятие «резерв» из паспортной характеристики в проверяемую эксплуатационную готовность.</w:t>
      </w:r>
    </w:p>
    <w:p>
      <w:pPr>
        <w:pStyle w:val="Heading2"/>
      </w:pPr>
      <w:r>
        <w:t>Слайд 22. Программа реконструкции переводит риски в объемы работ</w:t>
      </w:r>
    </w:p>
    <w:p>
      <w:r>
        <w:rPr>
          <w:b/>
        </w:rPr>
        <w:t>Ключевая мысль. Годовые километры должны быть связаны с конкретным снижением износа, потерь и аварийности.</w:t>
      </w:r>
    </w:p>
    <w:p>
      <w:r>
        <w:t>В 2025 году фактически реконструировано 69,740 километра водопровода и 3,781 километра канализации. План на 2026–2029 годы составляет 164,14 километра по водопроводу и 45,66 километра по канализации. Вместе с фактом 2025 года совокупный объем равен 233,88 и 49,441 километра соответственно.</w:t>
      </w:r>
    </w:p>
    <w:p>
      <w:r>
        <w:t>При этом в дорожной карте итоговые значения отнесены к периоду 2026–2029 годов, хотя арифметически они включают факт 2025 года. Период необходимо официально подтвердить, чтобы сохранить корректную базовую версию плана.</w:t>
      </w:r>
    </w:p>
    <w:p>
      <w:r>
        <w:t>Дополнительные проекты на 2026–2030 годы включают строительство и модернизацию КНС и 74 километра магистральных канализационных коллекторов. Целевые эффекты программы — снижение износа на 2,45 процента, потерь на 6 процентов и аварийности на 19,1 процента. Контроль должен связывать каждый объект и километр с одним из этих результатов.</w:t>
      </w:r>
    </w:p>
    <w:p>
      <w:pPr>
        <w:pStyle w:val="Heading2"/>
      </w:pPr>
      <w:r>
        <w:t>Слайд 23. Раздел 05. Цифровизация приборов учета</w:t>
      </w:r>
    </w:p>
    <w:p>
      <w:r>
        <w:rPr>
          <w:b/>
        </w:rPr>
        <w:t>Ключевая мысль. Полный водный баланс требует исправных приборов, дистанционной передачи и единой методики.</w:t>
      </w:r>
    </w:p>
    <w:p>
      <w:r>
        <w:t>Цифровизация учета должна обеспечить сквозной баланс воды — от добычи и водоподготовки до реализации и потерь. Для этого недостаточно установить прибор: необходимы его исправность, регулярная поверка, передача данных, привязка к объекту и сопоставимость периодов.</w:t>
      </w:r>
    </w:p>
    <w:p>
      <w:pPr>
        <w:pStyle w:val="Heading2"/>
      </w:pPr>
      <w:r>
        <w:t>Слайд 24. Потери распределения составляют около 23% добычи</w:t>
      </w:r>
    </w:p>
    <w:p>
      <w:r>
        <w:rPr>
          <w:b/>
        </w:rPr>
        <w:t>Ключевая мысль. Арифметический баланс почти замыкается, но причины потерь должны быть раскрыты по зонам.</w:t>
      </w:r>
    </w:p>
    <w:p>
      <w:r>
        <w:t>За первое полугодие 2026 года добыча составила 136,876 миллиона кубометров. Из этого объема 0,253 миллиона отнесены на собственные нужды, 8,248 миллиона — на водоподготовку, 30,843 миллиона — на потери распределения, 97,421 миллиона — на реализацию.</w:t>
      </w:r>
    </w:p>
    <w:p>
      <w:r>
        <w:t>Сумма компонентов равна 136,765 миллиона кубометров. Арифметический разрыв — 0,111 миллиона, или 0,081 процента от добычи. Это небольшое расхождение, но его минимальный размер не означает, что структура потерь понятна.</w:t>
      </w:r>
    </w:p>
    <w:p>
      <w:r>
        <w:t>Потери распределения необходимо разложить на утечки, коммерческие потери и погрешность учета. Собственные нужды в представленном балансе выделены отдельно; относить их к потерям без единой методики нельзя. Для зонального баланса требуются одинаковые границы, единый период, подтвержденные точки измерения и единая методика. Только тогда можно определить, где требуется ремонт, где настройка учета, а где работа с потребителями.</w:t>
      </w:r>
    </w:p>
    <w:p>
      <w:pPr>
        <w:pStyle w:val="Heading2"/>
      </w:pPr>
      <w:r>
        <w:t>Слайд 25. Дистанционная передача данных остается узким местом</w:t>
      </w:r>
    </w:p>
    <w:p>
      <w:r>
        <w:rPr>
          <w:b/>
        </w:rPr>
        <w:t>Ключевая мысль. Массовая установка приборов еще не создает цифровой учет без работоспособной телеметрии.</w:t>
      </w:r>
    </w:p>
    <w:p>
      <w:r>
        <w:t>На 1 июля 2026 года клиентская база составляет 674 433 потребителя. Приборами учета охвачены 516 489, то есть около 77 процентов. На 10 августа установлено 777 567 приборов, из них работают 639 724 — 82,3 процента. Расчетно вне работы находятся 137 843 прибора.</w:t>
      </w:r>
    </w:p>
    <w:p>
      <w:r>
        <w:t>К дистанционной передаче подключено 151 048 приборов, но фактически передают данные 29 399. Это 19,46 процента от подключенных. Именно этот разрыв показывает, что подключение и работоспособная телеметрия — разные статусы.</w:t>
      </w:r>
    </w:p>
    <w:p>
      <w:r>
        <w:t>Приоритет цифровизации необходимо выстраивать по управленческой ценности: инфраструктурные объекты, юридические лица, узлы сети, общедомовые приборы и пилотные цифровые зоны. Для каждого пилота следует подтвердить официальное название, границы, состав приборов и критерий успешности.</w:t>
      </w:r>
    </w:p>
    <w:p>
      <w:pPr>
        <w:pStyle w:val="Heading2"/>
      </w:pPr>
      <w:r>
        <w:t>Слайд 26. Единый коммерческий контур связывает учет, биллинг и сервис</w:t>
      </w:r>
    </w:p>
    <w:p>
      <w:r>
        <w:rPr>
          <w:b/>
        </w:rPr>
        <w:t>Ключевая мысль. Несопоставимые контуры задолженности нельзя складывать без единой даты и состава.</w:t>
      </w:r>
    </w:p>
    <w:p>
      <w:r>
        <w:t>В материалах представлены четыре контура задолженности: бухгалтерская — 6 168,054 миллиона тенге за первое полугодие 2026 года; рабочий контур — 1 105 миллионов на 1 июля; задолженность без гарантий — 927 миллионов, дата и состав требуют подтверждения; просрочка свыше двух месяцев — 966 миллионов тенге по 40 416 должникам на 18 июня.</w:t>
      </w:r>
    </w:p>
    <w:p>
      <w:r>
        <w:t>Эти значения относятся к разным датам и аналитическим контурам, поэтому не складываются. Целевая цифровая цепочка должна связывать прибор, данные, биллинг, начисление, оплату, задолженность, взыскание и KPI сервиса.</w:t>
      </w:r>
    </w:p>
    <w:p>
      <w:r>
        <w:t>По взысканию направлено 13 968 уведомлений на 2,2 миллиарда тенге, оплачено около 1 миллиарда. По отдельной работе с 4 413 потребителями оплачено 92,355 миллиона. Фактическое число ограничений потребителей в материалах не подтверждено. Цифровые инструменты — планшеты, электронные акты, GPS, фотофиксация, IAlma, онлайн-договоры и технические условия — должны работать внутри одной модели данных.</w:t>
      </w:r>
    </w:p>
    <w:p>
      <w:pPr>
        <w:pStyle w:val="Heading2"/>
      </w:pPr>
      <w:r>
        <w:t>Слайд 27. Раздел 06. Развитие КОС</w:t>
      </w:r>
    </w:p>
    <w:p>
      <w:r>
        <w:rPr>
          <w:b/>
        </w:rPr>
        <w:t>Ключевая мысль. Резерв водоотведения определяется пиковыми нагрузками, качеством выпуска и синхронностью инфраструктурных проектов.</w:t>
      </w:r>
    </w:p>
    <w:p>
      <w:r>
        <w:t>Этот раздел объединяет три задачи: подтвердить фактическую нагрузку на действующие очистные сооружения, сформировать единый KPI очищенного выпуска и обеспечить синхронный ввод новой КОС, коллектора и обработки осадка.</w:t>
      </w:r>
    </w:p>
    <w:p>
      <w:pPr>
        <w:pStyle w:val="Heading2"/>
      </w:pPr>
      <w:r>
        <w:t>Слайд 28. Пиковый приток превысил проектный предел КОС</w:t>
      </w:r>
    </w:p>
    <w:p>
      <w:r>
        <w:rPr>
          <w:b/>
        </w:rPr>
        <w:t>Ключевая мысль. Средняя загрузка не описывает риск работы выше проектной мощности в пиковый день.</w:t>
      </w:r>
    </w:p>
    <w:p>
      <w:r>
        <w:t>Действующая проектная мощность КОС составляет 640 тысяч кубометров в сутки. Средний приток в 2025 году — 437,2 тысячи, или 68,3 процента проектной мощности. За январь–июль 2026 года принято 96,602 миллиона кубометров, среднесуточный приток — около 455,7 тысячи, или 71,2 процента.</w:t>
      </w:r>
    </w:p>
    <w:p>
      <w:r>
        <w:t>Однако 23 мая 2026 года подтвержден пик 644 746 кубометров в сутки. Это на 4 746 кубометров, или на 0,74 процента, выше проектного предела. Значение 646 тысяч, встречающееся в материалах, является отдельным агрегированным показателем и не должно подаваться как второй подтвержденный максимум.</w:t>
      </w:r>
    </w:p>
    <w:p>
      <w:r>
        <w:t>Управленческий вывод: средняя загрузка скрывает пиковые дни. Для надежности необходимо контролировать не только среднемесячный объем, но и суточный максимум, длительность пика, входную нагрузку и доступный технологический резерв.</w:t>
      </w:r>
    </w:p>
    <w:p>
      <w:pPr>
        <w:pStyle w:val="Heading2"/>
      </w:pPr>
      <w:r>
        <w:t>Слайд 29. Доля превышений в промышленных пробах растет, а единый KPI выпуска отсутствует</w:t>
      </w:r>
    </w:p>
    <w:p>
      <w:r>
        <w:rPr>
          <w:b/>
        </w:rPr>
        <w:t>Ключевая мысль. Доля превышений в обследованных пробах не характеризует качество очищенного выпуска КОС.</w:t>
      </w:r>
    </w:p>
    <w:p>
      <w:r>
        <w:t>В 2024 году отобрано 505 промышленных проб, превышения выявлены в 153 случаях — 30,3 процента. В 2025 году — 292 пробы и 127 превышений, или 43,5 процента. За январь–июль 2026 года — 216 проб и 108 превышений, то есть 50 процентов.</w:t>
      </w:r>
    </w:p>
    <w:p>
      <w:r>
        <w:t>В обследованных выборках доля проб с превышениями выросла. Поскольку количество проб, периоды и состав отбора различаются, это само по себе не доказывает рост общей массы загрязнений на входе КОС. Кроме того, эти данные нельзя использовать как KPI эффективности очистки. Для оценки выпуска нужна непрерывная цепочка: входная нагрузка, качество после очистки, норматив, превышение, причина, корректирующее действие и подтвержденный результат.</w:t>
      </w:r>
    </w:p>
    <w:p>
      <w:r>
        <w:t>Обязательный ряд за 2024–2026 годы должен включать БПК, ХПК, взвешенные вещества, число и продолжительность превышений, причины и принятые меры. До формирования такого ряда итоговый KPI выпуска остается неполным.</w:t>
      </w:r>
    </w:p>
    <w:p>
      <w:pPr>
        <w:pStyle w:val="Heading2"/>
      </w:pPr>
      <w:r>
        <w:t>Слайд 30. Сбросы и осадок требуют правовой и операционной сверки</w:t>
      </w:r>
    </w:p>
    <w:p>
      <w:r>
        <w:rPr>
          <w:b/>
        </w:rPr>
        <w:t>Ключевая мысль. Материальный баланс должен сопровождаться подтвержденным правовым статусом операций.</w:t>
      </w:r>
    </w:p>
    <w:p>
      <w:r>
        <w:t>По ливневым и талым водам объемы составили 1 291 250 кубометров в 2024 году, 851 250 в 2025 году и 1 355 160 за январь–июль 2026 года. По техническим сбросам — 2 541 740, 3 172 798 и 77 970 кубометров соответственно. Эти ряды требуют сопоставления по периоду, классификации и разрешительной документации.</w:t>
      </w:r>
    </w:p>
    <w:p>
      <w:r>
        <w:t>По осадку за 2024 год в материалах одинаковым значением — 1 330 100 кубометров — обозначены образование и накопление. Для вывода о закрытом материальном балансе нужны исходный остаток и все направления движения осадка. В 2025 году вывезено 40 100 кубометров, а обезврежено 39 783. Разница 317 кубометров должна быть объяснена: остаток, хранение, технологические потери или различие периодов.</w:t>
      </w:r>
    </w:p>
    <w:p>
      <w:r>
        <w:t>До управленческого утверждения необходимо подтвердить разрешения, классификацию операций, предписания, платежи и возможные санкции. Цель — единый материальный и правовой контур, в котором каждое движение объема имеет источник и статус.</w:t>
      </w:r>
    </w:p>
    <w:p>
      <w:pPr>
        <w:pStyle w:val="Heading2"/>
      </w:pPr>
      <w:r>
        <w:t>Слайд 31. Новая КОС увеличит мощность системы до 960 тыс. м³/сут.</w:t>
      </w:r>
    </w:p>
    <w:p>
      <w:r>
        <w:rPr>
          <w:b/>
        </w:rPr>
        <w:t>Ключевая мысль. Проектные 320 тыс. м³/сут. увеличат расчетную мощность после ввода; фактически доступный резерв потребует подтверждения.</w:t>
      </w:r>
    </w:p>
    <w:p>
      <w:r>
        <w:t>Действующая проектная мощность составляет 640 тысяч кубометров в сутки. Проект новой КОС добавляет 320 тысяч, суммарная мощность после реализации должна составить 960 тысяч кубометров в сутки.</w:t>
      </w:r>
    </w:p>
    <w:p>
      <w:r>
        <w:t>Но формула мощности не равна готовому результату. Для новой КОС необходимо подтвердить график, финансирование, будущие операционные затраты, землю, разрешения и точки зависимости. Западный коллектор имеет договор на 36,3 миллиарда тенге, готовность 25 процентов на январь 2026 года и потребность в корректировке ориентировочно на 10 миллиардов. Цех обработки осадка оценивается в 8,141 миллиарда тенге, проектная мощность — 8 700 кубометров в сутки, экспертиза датирована 2 августа 2024 года.</w:t>
      </w:r>
    </w:p>
    <w:p>
      <w:r>
        <w:t>Следовательно, о фактически доступном резерве можно говорить только после синхронного ввода КОС, западного коллектора и обработки осадка, обеспечения операционных затрат и проверки работы системы под нагрузкой.</w:t>
      </w:r>
    </w:p>
    <w:p>
      <w:pPr>
        <w:pStyle w:val="Heading2"/>
      </w:pPr>
      <w:r>
        <w:t>Слайд 32. Модернизация КОС состоит из шести связанных пакетов</w:t>
      </w:r>
    </w:p>
    <w:p>
      <w:r>
        <w:rPr>
          <w:b/>
        </w:rPr>
        <w:t>Ключевая мысль. Расширение мощности должно идти вместе с очисткой, осадком, коммуникациями, резервом и экологией.</w:t>
      </w:r>
    </w:p>
    <w:p>
      <w:r>
        <w:t>Первый пакет — расширение мощности. Второй — модернизация технологий очистки. Третий — переработка осадка. Четвертый объединяет каналы и инженерные коммуникации: илопроводы, Каскеленский дюкер, отводящий канал Сорбулак и гидротехнические сооружения.</w:t>
      </w:r>
    </w:p>
    <w:p>
      <w:r>
        <w:t>Пятый пакет отвечает за аварийную устойчивость: реконструкцию канала аварийного сброса и увеличение аварийных емкостей. Шестой включает инфраструктуру и экологию — здания, песколовки, поля фильтрации, комплекс переработки осадка и твердых бытовых отходов.</w:t>
      </w:r>
    </w:p>
    <w:p>
      <w:r>
        <w:t>До ввода новой мощности приоритетами остаются резервирование коллекторов и КНС, контроль пиков, единый KPI входа и выпуска, промышленный контроль и материальный баланс осадка. Управлять нужно не отдельным объектом, а программой зависимостей.</w:t>
      </w:r>
    </w:p>
    <w:p>
      <w:pPr>
        <w:pStyle w:val="Heading2"/>
      </w:pPr>
      <w:r>
        <w:t>Слайд 33. Раздел 07. Автоматизация технологических процессов — АСУ ТП</w:t>
      </w:r>
    </w:p>
    <w:p>
      <w:r>
        <w:rPr>
          <w:b/>
        </w:rPr>
        <w:t>Ключевая мысль. АСУ ТП должна объединить полевые измерения, оборудование и диспетчеризацию в реальном времени.</w:t>
      </w:r>
    </w:p>
    <w:p>
      <w:r>
        <w:t>Автоматизация необходима для своевременного обнаружения отклонений и управляемого переключения оборудования. Она формирует достоверный поток данных от физического объекта к оператору и обеспечивает исполнение управляющих команд.</w:t>
      </w:r>
    </w:p>
    <w:p>
      <w:pPr>
        <w:pStyle w:val="Heading2"/>
      </w:pPr>
      <w:r>
        <w:t>Слайд 34. Единая АСУ ТП обеспечит управление в реальном времени</w:t>
      </w:r>
    </w:p>
    <w:p>
      <w:r>
        <w:rPr>
          <w:b/>
        </w:rPr>
        <w:t>Ключевая мысль. АСУ ТП управляет процессом, цифровой двойник анализирует и прогнозирует его состояние.</w:t>
      </w:r>
    </w:p>
    <w:p>
      <w:r>
        <w:t>На первом уровне находится единая сеть физических объектов: скважины, водопроводные и канализационные насосные станции, водозаборы, водоподготовка, резервуары и КОС. Второй уровень — датчики расхода, давления, уровня, температуры и качества воды, а также автоматизированная арматура, дозаторы и насосные агрегаты.</w:t>
      </w:r>
    </w:p>
    <w:p>
      <w:r>
        <w:t>Третий уровень включает ПЛК, станции управления, шкафы автоматики, сбор и первичную обработку данных. Четвертый — защищенную сеть передачи. Пятый — диспетчерский центр: серверы, рабочие места операторов, SCADA, архив параметров и аварийные сигналы.</w:t>
      </w:r>
    </w:p>
    <w:p>
      <w:r>
        <w:t>Цифровой двойник располагается над этим контуром как аналитическая надстройка. Он не заменяет АСУ ТП: автоматизированная система управляет физическим процессом, а цифровой двойник сопоставляет данные, моделирует сценарии и прогнозирует риски.</w:t>
      </w:r>
    </w:p>
    <w:p>
      <w:pPr>
        <w:pStyle w:val="Heading2"/>
      </w:pPr>
      <w:r>
        <w:t>Слайд 35. Раздел 08. Инвестиционное планирование</w:t>
      </w:r>
    </w:p>
    <w:p>
      <w:r>
        <w:rPr>
          <w:b/>
        </w:rPr>
        <w:t>Ключевая мысль. Инвестиции должны оцениваться по фактически снятому ограничению, а не только по освоению средств.</w:t>
      </w:r>
    </w:p>
    <w:p>
      <w:r>
        <w:t>Инвестиционное планирование объединяет экономику тарифа, финансовые результаты, приоритетные проекты и контроль исполнения. В центре находится вопрос: какое конкретное ограничение снимает проект и какой измеримый эффект получает система.</w:t>
      </w:r>
    </w:p>
    <w:p>
      <w:pPr>
        <w:pStyle w:val="Heading2"/>
      </w:pPr>
      <w:r>
        <w:t>Слайд 36. Тариф не покрывает полную стоимость услуг</w:t>
      </w:r>
    </w:p>
    <w:p>
      <w:r>
        <w:rPr>
          <w:b/>
        </w:rPr>
        <w:t>Ключевая мысль. Финансовый, бухгалтерский и тарифный результаты относятся к разным контурам и не складываются.</w:t>
      </w:r>
    </w:p>
    <w:p>
      <w:r>
        <w:t>Аудированный финансовый результат 2024 года составляет минус 2,416 миллиарда тенге, 2025 года — плюс 2,654 миллиарда. Бухгалтерский результат за первое полугодие 2026 года — минус 1,136846 миллиарда тенге.</w:t>
      </w:r>
    </w:p>
    <w:p>
      <w:r>
        <w:t>Тарифный контур показывает другую задачу — покрытие экономически обоснованных затрат действующим тарифом. По водоснабжению уровень покрытия составляет 89,8 процента, тарифный результат — минус 1,348820 миллиарда тенге. По водоотведению покрытие — 82,8 процента, результат — минус 1,183781 миллиарда. Совокупный тарифный разрыв — около минус 2,533 миллиарда тенге.</w:t>
      </w:r>
    </w:p>
    <w:p>
      <w:r>
        <w:t>Эти значения нельзя механически складывать. Целевая модель самофинансирования строится через рост выручки, снижение управляемых затрат и высвобождение собственных средств для развития.</w:t>
      </w:r>
    </w:p>
    <w:p>
      <w:pPr>
        <w:pStyle w:val="Heading2"/>
      </w:pPr>
      <w:r>
        <w:t>Слайд 37. Финансовые контуры связывает мостик сверки</w:t>
      </w:r>
    </w:p>
    <w:p>
      <w:r>
        <w:rPr>
          <w:b/>
        </w:rPr>
        <w:t>Ключевая мысль. Мостик раскрывает причины расхождений, не превращая разные результаты в одну сумму.</w:t>
      </w:r>
    </w:p>
    <w:p>
      <w:r>
        <w:t>На левом берегу находится тарифный результат — степень покрытия экономически обоснованных затрат действующим тарифом. На правом — бухгалтерский результат текущего периода и аудированный результат завершенного периода. Эти показатели отвечают на разные вопросы.</w:t>
      </w:r>
    </w:p>
    <w:p>
      <w:r>
        <w:t>Связь между ними раскрывается через семь опор: выручку, субсидии и прочие доходы, амортизацию, энергию, ремонты, курсовые статьи и разовые статьи. По каждой опоре необходимо показать влияние на переход от одного результата к другому, указать источник и период. Числовой мостик строится только для сопоставимого периода и состава.</w:t>
      </w:r>
    </w:p>
    <w:p>
      <w:r>
        <w:t>Такой мостик позволяет объяснить руководству, почему тарифный дефицит может сосуществовать с положительным аудированным результатом отдельного года или с текущим бухгалтерским убытком. Главное правило — не складывать контуры, а расшифровывать различия.</w:t>
      </w:r>
    </w:p>
    <w:p>
      <w:pPr>
        <w:pStyle w:val="Heading2"/>
      </w:pPr>
      <w:r>
        <w:t>Слайд 38. Пять проектов снимают ключевые ограничения системы</w:t>
      </w:r>
    </w:p>
    <w:p>
      <w:r>
        <w:rPr>
          <w:b/>
        </w:rPr>
        <w:t>Ключевая мысль. Каждый проект должен иметь стоимость, статус, контрольную точку и снимаемое ограничение.</w:t>
      </w:r>
    </w:p>
    <w:p>
      <w:r>
        <w:t>Проект Аксай оценивается в 29,7 миллиарда тенге; строительная готовность — 95 процентов, пусконаладка — 30 процентов. Контрольная точка — подтверждение даты ввода. Аксай/Барлык оценивается в 18 миллиардов, ТЭО находится на рассмотрении; требуется решение по финансированию.</w:t>
      </w:r>
    </w:p>
    <w:p>
      <w:r>
        <w:t>Нурлытау/Ерменсай — 10,4 миллиарда тенге, готовность 25 процентов на январь 2026 года; необходимо проверить план ввода. По Сайрану ориентир стоимости — 20 миллиардов, проект находится на стадии договора на проектирование; контрольная точка — подписание договора. Новая КОС и западный коллектор — взаимозависимые проекты без единой финансовой модели; ключевое решение — синхронизация графиков.</w:t>
      </w:r>
    </w:p>
    <w:p>
      <w:r>
        <w:t>Для всех проектов нужны единые поля: владелец, источник финансирования, дата ввода, остаток CAPEX, зависимости и конкретное ограничение, которое снимается после ввода.</w:t>
      </w:r>
    </w:p>
    <w:p>
      <w:pPr>
        <w:pStyle w:val="Heading2"/>
      </w:pPr>
      <w:r>
        <w:t>Слайд 39. Контрактуемость не равна исполнению инвестпрограммы</w:t>
      </w:r>
    </w:p>
    <w:p>
      <w:r>
        <w:rPr>
          <w:b/>
        </w:rPr>
        <w:t>Ключевая мысль. Подписанный договор — только начало цепочки до введенного результата.</w:t>
      </w:r>
    </w:p>
    <w:p>
      <w:r>
        <w:t>По водоснабжению контрактуемость составляет 95 процентов, физическое исполнение — 7,7 процента, финансовое — 3,71 процента. По водоотведению договоры охватывают 98 процентов программы, физическое исполнение — 17,27 процента, финансовое — 11,78 процента.</w:t>
      </w:r>
    </w:p>
    <w:p>
      <w:r>
        <w:t>Высокая контрактуемость показывает, что закупочный этап в основном пройден, но не характеризует созданный результат. Контрольная цепочка должна разделять пять статусов: договор подписан, работы выполнены, работы приняты, работы оплачены, объект введен и дает плановый эффект.</w:t>
      </w:r>
    </w:p>
    <w:p>
      <w:r>
        <w:t>Для каждого объекта необходимы два независимых KPI — физический и финансовый — плюс прогноз завершения. Это позволяет заранее увидеть отставание графика, не маскируя его объемом заключенных договоров.</w:t>
      </w:r>
    </w:p>
    <w:p>
      <w:pPr>
        <w:pStyle w:val="Heading2"/>
      </w:pPr>
      <w:r>
        <w:t>Слайд 40. Инвестпрограмма требует одной базовой версии</w:t>
      </w:r>
    </w:p>
    <w:p>
      <w:r>
        <w:rPr>
          <w:b/>
        </w:rPr>
        <w:t>Ключевая мысль. Рабочая корректировка не заменяет утвержденную базу без формального журнала изменений.</w:t>
      </w:r>
    </w:p>
    <w:p>
      <w:r>
        <w:t>Утвержденная версия инвестиционной программы составляет 17,589216 миллиарда тенге: 13,165896 миллиарда по водоснабжению и 4,423320 миллиарда по водоотведению. Дополнительный доход указан на уровне 4,348204 миллиарда.</w:t>
      </w:r>
    </w:p>
    <w:p>
      <w:r>
        <w:t>Рабочая корректировка составляет 16,963471 миллиарда тенге: 12,627081 миллиарда по водоснабжению и 4,336390 миллиарда по водоотведению. Дополнительный доход — 4,567260 миллиарда. Разница между версиями должна быть формализована.</w:t>
      </w:r>
    </w:p>
    <w:p>
      <w:r>
        <w:t>Журнал изменений должен содержать номер версии, дату, решение, источник финансирования, причину, влияние на график и ожидаемый результат. До официального утверждения рабочая корректировка не заменяет базовую версию. Исполнение контролируется по физическому KPI, финансовому KPI и прогнозу завершения.</w:t>
      </w:r>
    </w:p>
    <w:p>
      <w:pPr>
        <w:pStyle w:val="Heading2"/>
      </w:pPr>
      <w:r>
        <w:t>Слайд 41. Раздел 09. Энергоэффективность</w:t>
      </w:r>
    </w:p>
    <w:p>
      <w:r>
        <w:rPr>
          <w:b/>
        </w:rPr>
        <w:t>Ключевая мысль. Энергоэффективность — это управление удельными затратами каждого объекта.</w:t>
      </w:r>
    </w:p>
    <w:p>
      <w:r>
        <w:t>Электроэнергия является одним из ключевых факторов себестоимости водоснабжения и водоотведения. Поэтому задача направления — перейти от контроля общей суммы расходов к управлению энергоемкостью источников, насосных станций, КНС и КОС.</w:t>
      </w:r>
    </w:p>
    <w:p>
      <w:pPr>
        <w:pStyle w:val="Heading2"/>
      </w:pPr>
      <w:r>
        <w:t>Слайд 42. Стоимость энергии растет быстрее потребления</w:t>
      </w:r>
    </w:p>
    <w:p>
      <w:r>
        <w:rPr>
          <w:b/>
        </w:rPr>
        <w:t>Ключевая мысль. При росте потребления на 7,3% стоимость увеличилась примерно на 21%.</w:t>
      </w:r>
    </w:p>
    <w:p>
      <w:r>
        <w:t>Потребление электроэнергии выросло с 192,9 до 207,0 миллиона киловатт-часов. Это плюс 7,3 процента, индекс 107,3. Стоимость при этом выросла примерно на 21 процент: в материалах представлены значения от 5,524 до 6,684–6,698 миллиарда тенге. Расхождение источников около 14 миллионов тенге необходимо сверить.</w:t>
      </w:r>
    </w:p>
    <w:p>
      <w:r>
        <w:t>Общая сумма расходов важна для бюджета, но недостаточна для операционного управления. Основной KPI — киловатт-час на кубометр по каждому объекту: источнику, насосной станции, КНС и КОС. Именно он позволяет отделить влияние тарифа от технической эффективности.</w:t>
      </w:r>
    </w:p>
    <w:p>
      <w:r>
        <w:t>Программа должна включать обследование и мониторинг, оптимизацию насосов и частотно-регулируемых приводов, настройку режимов и давления, сокращение технических потерь и контроль удельных затрат после мероприятий.</w:t>
      </w:r>
    </w:p>
    <w:p>
      <w:pPr>
        <w:pStyle w:val="Heading2"/>
      </w:pPr>
      <w:r>
        <w:t>Слайд 43. До утверждения необходимо подтвердить критические данные</w:t>
      </w:r>
    </w:p>
    <w:p>
      <w:r>
        <w:rPr>
          <w:b/>
        </w:rPr>
        <w:t>Ключевая мысль. Каждый критический показатель должен иметь единую запись для проверки.</w:t>
      </w:r>
    </w:p>
    <w:p>
      <w:r>
        <w:t>Первый блок проверки — качество и непрерывность: ряды качества воды за 2024–2026 годы, вход и выпуск КОС, перерывы и резервирование. Второй — потери: зональный баланс, ночной минимум, утечки, коммерческие потери и учет. Третий — проекты и финансы: статус и ввод, CAPEX и OPEX, финансирование, задолженность и базовая версия инвестпрограммы. Четвертый — активы и цифровизация: единый ID, паспорт, право и баланс, пилоты, цифровой двойник и АСУ ТП.</w:t>
      </w:r>
    </w:p>
    <w:p>
      <w:r>
        <w:t>Единая запись должна содержать период, объект или зону, единицу, источник, ответственного и дату выгрузки. Статус проверки обозначается как подтверждено, в работе, отсутствует или недоступно.</w:t>
      </w:r>
    </w:p>
    <w:p>
      <w:r>
        <w:t>Отдельно отмечено, что файл «Азиаз/пеня.xlsx» зашифрован и не использован в расчетах. Это корректный пример дисциплины данных: недоступный источник не превращается в факт.</w:t>
      </w:r>
    </w:p>
    <w:p>
      <w:pPr>
        <w:pStyle w:val="Heading2"/>
      </w:pPr>
      <w:r>
        <w:t>Слайд 44. Пять решений запускают реализацию дорожной карты</w:t>
      </w:r>
    </w:p>
    <w:p>
      <w:r>
        <w:rPr>
          <w:b/>
        </w:rPr>
        <w:t>Ключевая мысль. Решение считается принятым только при наличии предмета, владельца, срока и KPI результата.</w:t>
      </w:r>
    </w:p>
    <w:p>
      <w:r>
        <w:t>Первое решение — утвердить девять направлений дорожной карты, владельцев и контрольные сроки. Второе — утвердить единый цифровой контур: реестр активов, ГИС, цифровой двойник, АСУ ТП, учет и биллинг.</w:t>
      </w:r>
    </w:p>
    <w:p>
      <w:r>
        <w:t>Третье решение — подтвердить мощности источников, единый водный баланс, программу реконструкции и резервирование. Четвертое — утвердить приоритетный проектный портфель, источники финансирования и порядок изменения инвестиционной программы. Пятое — запустить кадровую и научно-техническую программы с измеримыми KPI.</w:t>
      </w:r>
    </w:p>
    <w:p>
      <w:r>
        <w:t>Для каждого решения в протоколе должны быть зафиксированы четыре поля: предмет утверждения, владелец, срок и показатель результата. Именно это переводит обсуждение из режима реагирования в управление риском.</w:t>
      </w:r>
    </w:p>
    <w:p>
      <w:pPr>
        <w:pStyle w:val="Heading2"/>
      </w:pPr>
      <w:r>
        <w:t>Слайд 45. Целевая модель переводит предприятие к управляемой устойчивости</w:t>
      </w:r>
    </w:p>
    <w:p>
      <w:r>
        <w:rPr>
          <w:b/>
        </w:rPr>
        <w:t>Ключевая мысль. Факт превращается в приоритет, приоритет — в управляемый проект, проект — в измеримый эффект.</w:t>
      </w:r>
    </w:p>
    <w:p>
      <w:r>
        <w:t>Целевая модель состоит из пяти последовательных элементов. Первый — подтвержденный факт: дата, состав и источник. Второй — локализованный риск с понятными последствиями и мерами защиты. Третий — единый приоритет для сетей, сооружений, кадров и инвестиций. Четвертый — управляемый проект с владельцем, сроком, финансированием и зависимостями. Пятый — измеримый эффект: надежность, качество, снижение потерь, энергоэффективность и финансовая устойчивость.</w:t>
      </w:r>
    </w:p>
    <w:p>
      <w:r>
        <w:t>Именно эта последовательность должна стать общей управленческой архитектурой «Алматы Су». Она соединяет данные, операционное управление, инвестиционные решения и контроль результата. Масштаб предприятия превращается в устойчивость не за счет отдельного проекта, а за счет единой системы принятия решений.</w:t>
      </w:r>
    </w:p>
    <w:p>
      <w:r>
        <w:t>Предлагается утвердить обозначенные решения, определить владельцев и сроки, а дальнейший контроль вести по подтвержденным базовым показателям и фактически достигнутому эффекту.</w:t>
      </w:r>
    </w:p>
    <w:p>
      <w:pPr>
        <w:pStyle w:val="Heading1"/>
      </w:pPr>
      <w:r>
        <w:t>Приложение Б. Контрольные правила для обновления отчёта</w:t>
      </w:r>
    </w:p>
    <w:p>
      <w:r>
        <w:t>При следующем обновлении отчёта следует сохранять единый контрольный срез и не смешивать годовые, полугодовые, моментные и проектные значения. Для каждого показателя нужно указывать единицу измерения, период, объект, состав, источник, дату выгрузки, владельца и статус.</w:t>
      </w:r>
    </w:p>
    <w:p>
      <w:r>
        <w:t>Изменения в презентации должны одновременно отражаться в основной части отчёта и в слайдовой карте приложения. Если источник изменил методику или периметр, прежнее значение следует сохранить как исторический срез с отдельной оговоркой, а не заменять без объяснения.</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F6B76"/>
        <w:sz w:val="17"/>
      </w:rPr>
      <w:t xml:space="preserve">Страница </w:t>
    </w:r>
    <w:r>
      <w:rPr>
        <w:rFonts w:ascii="Calibri" w:hAnsi="Calibri" w:eastAsia="Calibri"/>
        <w:color w:val="5F6B7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5F6B76"/>
        <w:sz w:val="17"/>
      </w:rPr>
      <w:t>ГКП на ПХВ «Алматы Су»  |  Доклад 3 сентября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before="0" w:after="120" w:line="264" w:lineRule="auto"/>
    </w:pPr>
    <w:rPr>
      <w:rFonts w:ascii="Calibri" w:hAnsi="Calibri" w:eastAsia="Calibri"/>
      <w:i w:val="0"/>
      <w:color w:val="0B2545"/>
      <w:sz w:val="24"/>
    </w:rPr>
  </w:style>
  <w:style w:type="paragraph" w:customStyle="1" w:styleId="SourceNote">
    <w:name w:val="Source Note"/>
    <w:basedOn w:val="Normal"/>
    <w:pPr>
      <w:spacing w:before="0" w:after="80" w:line="264" w:lineRule="auto"/>
    </w:pPr>
    <w:rPr>
      <w:rFonts w:ascii="Calibri" w:hAnsi="Calibri" w:eastAsia="Calibri"/>
      <w:i/>
      <w:color w:val="5F6B76"/>
      <w:sz w:val="17"/>
    </w:rPr>
  </w:style>
  <w:style w:type="paragraph" w:customStyle="1" w:styleId="TableText">
    <w:name w:val="Table Text"/>
    <w:basedOn w:val="Normal"/>
    <w:pPr>
      <w:spacing w:before="0" w:after="120" w:line="264" w:lineRule="auto"/>
    </w:pPr>
    <w:rPr>
      <w:rFonts w:ascii="Calibri" w:hAnsi="Calibri" w:eastAsia="Calibri"/>
      <w:i w:val="0"/>
      <w:color w:val="000000"/>
      <w:sz w:val="18"/>
    </w:rPr>
  </w:style>
  <w:style w:type="paragraph" w:customStyle="1" w:styleId="TableHeader">
    <w:name w:val="Table Header"/>
    <w:basedOn w:val="Normal"/>
    <w:pPr>
      <w:spacing w:before="0" w:after="120" w:line="264" w:lineRule="auto"/>
    </w:pPr>
    <w:rPr>
      <w:rFonts w:ascii="Calibri" w:hAnsi="Calibri" w:eastAsia="Calibri"/>
      <w:i w:val="0"/>
      <w:color w:val="0B2545"/>
      <w:sz w:val="18"/>
    </w:rPr>
  </w:style>
  <w:style w:type="paragraph" w:customStyle="1" w:styleId="Callout">
    <w:name w:val="Callout"/>
    <w:basedOn w:val="Normal"/>
    <w:pPr>
      <w:spacing w:before="0" w:after="120" w:line="264" w:lineRule="auto"/>
    </w:pPr>
    <w:rPr>
      <w:rFonts w:ascii="Calibri" w:hAnsi="Calibri" w:eastAsia="Calibri"/>
      <w:i w:val="0"/>
      <w:color w:val="0B2545"/>
      <w:sz w:val="21"/>
    </w:rPr>
  </w:style>
  <w:style w:type="paragraph" w:customStyle="1" w:styleId="Small">
    <w:name w:val="Small"/>
    <w:basedOn w:val="Normal"/>
    <w:pPr>
      <w:spacing w:before="0" w:after="120" w:line="264" w:lineRule="auto"/>
    </w:pPr>
    <w:rPr>
      <w:rFonts w:ascii="Calibri" w:hAnsi="Calibri" w:eastAsia="Calibri"/>
      <w:i w:val="0"/>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Полный детальный доклад ГКП на ПХВ «Алматы Су»</dc:title>
  <dc:subject>Состояние системы, ключевые риски и программа развития</dc:subject>
  <dc:creator>CreoLab</dc:creator>
  <cp:keywords/>
  <dc:description>Расширенная текстовая версия презентации от 3 сентября 2026 года</dc:description>
  <cp:lastModifiedBy/>
  <cp:revision>1</cp:revision>
  <dcterms:created xsi:type="dcterms:W3CDTF">2013-12-23T23:15:00Z</dcterms:created>
  <dcterms:modified xsi:type="dcterms:W3CDTF">2013-12-23T23:15:00Z</dcterms:modified>
  <cp:category/>
</cp:coreProperties>
</file>