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72F" w:rsidRDefault="0058572F" w:rsidP="0058572F">
      <w:pPr>
        <w:pStyle w:val="Titre3"/>
        <w:spacing w:before="72"/>
        <w:rPr>
          <w:rFonts w:ascii="Arial" w:hAnsi="Arial" w:cs="Arial"/>
          <w:color w:val="000000"/>
          <w:sz w:val="29"/>
          <w:szCs w:val="29"/>
        </w:rPr>
      </w:pPr>
      <w:r>
        <w:rPr>
          <w:rStyle w:val="mw-headline"/>
          <w:rFonts w:ascii="Arial" w:hAnsi="Arial" w:cs="Arial"/>
          <w:color w:val="000000"/>
          <w:sz w:val="29"/>
          <w:szCs w:val="29"/>
        </w:rPr>
        <w:t>Personal finance</w:t>
      </w:r>
      <w:r>
        <w:rPr>
          <w:rStyle w:val="mw-editsection-bracket"/>
          <w:rFonts w:ascii="Arial" w:hAnsi="Arial" w:cs="Arial"/>
          <w:b/>
          <w:bCs/>
          <w:color w:val="54595D"/>
        </w:rPr>
        <w:t>[</w:t>
      </w:r>
      <w:hyperlink r:id="rId5" w:tooltip="Edit section: Personal finance" w:history="1">
        <w:r>
          <w:rPr>
            <w:rStyle w:val="Lienhypertexte"/>
            <w:rFonts w:ascii="Arial" w:hAnsi="Arial" w:cs="Arial"/>
            <w:b/>
            <w:bCs/>
            <w:color w:val="0B0080"/>
          </w:rPr>
          <w:t>edit</w:t>
        </w:r>
      </w:hyperlink>
      <w:r>
        <w:rPr>
          <w:rStyle w:val="mw-editsection-bracket"/>
          <w:rFonts w:ascii="Arial" w:hAnsi="Arial" w:cs="Arial"/>
          <w:b/>
          <w:bCs/>
          <w:color w:val="54595D"/>
        </w:rPr>
        <w:t>]</w:t>
      </w:r>
    </w:p>
    <w:p w:rsidR="0058572F" w:rsidRDefault="0058572F" w:rsidP="0058572F">
      <w:pPr>
        <w:rPr>
          <w:rFonts w:ascii="Arial" w:hAnsi="Arial" w:cs="Arial"/>
          <w:i/>
          <w:iCs/>
          <w:color w:val="222222"/>
          <w:sz w:val="21"/>
          <w:szCs w:val="21"/>
        </w:rPr>
      </w:pPr>
      <w:r>
        <w:rPr>
          <w:rFonts w:ascii="Arial" w:hAnsi="Arial" w:cs="Arial"/>
          <w:i/>
          <w:iCs/>
          <w:color w:val="222222"/>
          <w:sz w:val="21"/>
          <w:szCs w:val="21"/>
        </w:rPr>
        <w:t>Main article:</w:t>
      </w:r>
      <w:r>
        <w:rPr>
          <w:rStyle w:val="apple-converted-space"/>
          <w:rFonts w:ascii="Arial" w:hAnsi="Arial" w:cs="Arial"/>
          <w:i/>
          <w:iCs/>
          <w:color w:val="222222"/>
          <w:sz w:val="21"/>
          <w:szCs w:val="21"/>
        </w:rPr>
        <w:t> </w:t>
      </w:r>
      <w:hyperlink r:id="rId6" w:tooltip="Personal finance" w:history="1">
        <w:r>
          <w:rPr>
            <w:rStyle w:val="Lienhypertexte"/>
            <w:rFonts w:ascii="Arial" w:hAnsi="Arial" w:cs="Arial"/>
            <w:i/>
            <w:iCs/>
            <w:color w:val="0B0080"/>
            <w:sz w:val="21"/>
            <w:szCs w:val="21"/>
          </w:rPr>
          <w:t>Personal finance</w:t>
        </w:r>
      </w:hyperlink>
    </w:p>
    <w:p w:rsidR="0058572F" w:rsidRDefault="0058572F" w:rsidP="0058572F">
      <w:pPr>
        <w:pStyle w:val="NormalWeb"/>
        <w:spacing w:before="120" w:beforeAutospacing="0" w:after="120" w:afterAutospacing="0"/>
        <w:rPr>
          <w:rFonts w:ascii="Arial" w:hAnsi="Arial" w:cs="Arial"/>
          <w:color w:val="222222"/>
          <w:sz w:val="21"/>
          <w:szCs w:val="21"/>
        </w:rPr>
      </w:pPr>
      <w:r>
        <w:rPr>
          <w:rFonts w:ascii="Arial" w:hAnsi="Arial" w:cs="Arial"/>
          <w:b/>
          <w:bCs/>
          <w:color w:val="222222"/>
          <w:sz w:val="21"/>
          <w:szCs w:val="21"/>
        </w:rPr>
        <w:t>Personal finance</w:t>
      </w:r>
      <w:hyperlink r:id="rId7" w:anchor="cite_note-2" w:history="1">
        <w:r>
          <w:rPr>
            <w:rStyle w:val="Lienhypertexte"/>
            <w:rFonts w:ascii="Arial" w:hAnsi="Arial" w:cs="Arial"/>
            <w:color w:val="0B0080"/>
            <w:sz w:val="17"/>
            <w:szCs w:val="17"/>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is defined as the mindful planning of monetary spending and saving, while also considering the possibility of future risk. The following steps, as outlined by the Financial Planning Standards Board</w:t>
      </w:r>
      <w:hyperlink r:id="rId8" w:anchor="cite_note-3" w:history="1">
        <w:r>
          <w:rPr>
            <w:rStyle w:val="Lienhypertexte"/>
            <w:rFonts w:ascii="Arial" w:hAnsi="Arial" w:cs="Arial"/>
            <w:color w:val="0B0080"/>
            <w:sz w:val="17"/>
            <w:szCs w:val="17"/>
            <w:vertAlign w:val="superscript"/>
          </w:rPr>
          <w:t>[3]</w:t>
        </w:r>
      </w:hyperlink>
      <w:r>
        <w:rPr>
          <w:rFonts w:ascii="Arial" w:hAnsi="Arial" w:cs="Arial"/>
          <w:color w:val="222222"/>
          <w:sz w:val="21"/>
          <w:szCs w:val="21"/>
        </w:rPr>
        <w:t>, suggest that an individual will understand a potentially secure personal finance plan after:</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Purchasing insurance to ensure protection against unforeseen personal events</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Understanding the effects of tax policies (tax subsidies or penalties) management of personal finances</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Understanding the effects of credit on individual financial standing</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Developing of a savings plan or financing for large purchases (auto, education, home)</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Planning a secure financial future in an environment of economic instability</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Pursuing a checking and/or a savings account</w:t>
      </w:r>
    </w:p>
    <w:p w:rsidR="0058572F" w:rsidRDefault="0058572F" w:rsidP="0058572F">
      <w:pPr>
        <w:numPr>
          <w:ilvl w:val="0"/>
          <w:numId w:val="1"/>
        </w:numPr>
        <w:spacing w:before="100" w:beforeAutospacing="1" w:after="24"/>
        <w:ind w:left="384"/>
        <w:rPr>
          <w:rFonts w:ascii="Arial" w:hAnsi="Arial" w:cs="Arial"/>
          <w:color w:val="222222"/>
          <w:sz w:val="21"/>
          <w:szCs w:val="21"/>
        </w:rPr>
      </w:pPr>
      <w:r>
        <w:rPr>
          <w:rFonts w:ascii="Arial" w:hAnsi="Arial" w:cs="Arial"/>
          <w:color w:val="222222"/>
          <w:sz w:val="21"/>
          <w:szCs w:val="21"/>
        </w:rPr>
        <w:t>Preparing for retirement/ long term expenses</w:t>
      </w:r>
    </w:p>
    <w:p w:rsidR="0058572F" w:rsidRDefault="0058572F" w:rsidP="0058572F">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3175000" cy="3873500"/>
            <wp:effectExtent l="0" t="0" r="0" b="0"/>
            <wp:docPr id="15" name="Image 15" descr="Une image contenant personne, homme, complet, rideau&#10;&#10;Description générée automatiqu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3873500"/>
                    </a:xfrm>
                    <a:prstGeom prst="rect">
                      <a:avLst/>
                    </a:prstGeom>
                    <a:noFill/>
                    <a:ln>
                      <a:noFill/>
                    </a:ln>
                  </pic:spPr>
                </pic:pic>
              </a:graphicData>
            </a:graphic>
          </wp:inline>
        </w:drawing>
      </w:r>
    </w:p>
    <w:p w:rsidR="0058572F" w:rsidRDefault="0058572F" w:rsidP="0058572F">
      <w:pPr>
        <w:shd w:val="clear" w:color="auto" w:fill="F8F9FA"/>
        <w:spacing w:line="336" w:lineRule="atLeast"/>
        <w:rPr>
          <w:rFonts w:ascii="Arial" w:hAnsi="Arial" w:cs="Arial"/>
          <w:color w:val="222222"/>
          <w:sz w:val="19"/>
          <w:szCs w:val="19"/>
        </w:rPr>
      </w:pPr>
      <w:hyperlink r:id="rId11" w:tooltip="Warren Buffett" w:history="1">
        <w:r>
          <w:rPr>
            <w:rStyle w:val="Lienhypertexte"/>
            <w:rFonts w:ascii="Arial" w:hAnsi="Arial" w:cs="Arial"/>
            <w:color w:val="0B0080"/>
            <w:sz w:val="19"/>
            <w:szCs w:val="19"/>
          </w:rPr>
          <w:t>Warren Buffett</w:t>
        </w:r>
      </w:hyperlink>
      <w:r>
        <w:rPr>
          <w:rStyle w:val="apple-converted-space"/>
          <w:rFonts w:ascii="Arial" w:hAnsi="Arial" w:cs="Arial"/>
          <w:color w:val="222222"/>
          <w:sz w:val="19"/>
          <w:szCs w:val="19"/>
        </w:rPr>
        <w:t> </w:t>
      </w:r>
      <w:r>
        <w:rPr>
          <w:rFonts w:ascii="Arial" w:hAnsi="Arial" w:cs="Arial"/>
          <w:color w:val="222222"/>
          <w:sz w:val="19"/>
          <w:szCs w:val="19"/>
        </w:rPr>
        <w:t>CEO &amp; chairman of Berkshire Hathaway, American investor, business magnate, and philanthropist. He is considered by some to be one of the most successful investors in the world.</w:t>
      </w:r>
    </w:p>
    <w:p w:rsidR="0058572F" w:rsidRDefault="0058572F" w:rsidP="0058572F">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Personal finance may involve paying for education, financing</w:t>
      </w:r>
      <w:r>
        <w:rPr>
          <w:rStyle w:val="apple-converted-space"/>
          <w:rFonts w:ascii="Arial" w:hAnsi="Arial" w:cs="Arial"/>
          <w:color w:val="222222"/>
          <w:sz w:val="21"/>
          <w:szCs w:val="21"/>
        </w:rPr>
        <w:t> </w:t>
      </w:r>
      <w:hyperlink r:id="rId12" w:tooltip="Durable good" w:history="1">
        <w:r>
          <w:rPr>
            <w:rStyle w:val="Lienhypertexte"/>
            <w:rFonts w:ascii="Arial" w:hAnsi="Arial" w:cs="Arial"/>
            <w:color w:val="0B0080"/>
            <w:sz w:val="21"/>
            <w:szCs w:val="21"/>
          </w:rPr>
          <w:t>durable goods</w:t>
        </w:r>
      </w:hyperlink>
      <w:r>
        <w:rPr>
          <w:rStyle w:val="apple-converted-space"/>
          <w:rFonts w:ascii="Arial" w:hAnsi="Arial" w:cs="Arial"/>
          <w:color w:val="222222"/>
          <w:sz w:val="21"/>
          <w:szCs w:val="21"/>
        </w:rPr>
        <w:t> </w:t>
      </w:r>
      <w:r>
        <w:rPr>
          <w:rFonts w:ascii="Arial" w:hAnsi="Arial" w:cs="Arial"/>
          <w:color w:val="222222"/>
          <w:sz w:val="21"/>
          <w:szCs w:val="21"/>
        </w:rPr>
        <w:t>such as</w:t>
      </w:r>
      <w:r>
        <w:rPr>
          <w:rStyle w:val="apple-converted-space"/>
          <w:rFonts w:ascii="Arial" w:hAnsi="Arial" w:cs="Arial"/>
          <w:color w:val="222222"/>
          <w:sz w:val="21"/>
          <w:szCs w:val="21"/>
        </w:rPr>
        <w:t> </w:t>
      </w:r>
      <w:hyperlink r:id="rId13" w:tooltip="Real estate" w:history="1">
        <w:r>
          <w:rPr>
            <w:rStyle w:val="Lienhypertexte"/>
            <w:rFonts w:ascii="Arial" w:hAnsi="Arial" w:cs="Arial"/>
            <w:color w:val="0B0080"/>
            <w:sz w:val="21"/>
            <w:szCs w:val="21"/>
          </w:rPr>
          <w:t>real estate</w:t>
        </w:r>
      </w:hyperlink>
      <w:r>
        <w:rPr>
          <w:rStyle w:val="apple-converted-space"/>
          <w:rFonts w:ascii="Arial" w:hAnsi="Arial" w:cs="Arial"/>
          <w:color w:val="222222"/>
          <w:sz w:val="21"/>
          <w:szCs w:val="21"/>
        </w:rPr>
        <w:t> </w:t>
      </w:r>
      <w:r>
        <w:rPr>
          <w:rFonts w:ascii="Arial" w:hAnsi="Arial" w:cs="Arial"/>
          <w:color w:val="222222"/>
          <w:sz w:val="21"/>
          <w:szCs w:val="21"/>
        </w:rPr>
        <w:t>and cars, buying</w:t>
      </w:r>
      <w:r>
        <w:rPr>
          <w:rStyle w:val="apple-converted-space"/>
          <w:rFonts w:ascii="Arial" w:hAnsi="Arial" w:cs="Arial"/>
          <w:color w:val="222222"/>
          <w:sz w:val="21"/>
          <w:szCs w:val="21"/>
        </w:rPr>
        <w:t> </w:t>
      </w:r>
      <w:hyperlink r:id="rId14" w:tooltip="Insurance" w:history="1">
        <w:r>
          <w:rPr>
            <w:rStyle w:val="Lienhypertexte"/>
            <w:rFonts w:ascii="Arial" w:hAnsi="Arial" w:cs="Arial"/>
            <w:color w:val="0B0080"/>
            <w:sz w:val="21"/>
            <w:szCs w:val="21"/>
          </w:rPr>
          <w:t>insurance</w:t>
        </w:r>
      </w:hyperlink>
      <w:r>
        <w:rPr>
          <w:rFonts w:ascii="Arial" w:hAnsi="Arial" w:cs="Arial"/>
          <w:color w:val="222222"/>
          <w:sz w:val="21"/>
          <w:szCs w:val="21"/>
        </w:rPr>
        <w:t>, e.g. health and property insurance, investing and saving for</w:t>
      </w:r>
      <w:r>
        <w:rPr>
          <w:rStyle w:val="apple-converted-space"/>
          <w:rFonts w:ascii="Arial" w:hAnsi="Arial" w:cs="Arial"/>
          <w:color w:val="222222"/>
          <w:sz w:val="21"/>
          <w:szCs w:val="21"/>
        </w:rPr>
        <w:t> </w:t>
      </w:r>
      <w:hyperlink r:id="rId15" w:tooltip="Retirement" w:history="1">
        <w:r>
          <w:rPr>
            <w:rStyle w:val="Lienhypertexte"/>
            <w:rFonts w:ascii="Arial" w:hAnsi="Arial" w:cs="Arial"/>
            <w:color w:val="0B0080"/>
            <w:sz w:val="21"/>
            <w:szCs w:val="21"/>
          </w:rPr>
          <w:t>retirement</w:t>
        </w:r>
      </w:hyperlink>
      <w:r>
        <w:rPr>
          <w:rFonts w:ascii="Arial" w:hAnsi="Arial" w:cs="Arial"/>
          <w:color w:val="222222"/>
          <w:sz w:val="21"/>
          <w:szCs w:val="21"/>
        </w:rPr>
        <w:t>.</w:t>
      </w:r>
    </w:p>
    <w:p w:rsidR="0058572F" w:rsidRDefault="0058572F" w:rsidP="0058572F">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Personal finance may also involve paying for a loan, or debt obligations. The six key areas of personal financial planning, as suggested by the Financial Planning Standards Board, are:</w:t>
      </w:r>
      <w:hyperlink r:id="rId16" w:anchor="cite_note-4" w:history="1">
        <w:r>
          <w:rPr>
            <w:rStyle w:val="Lienhypertexte"/>
            <w:rFonts w:ascii="Arial" w:hAnsi="Arial" w:cs="Arial"/>
            <w:color w:val="0B0080"/>
            <w:sz w:val="17"/>
            <w:szCs w:val="17"/>
            <w:vertAlign w:val="superscript"/>
          </w:rPr>
          <w:t>[4]</w:t>
        </w:r>
      </w:hyperlink>
    </w:p>
    <w:p w:rsidR="0058572F" w:rsidRDefault="0058572F" w:rsidP="0058572F">
      <w:pPr>
        <w:numPr>
          <w:ilvl w:val="0"/>
          <w:numId w:val="2"/>
        </w:numPr>
        <w:spacing w:before="100" w:beforeAutospacing="1" w:after="24"/>
        <w:ind w:left="768"/>
        <w:rPr>
          <w:rFonts w:ascii="Arial" w:hAnsi="Arial" w:cs="Arial"/>
          <w:color w:val="222222"/>
          <w:sz w:val="21"/>
          <w:szCs w:val="21"/>
        </w:rPr>
      </w:pPr>
      <w:r>
        <w:rPr>
          <w:rFonts w:ascii="Arial" w:hAnsi="Arial" w:cs="Arial"/>
          <w:b/>
          <w:bCs/>
          <w:color w:val="222222"/>
          <w:sz w:val="21"/>
          <w:szCs w:val="21"/>
        </w:rPr>
        <w:t>Financial position</w:t>
      </w:r>
      <w:r>
        <w:rPr>
          <w:rFonts w:ascii="Arial" w:hAnsi="Arial" w:cs="Arial"/>
          <w:color w:val="222222"/>
          <w:sz w:val="21"/>
          <w:szCs w:val="21"/>
        </w:rPr>
        <w:t xml:space="preserve">: is concerned with understanding the personal resources available by examining net worth and household cash flows. Net worth is a person's balance sheet, calculated by adding up all assets under that person's control, minus all liabilities of the household, at one point in time. Household cash flows total up all from the expected sources of income within a year, minus all expected expenses within the same year. </w:t>
      </w:r>
      <w:r>
        <w:rPr>
          <w:rFonts w:ascii="Arial" w:hAnsi="Arial" w:cs="Arial"/>
          <w:color w:val="222222"/>
          <w:sz w:val="21"/>
          <w:szCs w:val="21"/>
        </w:rPr>
        <w:lastRenderedPageBreak/>
        <w:t>From this analysis, the financial planner can determine to what degree and in what time the personal goals can be accomplished. Ratios are frequently used on the corporate level to measure a company's ability to cover its cost given the assets it has on hand. This can be paralleled to an individual level as well. Maintaining a ratio of 2:1 or greater is seen as healthy in this respect.</w:t>
      </w:r>
      <w:hyperlink r:id="rId17" w:anchor="cite_note-5" w:history="1">
        <w:r>
          <w:rPr>
            <w:rStyle w:val="Lienhypertexte"/>
            <w:rFonts w:ascii="Arial" w:hAnsi="Arial" w:cs="Arial"/>
            <w:color w:val="0B0080"/>
            <w:sz w:val="17"/>
            <w:szCs w:val="17"/>
            <w:vertAlign w:val="superscript"/>
          </w:rPr>
          <w:t>[5]</w:t>
        </w:r>
      </w:hyperlink>
      <w:r>
        <w:rPr>
          <w:rStyle w:val="apple-converted-space"/>
          <w:rFonts w:ascii="Arial" w:hAnsi="Arial" w:cs="Arial"/>
          <w:color w:val="222222"/>
          <w:sz w:val="21"/>
          <w:szCs w:val="21"/>
        </w:rPr>
        <w:t> </w:t>
      </w:r>
      <w:r>
        <w:rPr>
          <w:rFonts w:ascii="Arial" w:hAnsi="Arial" w:cs="Arial"/>
          <w:color w:val="222222"/>
          <w:sz w:val="21"/>
          <w:szCs w:val="21"/>
        </w:rPr>
        <w:t>This means that for every dollar of expenses there is an existing dollar value of assets such as cash to cover that cost.</w:t>
      </w:r>
    </w:p>
    <w:p w:rsidR="0058572F" w:rsidRDefault="0058572F" w:rsidP="0058572F">
      <w:pPr>
        <w:numPr>
          <w:ilvl w:val="0"/>
          <w:numId w:val="2"/>
        </w:numPr>
        <w:spacing w:before="100" w:beforeAutospacing="1" w:after="24"/>
        <w:ind w:left="768"/>
        <w:rPr>
          <w:rFonts w:ascii="Arial" w:hAnsi="Arial" w:cs="Arial"/>
          <w:color w:val="222222"/>
          <w:sz w:val="21"/>
          <w:szCs w:val="21"/>
        </w:rPr>
      </w:pPr>
      <w:hyperlink r:id="rId18" w:tooltip="Insurance" w:history="1">
        <w:r>
          <w:rPr>
            <w:rStyle w:val="Lienhypertexte"/>
            <w:rFonts w:ascii="Arial" w:hAnsi="Arial" w:cs="Arial"/>
            <w:b/>
            <w:bCs/>
            <w:color w:val="0B0080"/>
            <w:sz w:val="21"/>
            <w:szCs w:val="21"/>
          </w:rPr>
          <w:t>Adequate protection</w:t>
        </w:r>
      </w:hyperlink>
      <w:r>
        <w:rPr>
          <w:rFonts w:ascii="Arial" w:hAnsi="Arial" w:cs="Arial"/>
          <w:color w:val="222222"/>
          <w:sz w:val="21"/>
          <w:szCs w:val="21"/>
        </w:rPr>
        <w:t>: the analysis of how to protect a household from unforeseen risks. These risks can be divided into the following: liability, property, death, disability, health and long term care. Some of these risks may be self-insurable, while most will require the purchase of an insurance contract. Determining how much insurance to get, at the most cost-effective terms requires knowledge of the market for personal insurance. Business owners, professionals, athletes, and entertainers require specialized insurance professionals to adequately protect themselves. Since insurance also enjoys some tax benefits, utilizing insurance investment products may be a critical piece of the overall investment planning.</w:t>
      </w:r>
    </w:p>
    <w:p w:rsidR="0058572F" w:rsidRDefault="0058572F" w:rsidP="0058572F">
      <w:pPr>
        <w:numPr>
          <w:ilvl w:val="0"/>
          <w:numId w:val="2"/>
        </w:numPr>
        <w:spacing w:before="100" w:beforeAutospacing="1" w:after="24"/>
        <w:ind w:left="768"/>
        <w:rPr>
          <w:rFonts w:ascii="Arial" w:hAnsi="Arial" w:cs="Arial"/>
          <w:color w:val="222222"/>
          <w:sz w:val="21"/>
          <w:szCs w:val="21"/>
        </w:rPr>
      </w:pPr>
      <w:hyperlink r:id="rId19" w:tooltip="Tax planning" w:history="1">
        <w:r>
          <w:rPr>
            <w:rStyle w:val="Lienhypertexte"/>
            <w:rFonts w:ascii="Arial" w:hAnsi="Arial" w:cs="Arial"/>
            <w:b/>
            <w:bCs/>
            <w:color w:val="0B0080"/>
            <w:sz w:val="21"/>
            <w:szCs w:val="21"/>
          </w:rPr>
          <w:t>Tax planning</w:t>
        </w:r>
      </w:hyperlink>
      <w:r>
        <w:rPr>
          <w:rFonts w:ascii="Arial" w:hAnsi="Arial" w:cs="Arial"/>
          <w:color w:val="222222"/>
          <w:sz w:val="21"/>
          <w:szCs w:val="21"/>
        </w:rPr>
        <w:t>: typically the income tax is the single largest expense in a household. Managing taxes is not a question of if you will pay taxes, but when and how much. Governments give many incentives in the form of tax deductions and credits, which can be used to reduce the lifetime tax burden. Most modern governments use a progressive tax. Typically, as one's income grows, a higher</w:t>
      </w:r>
      <w:r>
        <w:rPr>
          <w:rStyle w:val="apple-converted-space"/>
          <w:rFonts w:ascii="Arial" w:hAnsi="Arial" w:cs="Arial"/>
          <w:color w:val="222222"/>
          <w:sz w:val="21"/>
          <w:szCs w:val="21"/>
        </w:rPr>
        <w:t> </w:t>
      </w:r>
      <w:hyperlink r:id="rId20" w:anchor="Marginal" w:tooltip="Tax rate" w:history="1">
        <w:r>
          <w:rPr>
            <w:rStyle w:val="Lienhypertexte"/>
            <w:rFonts w:ascii="Arial" w:hAnsi="Arial" w:cs="Arial"/>
            <w:color w:val="0B0080"/>
            <w:sz w:val="21"/>
            <w:szCs w:val="21"/>
          </w:rPr>
          <w:t>marginal rate of tax</w:t>
        </w:r>
      </w:hyperlink>
      <w:r>
        <w:rPr>
          <w:rStyle w:val="apple-converted-space"/>
          <w:rFonts w:ascii="Arial" w:hAnsi="Arial" w:cs="Arial"/>
          <w:color w:val="222222"/>
          <w:sz w:val="21"/>
          <w:szCs w:val="21"/>
        </w:rPr>
        <w:t> </w:t>
      </w:r>
      <w:r>
        <w:rPr>
          <w:rFonts w:ascii="Arial" w:hAnsi="Arial" w:cs="Arial"/>
          <w:color w:val="222222"/>
          <w:sz w:val="21"/>
          <w:szCs w:val="21"/>
        </w:rPr>
        <w:t>must be paid. Understanding how to take advantage of the myriad tax breaks when planning one's personal finances can make a significant impact, which can save you money in the long term.</w:t>
      </w:r>
    </w:p>
    <w:p w:rsidR="0058572F" w:rsidRDefault="0058572F" w:rsidP="0058572F">
      <w:pPr>
        <w:numPr>
          <w:ilvl w:val="0"/>
          <w:numId w:val="2"/>
        </w:numPr>
        <w:spacing w:before="100" w:beforeAutospacing="1" w:after="24"/>
        <w:ind w:left="768"/>
        <w:rPr>
          <w:rFonts w:ascii="Arial" w:hAnsi="Arial" w:cs="Arial"/>
          <w:color w:val="222222"/>
          <w:sz w:val="21"/>
          <w:szCs w:val="21"/>
        </w:rPr>
      </w:pPr>
      <w:r>
        <w:rPr>
          <w:rFonts w:ascii="Arial" w:hAnsi="Arial" w:cs="Arial"/>
          <w:b/>
          <w:bCs/>
          <w:color w:val="222222"/>
          <w:sz w:val="21"/>
          <w:szCs w:val="21"/>
        </w:rPr>
        <w:t>Investment and accumulation goals</w:t>
      </w:r>
      <w:r>
        <w:rPr>
          <w:rFonts w:ascii="Arial" w:hAnsi="Arial" w:cs="Arial"/>
          <w:color w:val="222222"/>
          <w:sz w:val="21"/>
          <w:szCs w:val="21"/>
        </w:rPr>
        <w:t>: planning how to accumulate enough money – for large purchases and life events – is what most people consider to be financial planning. Major reasons to accumulate assets include purchasing a house or car, starting a business, paying for education expenses, and saving for retirement. Achieving these goals requires projecting what they will cost, and when you need to withdraw funds that will be necessary to be able to achieve these goals. A major risk to the household in achieving their accumulation goal is the rate of price increases over time, or</w:t>
      </w:r>
      <w:r>
        <w:rPr>
          <w:rStyle w:val="apple-converted-space"/>
          <w:rFonts w:ascii="Arial" w:hAnsi="Arial" w:cs="Arial"/>
          <w:color w:val="222222"/>
          <w:sz w:val="21"/>
          <w:szCs w:val="21"/>
        </w:rPr>
        <w:t> </w:t>
      </w:r>
      <w:hyperlink r:id="rId21" w:tooltip="Inflation" w:history="1">
        <w:r>
          <w:rPr>
            <w:rStyle w:val="Lienhypertexte"/>
            <w:rFonts w:ascii="Arial" w:hAnsi="Arial" w:cs="Arial"/>
            <w:color w:val="0B0080"/>
            <w:sz w:val="21"/>
            <w:szCs w:val="21"/>
          </w:rPr>
          <w:t>inflation</w:t>
        </w:r>
      </w:hyperlink>
      <w:r>
        <w:rPr>
          <w:rFonts w:ascii="Arial" w:hAnsi="Arial" w:cs="Arial"/>
          <w:color w:val="222222"/>
          <w:sz w:val="21"/>
          <w:szCs w:val="21"/>
        </w:rPr>
        <w:t>. Using net present value calculators, the financial planner will suggest a combination of asset earmarking and regular savings to be invested in a variety of investments. In order to overcome the rate of inflation, the investment portfolio has to get a higher rate of return, which typically will subject the portfolio to a number of risks. Managing these portfolio risks is most often accomplished using asset allocation, which seeks to diversify investment risk and opportunity. This asset allocation will prescribe a percentage allocation to be invested in stocks (either preferred stock or common stock), bonds (for example mutual bonds or government bonds, or corporate bonds), cash and alternative investments. The allocation should also take into consideration the personal risk profile of every investor, since risk attitudes vary from person to person.</w:t>
      </w:r>
    </w:p>
    <w:p w:rsidR="0058572F" w:rsidRDefault="0058572F" w:rsidP="0058572F">
      <w:pPr>
        <w:numPr>
          <w:ilvl w:val="0"/>
          <w:numId w:val="2"/>
        </w:numPr>
        <w:spacing w:before="100" w:beforeAutospacing="1" w:after="24"/>
        <w:ind w:left="768"/>
        <w:rPr>
          <w:rFonts w:ascii="Arial" w:hAnsi="Arial" w:cs="Arial"/>
          <w:color w:val="222222"/>
          <w:sz w:val="21"/>
          <w:szCs w:val="21"/>
        </w:rPr>
      </w:pPr>
      <w:r>
        <w:rPr>
          <w:rFonts w:ascii="Arial" w:hAnsi="Arial" w:cs="Arial"/>
          <w:b/>
          <w:bCs/>
          <w:color w:val="222222"/>
          <w:sz w:val="21"/>
          <w:szCs w:val="21"/>
        </w:rPr>
        <w:t>Retirement planning</w:t>
      </w:r>
      <w:r>
        <w:rPr>
          <w:rStyle w:val="apple-converted-space"/>
          <w:rFonts w:ascii="Arial" w:hAnsi="Arial" w:cs="Arial"/>
          <w:color w:val="222222"/>
          <w:sz w:val="21"/>
          <w:szCs w:val="21"/>
        </w:rPr>
        <w:t> </w:t>
      </w:r>
      <w:r>
        <w:rPr>
          <w:rFonts w:ascii="Arial" w:hAnsi="Arial" w:cs="Arial"/>
          <w:color w:val="222222"/>
          <w:sz w:val="21"/>
          <w:szCs w:val="21"/>
        </w:rPr>
        <w:t>is the process of understanding how much it costs to live at retirement, and coming up with a plan to distribute assets to meet any income shortfall. Methods for retirement plans include taking advantage of government allowed structures to manage tax liability including: individual (</w:t>
      </w:r>
      <w:hyperlink r:id="rId22" w:tooltip="Individual retirement account" w:history="1">
        <w:r>
          <w:rPr>
            <w:rStyle w:val="Lienhypertexte"/>
            <w:rFonts w:ascii="Arial" w:hAnsi="Arial" w:cs="Arial"/>
            <w:color w:val="0B0080"/>
            <w:sz w:val="21"/>
            <w:szCs w:val="21"/>
          </w:rPr>
          <w:t>IRA</w:t>
        </w:r>
      </w:hyperlink>
      <w:r>
        <w:rPr>
          <w:rFonts w:ascii="Arial" w:hAnsi="Arial" w:cs="Arial"/>
          <w:color w:val="222222"/>
          <w:sz w:val="21"/>
          <w:szCs w:val="21"/>
        </w:rPr>
        <w:t>) structures, or employer sponsored</w:t>
      </w:r>
      <w:r>
        <w:rPr>
          <w:rStyle w:val="apple-converted-space"/>
          <w:rFonts w:ascii="Arial" w:hAnsi="Arial" w:cs="Arial"/>
          <w:color w:val="222222"/>
          <w:sz w:val="21"/>
          <w:szCs w:val="21"/>
        </w:rPr>
        <w:t> </w:t>
      </w:r>
      <w:hyperlink r:id="rId23" w:tooltip="Retirement plans" w:history="1">
        <w:r>
          <w:rPr>
            <w:rStyle w:val="Lienhypertexte"/>
            <w:rFonts w:ascii="Arial" w:hAnsi="Arial" w:cs="Arial"/>
            <w:color w:val="0B0080"/>
            <w:sz w:val="21"/>
            <w:szCs w:val="21"/>
          </w:rPr>
          <w:t>retirement plans</w:t>
        </w:r>
      </w:hyperlink>
      <w:r>
        <w:rPr>
          <w:rFonts w:ascii="Arial" w:hAnsi="Arial" w:cs="Arial"/>
          <w:color w:val="222222"/>
          <w:sz w:val="21"/>
          <w:szCs w:val="21"/>
        </w:rPr>
        <w:t>, annuities and life insurance products. Oftentimes this field of personal finance is overlooked as many individuals see this being something in their distant future. However, the sooner you start</w:t>
      </w:r>
      <w:r>
        <w:rPr>
          <w:rStyle w:val="apple-converted-space"/>
          <w:rFonts w:ascii="Arial" w:hAnsi="Arial" w:cs="Arial"/>
          <w:color w:val="222222"/>
          <w:sz w:val="21"/>
          <w:szCs w:val="21"/>
        </w:rPr>
        <w:t> </w:t>
      </w:r>
      <w:hyperlink r:id="rId24" w:tooltip="Investing" w:history="1">
        <w:r>
          <w:rPr>
            <w:rStyle w:val="Lienhypertexte"/>
            <w:rFonts w:ascii="Arial" w:hAnsi="Arial" w:cs="Arial"/>
            <w:color w:val="0B0080"/>
            <w:sz w:val="21"/>
            <w:szCs w:val="21"/>
          </w:rPr>
          <w:t>investing</w:t>
        </w:r>
      </w:hyperlink>
      <w:r>
        <w:rPr>
          <w:rStyle w:val="apple-converted-space"/>
          <w:rFonts w:ascii="Arial" w:hAnsi="Arial" w:cs="Arial"/>
          <w:color w:val="222222"/>
          <w:sz w:val="21"/>
          <w:szCs w:val="21"/>
        </w:rPr>
        <w:t> </w:t>
      </w:r>
      <w:r>
        <w:rPr>
          <w:rFonts w:ascii="Arial" w:hAnsi="Arial" w:cs="Arial"/>
          <w:color w:val="222222"/>
          <w:sz w:val="21"/>
          <w:szCs w:val="21"/>
        </w:rPr>
        <w:t>the greater likelihood you have for actually being prepared. Accrual compounding from the prime "work years" can create a significant impact down the road as these earlier donation years will have more time to compound on themselves giving the individual more wiggle room in their future for unexpected unforeseen events. With every additional year of missed contributions, this creates more tension on the individual to contribute a greater sum leading up to the maturity date of what they may have always thought would be their</w:t>
      </w:r>
      <w:r>
        <w:rPr>
          <w:rStyle w:val="apple-converted-space"/>
          <w:rFonts w:ascii="Arial" w:hAnsi="Arial" w:cs="Arial"/>
          <w:color w:val="222222"/>
          <w:sz w:val="21"/>
          <w:szCs w:val="21"/>
        </w:rPr>
        <w:t> </w:t>
      </w:r>
      <w:hyperlink r:id="rId25" w:tooltip="Retirement" w:history="1">
        <w:r>
          <w:rPr>
            <w:rStyle w:val="Lienhypertexte"/>
            <w:rFonts w:ascii="Arial" w:hAnsi="Arial" w:cs="Arial"/>
            <w:color w:val="0B0080"/>
            <w:sz w:val="21"/>
            <w:szCs w:val="21"/>
          </w:rPr>
          <w:t>retirement</w:t>
        </w:r>
      </w:hyperlink>
      <w:r>
        <w:rPr>
          <w:rStyle w:val="apple-converted-space"/>
          <w:rFonts w:ascii="Arial" w:hAnsi="Arial" w:cs="Arial"/>
          <w:color w:val="222222"/>
          <w:sz w:val="21"/>
          <w:szCs w:val="21"/>
        </w:rPr>
        <w:t> </w:t>
      </w:r>
      <w:r>
        <w:rPr>
          <w:rFonts w:ascii="Arial" w:hAnsi="Arial" w:cs="Arial"/>
          <w:color w:val="222222"/>
          <w:sz w:val="21"/>
          <w:szCs w:val="21"/>
        </w:rPr>
        <w:t>age. In the same respect an individual who is able to attain a healthy amount of wealth at a young age may then be able to invest it into a</w:t>
      </w:r>
      <w:r>
        <w:rPr>
          <w:rStyle w:val="apple-converted-space"/>
          <w:rFonts w:ascii="Arial" w:hAnsi="Arial" w:cs="Arial"/>
          <w:color w:val="222222"/>
          <w:sz w:val="21"/>
          <w:szCs w:val="21"/>
        </w:rPr>
        <w:t> </w:t>
      </w:r>
      <w:hyperlink r:id="rId26" w:tooltip="Mutual fund" w:history="1">
        <w:r>
          <w:rPr>
            <w:rStyle w:val="Lienhypertexte"/>
            <w:rFonts w:ascii="Arial" w:hAnsi="Arial" w:cs="Arial"/>
            <w:color w:val="0B0080"/>
            <w:sz w:val="21"/>
            <w:szCs w:val="21"/>
          </w:rPr>
          <w:t>mutual fund</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27" w:tooltip="Stock" w:history="1">
        <w:r>
          <w:rPr>
            <w:rStyle w:val="Lienhypertexte"/>
            <w:rFonts w:ascii="Arial" w:hAnsi="Arial" w:cs="Arial"/>
            <w:color w:val="0B0080"/>
            <w:sz w:val="21"/>
            <w:szCs w:val="21"/>
          </w:rPr>
          <w:t>stocks</w:t>
        </w:r>
      </w:hyperlink>
      <w:r>
        <w:rPr>
          <w:rStyle w:val="apple-converted-space"/>
          <w:rFonts w:ascii="Arial" w:hAnsi="Arial" w:cs="Arial"/>
          <w:color w:val="222222"/>
          <w:sz w:val="21"/>
          <w:szCs w:val="21"/>
        </w:rPr>
        <w:t> </w:t>
      </w:r>
      <w:r>
        <w:rPr>
          <w:rFonts w:ascii="Arial" w:hAnsi="Arial" w:cs="Arial"/>
          <w:color w:val="222222"/>
          <w:sz w:val="21"/>
          <w:szCs w:val="21"/>
        </w:rPr>
        <w:t>accordingly depending on how much they believe they will need to maintain their</w:t>
      </w:r>
      <w:r>
        <w:rPr>
          <w:rStyle w:val="apple-converted-space"/>
          <w:rFonts w:ascii="Arial" w:hAnsi="Arial" w:cs="Arial"/>
          <w:color w:val="222222"/>
          <w:sz w:val="21"/>
          <w:szCs w:val="21"/>
        </w:rPr>
        <w:t> </w:t>
      </w:r>
      <w:hyperlink r:id="rId28" w:tooltip="Standard of living" w:history="1">
        <w:r>
          <w:rPr>
            <w:rStyle w:val="Lienhypertexte"/>
            <w:rFonts w:ascii="Arial" w:hAnsi="Arial" w:cs="Arial"/>
            <w:color w:val="0B0080"/>
            <w:sz w:val="21"/>
            <w:szCs w:val="21"/>
          </w:rPr>
          <w:t>standard of living</w:t>
        </w:r>
      </w:hyperlink>
      <w:r>
        <w:rPr>
          <w:rStyle w:val="apple-converted-space"/>
          <w:rFonts w:ascii="Arial" w:hAnsi="Arial" w:cs="Arial"/>
          <w:color w:val="222222"/>
          <w:sz w:val="21"/>
          <w:szCs w:val="21"/>
        </w:rPr>
        <w:t> </w:t>
      </w:r>
      <w:r>
        <w:rPr>
          <w:rFonts w:ascii="Arial" w:hAnsi="Arial" w:cs="Arial"/>
          <w:color w:val="222222"/>
          <w:sz w:val="21"/>
          <w:szCs w:val="21"/>
        </w:rPr>
        <w:t xml:space="preserve">once retirement arrives. Allocating a portfolio according to your goals is crucial and also needs to be </w:t>
      </w:r>
      <w:r>
        <w:rPr>
          <w:rFonts w:ascii="Arial" w:hAnsi="Arial" w:cs="Arial"/>
          <w:color w:val="222222"/>
          <w:sz w:val="21"/>
          <w:szCs w:val="21"/>
        </w:rPr>
        <w:lastRenderedPageBreak/>
        <w:t>continuously adjusted as your personal needs and desires change. Oftentimes, individuals will allocate 80% of their earnings into stocks while there is still room for error (more time away from retirement) with only 20% being distributed to mutual funds as these are considered more 'steady' streams of investment. As an individual begins to get closer to their retirement, oftentimes they will gradually adjust these allocations to have a greater percentage in their mutual fund section to solidify their gains and only leave 20% to still generate higher returns. This allocation is commonly recommended by financial planners as it allows the individual to build capital in their work years and keep their gains safe in the long run, leaving less room for volatility.</w:t>
      </w:r>
      <w:hyperlink r:id="rId29" w:anchor="cite_note-6" w:history="1">
        <w:r>
          <w:rPr>
            <w:rStyle w:val="Lienhypertexte"/>
            <w:rFonts w:ascii="Arial" w:hAnsi="Arial" w:cs="Arial"/>
            <w:color w:val="0B0080"/>
            <w:sz w:val="17"/>
            <w:szCs w:val="17"/>
            <w:vertAlign w:val="superscript"/>
          </w:rPr>
          <w:t>[6]</w:t>
        </w:r>
      </w:hyperlink>
    </w:p>
    <w:p w:rsidR="0058572F" w:rsidRDefault="0058572F" w:rsidP="0058572F">
      <w:pPr>
        <w:numPr>
          <w:ilvl w:val="0"/>
          <w:numId w:val="2"/>
        </w:numPr>
        <w:spacing w:before="100" w:beforeAutospacing="1" w:after="24"/>
        <w:ind w:left="768"/>
        <w:rPr>
          <w:rFonts w:ascii="Arial" w:hAnsi="Arial" w:cs="Arial"/>
          <w:color w:val="222222"/>
          <w:sz w:val="21"/>
          <w:szCs w:val="21"/>
        </w:rPr>
      </w:pPr>
      <w:hyperlink r:id="rId30" w:tooltip="Estate planning" w:history="1">
        <w:r>
          <w:rPr>
            <w:rStyle w:val="Lienhypertexte"/>
            <w:rFonts w:ascii="Arial" w:hAnsi="Arial" w:cs="Arial"/>
            <w:b/>
            <w:bCs/>
            <w:color w:val="0B0080"/>
            <w:sz w:val="21"/>
            <w:szCs w:val="21"/>
          </w:rPr>
          <w:t>Estate planning</w:t>
        </w:r>
      </w:hyperlink>
      <w:r>
        <w:rPr>
          <w:rStyle w:val="apple-converted-space"/>
          <w:rFonts w:ascii="Arial" w:hAnsi="Arial" w:cs="Arial"/>
          <w:color w:val="222222"/>
          <w:sz w:val="21"/>
          <w:szCs w:val="21"/>
        </w:rPr>
        <w:t> </w:t>
      </w:r>
      <w:r>
        <w:rPr>
          <w:rFonts w:ascii="Arial" w:hAnsi="Arial" w:cs="Arial"/>
          <w:color w:val="222222"/>
          <w:sz w:val="21"/>
          <w:szCs w:val="21"/>
        </w:rPr>
        <w:t>involves planning for the disposition of one's assets after death. Typically, there is a tax due to the state or federal government at one's death. Avoiding these taxes means that more of one's assets will be distributed to one's heirs. One can leave one's assets to family, friends or charitable groups.</w:t>
      </w:r>
    </w:p>
    <w:p w:rsidR="0058572F" w:rsidRDefault="0058572F" w:rsidP="0058572F">
      <w:pPr>
        <w:rPr>
          <w:rFonts w:ascii="Times New Roman" w:hAnsi="Times New Roman" w:cs="Times New Roman"/>
        </w:rPr>
      </w:pPr>
    </w:p>
    <w:p w:rsidR="00D70A0F" w:rsidRDefault="00D70A0F" w:rsidP="008349FE">
      <w:bookmarkStart w:id="0" w:name="_GoBack"/>
      <w:bookmarkEnd w:id="0"/>
    </w:p>
    <w:sectPr w:rsidR="00D70A0F" w:rsidSect="003476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D2738"/>
    <w:multiLevelType w:val="multilevel"/>
    <w:tmpl w:val="9CAC0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D11A6"/>
    <w:multiLevelType w:val="multilevel"/>
    <w:tmpl w:val="941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BA"/>
    <w:rsid w:val="003476BA"/>
    <w:rsid w:val="0058572F"/>
    <w:rsid w:val="008349FE"/>
    <w:rsid w:val="00A3407D"/>
    <w:rsid w:val="00D70A0F"/>
    <w:rsid w:val="00F00E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2461"/>
  <w15:chartTrackingRefBased/>
  <w15:docId w15:val="{6C2A6921-1F19-1C4F-B546-306353BF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3407D"/>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58572F"/>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07D"/>
    <w:rPr>
      <w:rFonts w:ascii="Times New Roman" w:eastAsia="Times New Roman" w:hAnsi="Times New Roman" w:cs="Times New Roman"/>
      <w:b/>
      <w:bCs/>
      <w:kern w:val="36"/>
      <w:sz w:val="48"/>
      <w:szCs w:val="48"/>
      <w:lang w:eastAsia="fr-FR"/>
    </w:rPr>
  </w:style>
  <w:style w:type="paragraph" w:customStyle="1" w:styleId="fh">
    <w:name w:val="fh"/>
    <w:basedOn w:val="Normal"/>
    <w:rsid w:val="00A3407D"/>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A3407D"/>
  </w:style>
  <w:style w:type="character" w:styleId="Lienhypertexte">
    <w:name w:val="Hyperlink"/>
    <w:basedOn w:val="Policepardfaut"/>
    <w:uiPriority w:val="99"/>
    <w:semiHidden/>
    <w:unhideWhenUsed/>
    <w:rsid w:val="00A3407D"/>
    <w:rPr>
      <w:color w:val="0000FF"/>
      <w:u w:val="single"/>
    </w:rPr>
  </w:style>
  <w:style w:type="character" w:styleId="lev">
    <w:name w:val="Strong"/>
    <w:basedOn w:val="Policepardfaut"/>
    <w:uiPriority w:val="22"/>
    <w:qFormat/>
    <w:rsid w:val="00A3407D"/>
    <w:rPr>
      <w:b/>
      <w:bCs/>
    </w:rPr>
  </w:style>
  <w:style w:type="character" w:styleId="Accentuation">
    <w:name w:val="Emphasis"/>
    <w:basedOn w:val="Policepardfaut"/>
    <w:uiPriority w:val="20"/>
    <w:qFormat/>
    <w:rsid w:val="00A3407D"/>
    <w:rPr>
      <w:i/>
      <w:iCs/>
    </w:rPr>
  </w:style>
  <w:style w:type="character" w:customStyle="1" w:styleId="Titre3Car">
    <w:name w:val="Titre 3 Car"/>
    <w:basedOn w:val="Policepardfaut"/>
    <w:link w:val="Titre3"/>
    <w:uiPriority w:val="9"/>
    <w:semiHidden/>
    <w:rsid w:val="0058572F"/>
    <w:rPr>
      <w:rFonts w:asciiTheme="majorHAnsi" w:eastAsiaTheme="majorEastAsia" w:hAnsiTheme="majorHAnsi" w:cstheme="majorBidi"/>
      <w:color w:val="1F3763" w:themeColor="accent1" w:themeShade="7F"/>
    </w:rPr>
  </w:style>
  <w:style w:type="character" w:customStyle="1" w:styleId="mw-headline">
    <w:name w:val="mw-headline"/>
    <w:basedOn w:val="Policepardfaut"/>
    <w:rsid w:val="0058572F"/>
  </w:style>
  <w:style w:type="character" w:customStyle="1" w:styleId="mw-editsection">
    <w:name w:val="mw-editsection"/>
    <w:basedOn w:val="Policepardfaut"/>
    <w:rsid w:val="0058572F"/>
  </w:style>
  <w:style w:type="character" w:customStyle="1" w:styleId="mw-editsection-bracket">
    <w:name w:val="mw-editsection-bracket"/>
    <w:basedOn w:val="Policepardfaut"/>
    <w:rsid w:val="0058572F"/>
  </w:style>
  <w:style w:type="paragraph" w:styleId="NormalWeb">
    <w:name w:val="Normal (Web)"/>
    <w:basedOn w:val="Normal"/>
    <w:uiPriority w:val="99"/>
    <w:semiHidden/>
    <w:unhideWhenUsed/>
    <w:rsid w:val="0058572F"/>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68536">
      <w:bodyDiv w:val="1"/>
      <w:marLeft w:val="0"/>
      <w:marRight w:val="0"/>
      <w:marTop w:val="0"/>
      <w:marBottom w:val="0"/>
      <w:divBdr>
        <w:top w:val="none" w:sz="0" w:space="0" w:color="auto"/>
        <w:left w:val="none" w:sz="0" w:space="0" w:color="auto"/>
        <w:bottom w:val="none" w:sz="0" w:space="0" w:color="auto"/>
        <w:right w:val="none" w:sz="0" w:space="0" w:color="auto"/>
      </w:divBdr>
    </w:div>
    <w:div w:id="1023096074">
      <w:bodyDiv w:val="1"/>
      <w:marLeft w:val="0"/>
      <w:marRight w:val="0"/>
      <w:marTop w:val="0"/>
      <w:marBottom w:val="0"/>
      <w:divBdr>
        <w:top w:val="none" w:sz="0" w:space="0" w:color="auto"/>
        <w:left w:val="none" w:sz="0" w:space="0" w:color="auto"/>
        <w:bottom w:val="none" w:sz="0" w:space="0" w:color="auto"/>
        <w:right w:val="none" w:sz="0" w:space="0" w:color="auto"/>
      </w:divBdr>
      <w:divsChild>
        <w:div w:id="16347078">
          <w:marLeft w:val="0"/>
          <w:marRight w:val="0"/>
          <w:marTop w:val="0"/>
          <w:marBottom w:val="0"/>
          <w:divBdr>
            <w:top w:val="none" w:sz="0" w:space="0" w:color="auto"/>
            <w:left w:val="none" w:sz="0" w:space="0" w:color="auto"/>
            <w:bottom w:val="none" w:sz="0" w:space="0" w:color="auto"/>
            <w:right w:val="none" w:sz="0" w:space="0" w:color="auto"/>
          </w:divBdr>
          <w:divsChild>
            <w:div w:id="669604350">
              <w:marLeft w:val="960"/>
              <w:marRight w:val="960"/>
              <w:marTop w:val="0"/>
              <w:marBottom w:val="0"/>
              <w:divBdr>
                <w:top w:val="none" w:sz="0" w:space="0" w:color="auto"/>
                <w:left w:val="none" w:sz="0" w:space="0" w:color="auto"/>
                <w:bottom w:val="none" w:sz="0" w:space="0" w:color="auto"/>
                <w:right w:val="none" w:sz="0" w:space="0" w:color="auto"/>
              </w:divBdr>
            </w:div>
          </w:divsChild>
        </w:div>
        <w:div w:id="1810903005">
          <w:marLeft w:val="0"/>
          <w:marRight w:val="0"/>
          <w:marTop w:val="0"/>
          <w:marBottom w:val="0"/>
          <w:divBdr>
            <w:top w:val="none" w:sz="0" w:space="0" w:color="auto"/>
            <w:left w:val="none" w:sz="0" w:space="0" w:color="auto"/>
            <w:bottom w:val="none" w:sz="0" w:space="0" w:color="auto"/>
            <w:right w:val="none" w:sz="0" w:space="0" w:color="auto"/>
          </w:divBdr>
          <w:divsChild>
            <w:div w:id="702169138">
              <w:marLeft w:val="960"/>
              <w:marRight w:val="960"/>
              <w:marTop w:val="0"/>
              <w:marBottom w:val="0"/>
              <w:divBdr>
                <w:top w:val="none" w:sz="0" w:space="0" w:color="auto"/>
                <w:left w:val="none" w:sz="0" w:space="0" w:color="auto"/>
                <w:bottom w:val="none" w:sz="0" w:space="0" w:color="auto"/>
                <w:right w:val="none" w:sz="0" w:space="0" w:color="auto"/>
              </w:divBdr>
              <w:divsChild>
                <w:div w:id="616525496">
                  <w:blockQuote w:val="1"/>
                  <w:marLeft w:val="-30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sChild>
                    <w:div w:id="1885290674">
                      <w:marLeft w:val="0"/>
                      <w:marRight w:val="0"/>
                      <w:marTop w:val="0"/>
                      <w:marBottom w:val="0"/>
                      <w:divBdr>
                        <w:top w:val="none" w:sz="0" w:space="0" w:color="auto"/>
                        <w:left w:val="none" w:sz="0" w:space="0" w:color="auto"/>
                        <w:bottom w:val="none" w:sz="0" w:space="0" w:color="auto"/>
                        <w:right w:val="none" w:sz="0" w:space="0" w:color="auto"/>
                      </w:divBdr>
                      <w:divsChild>
                        <w:div w:id="178590571">
                          <w:marLeft w:val="0"/>
                          <w:marRight w:val="0"/>
                          <w:marTop w:val="100"/>
                          <w:marBottom w:val="100"/>
                          <w:divBdr>
                            <w:top w:val="none" w:sz="0" w:space="0" w:color="auto"/>
                            <w:left w:val="none" w:sz="0" w:space="0" w:color="auto"/>
                            <w:bottom w:val="none" w:sz="0" w:space="0" w:color="auto"/>
                            <w:right w:val="none" w:sz="0" w:space="0" w:color="auto"/>
                          </w:divBdr>
                          <w:divsChild>
                            <w:div w:id="698432049">
                              <w:marLeft w:val="0"/>
                              <w:marRight w:val="0"/>
                              <w:marTop w:val="0"/>
                              <w:marBottom w:val="0"/>
                              <w:divBdr>
                                <w:top w:val="none" w:sz="0" w:space="0" w:color="auto"/>
                                <w:left w:val="none" w:sz="0" w:space="0" w:color="auto"/>
                                <w:bottom w:val="none" w:sz="0" w:space="0" w:color="auto"/>
                                <w:right w:val="none" w:sz="0" w:space="0" w:color="auto"/>
                              </w:divBdr>
                              <w:divsChild>
                                <w:div w:id="915867106">
                                  <w:marLeft w:val="0"/>
                                  <w:marRight w:val="0"/>
                                  <w:marTop w:val="0"/>
                                  <w:marBottom w:val="0"/>
                                  <w:divBdr>
                                    <w:top w:val="none" w:sz="0" w:space="0" w:color="auto"/>
                                    <w:left w:val="none" w:sz="0" w:space="0" w:color="auto"/>
                                    <w:bottom w:val="none" w:sz="0" w:space="0" w:color="auto"/>
                                    <w:right w:val="none" w:sz="0" w:space="0" w:color="auto"/>
                                  </w:divBdr>
                                </w:div>
                                <w:div w:id="698361950">
                                  <w:marLeft w:val="0"/>
                                  <w:marRight w:val="0"/>
                                  <w:marTop w:val="0"/>
                                  <w:marBottom w:val="0"/>
                                  <w:divBdr>
                                    <w:top w:val="none" w:sz="0" w:space="0" w:color="auto"/>
                                    <w:left w:val="none" w:sz="0" w:space="0" w:color="auto"/>
                                    <w:bottom w:val="none" w:sz="0" w:space="0" w:color="auto"/>
                                    <w:right w:val="none" w:sz="0" w:space="0" w:color="auto"/>
                                  </w:divBdr>
                                  <w:divsChild>
                                    <w:div w:id="1699550461">
                                      <w:marLeft w:val="0"/>
                                      <w:marRight w:val="0"/>
                                      <w:marTop w:val="0"/>
                                      <w:marBottom w:val="0"/>
                                      <w:divBdr>
                                        <w:top w:val="none" w:sz="0" w:space="0" w:color="auto"/>
                                        <w:left w:val="none" w:sz="0" w:space="0" w:color="auto"/>
                                        <w:bottom w:val="none" w:sz="0" w:space="0" w:color="auto"/>
                                        <w:right w:val="none" w:sz="0" w:space="0" w:color="auto"/>
                                      </w:divBdr>
                                      <w:divsChild>
                                        <w:div w:id="268003764">
                                          <w:marLeft w:val="0"/>
                                          <w:marRight w:val="0"/>
                                          <w:marTop w:val="100"/>
                                          <w:marBottom w:val="100"/>
                                          <w:divBdr>
                                            <w:top w:val="none" w:sz="0" w:space="0" w:color="auto"/>
                                            <w:left w:val="none" w:sz="0" w:space="0" w:color="auto"/>
                                            <w:bottom w:val="none" w:sz="0" w:space="0" w:color="auto"/>
                                            <w:right w:val="none" w:sz="0" w:space="0" w:color="auto"/>
                                          </w:divBdr>
                                          <w:divsChild>
                                            <w:div w:id="1338656823">
                                              <w:marLeft w:val="0"/>
                                              <w:marRight w:val="0"/>
                                              <w:marTop w:val="0"/>
                                              <w:marBottom w:val="0"/>
                                              <w:divBdr>
                                                <w:top w:val="none" w:sz="0" w:space="0" w:color="auto"/>
                                                <w:left w:val="none" w:sz="0" w:space="0" w:color="auto"/>
                                                <w:bottom w:val="none" w:sz="0" w:space="0" w:color="auto"/>
                                                <w:right w:val="none" w:sz="0" w:space="0" w:color="auto"/>
                                              </w:divBdr>
                                              <w:divsChild>
                                                <w:div w:id="1016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331">
                                          <w:marLeft w:val="0"/>
                                          <w:marRight w:val="0"/>
                                          <w:marTop w:val="0"/>
                                          <w:marBottom w:val="0"/>
                                          <w:divBdr>
                                            <w:top w:val="none" w:sz="0" w:space="0" w:color="auto"/>
                                            <w:left w:val="none" w:sz="0" w:space="0" w:color="auto"/>
                                            <w:bottom w:val="none" w:sz="0" w:space="0" w:color="auto"/>
                                            <w:right w:val="none" w:sz="0" w:space="0" w:color="auto"/>
                                          </w:divBdr>
                                          <w:divsChild>
                                            <w:div w:id="999383546">
                                              <w:marLeft w:val="960"/>
                                              <w:marRight w:val="960"/>
                                              <w:marTop w:val="0"/>
                                              <w:marBottom w:val="0"/>
                                              <w:divBdr>
                                                <w:top w:val="none" w:sz="0" w:space="0" w:color="auto"/>
                                                <w:left w:val="none" w:sz="0" w:space="0" w:color="auto"/>
                                                <w:bottom w:val="none" w:sz="0" w:space="0" w:color="auto"/>
                                                <w:right w:val="none" w:sz="0" w:space="0" w:color="auto"/>
                                              </w:divBdr>
                                              <w:divsChild>
                                                <w:div w:id="1479806694">
                                                  <w:blockQuote w:val="1"/>
                                                  <w:marLeft w:val="-300"/>
                                                  <w:marRight w:val="0"/>
                                                  <w:marTop w:val="0"/>
                                                  <w:marBottom w:val="0"/>
                                                  <w:divBdr>
                                                    <w:top w:val="none" w:sz="0" w:space="0" w:color="auto"/>
                                                    <w:left w:val="none" w:sz="0" w:space="0" w:color="auto"/>
                                                    <w:bottom w:val="none" w:sz="0" w:space="0" w:color="auto"/>
                                                    <w:right w:val="none" w:sz="0" w:space="0" w:color="auto"/>
                                                  </w:divBdr>
                                                </w:div>
                                                <w:div w:id="405884767">
                                                  <w:blockQuote w:val="1"/>
                                                  <w:marLeft w:val="-300"/>
                                                  <w:marRight w:val="0"/>
                                                  <w:marTop w:val="0"/>
                                                  <w:marBottom w:val="0"/>
                                                  <w:divBdr>
                                                    <w:top w:val="none" w:sz="0" w:space="0" w:color="auto"/>
                                                    <w:left w:val="none" w:sz="0" w:space="0" w:color="auto"/>
                                                    <w:bottom w:val="none" w:sz="0" w:space="0" w:color="auto"/>
                                                    <w:right w:val="none" w:sz="0" w:space="0" w:color="auto"/>
                                                  </w:divBdr>
                                                </w:div>
                                                <w:div w:id="835072702">
                                                  <w:marLeft w:val="0"/>
                                                  <w:marRight w:val="0"/>
                                                  <w:marTop w:val="0"/>
                                                  <w:marBottom w:val="0"/>
                                                  <w:divBdr>
                                                    <w:top w:val="none" w:sz="0" w:space="0" w:color="auto"/>
                                                    <w:left w:val="none" w:sz="0" w:space="0" w:color="auto"/>
                                                    <w:bottom w:val="none" w:sz="0" w:space="0" w:color="auto"/>
                                                    <w:right w:val="none" w:sz="0" w:space="0" w:color="auto"/>
                                                  </w:divBdr>
                                                  <w:divsChild>
                                                    <w:div w:id="974875697">
                                                      <w:marLeft w:val="0"/>
                                                      <w:marRight w:val="0"/>
                                                      <w:marTop w:val="0"/>
                                                      <w:marBottom w:val="0"/>
                                                      <w:divBdr>
                                                        <w:top w:val="none" w:sz="0" w:space="0" w:color="auto"/>
                                                        <w:left w:val="none" w:sz="0" w:space="0" w:color="auto"/>
                                                        <w:bottom w:val="none" w:sz="0" w:space="0" w:color="auto"/>
                                                        <w:right w:val="none" w:sz="0" w:space="0" w:color="auto"/>
                                                      </w:divBdr>
                                                      <w:divsChild>
                                                        <w:div w:id="1890803256">
                                                          <w:marLeft w:val="0"/>
                                                          <w:marRight w:val="0"/>
                                                          <w:marTop w:val="100"/>
                                                          <w:marBottom w:val="100"/>
                                                          <w:divBdr>
                                                            <w:top w:val="none" w:sz="0" w:space="0" w:color="auto"/>
                                                            <w:left w:val="none" w:sz="0" w:space="0" w:color="auto"/>
                                                            <w:bottom w:val="none" w:sz="0" w:space="0" w:color="auto"/>
                                                            <w:right w:val="none" w:sz="0" w:space="0" w:color="auto"/>
                                                          </w:divBdr>
                                                          <w:divsChild>
                                                            <w:div w:id="234777584">
                                                              <w:marLeft w:val="0"/>
                                                              <w:marRight w:val="0"/>
                                                              <w:marTop w:val="0"/>
                                                              <w:marBottom w:val="0"/>
                                                              <w:divBdr>
                                                                <w:top w:val="none" w:sz="0" w:space="0" w:color="auto"/>
                                                                <w:left w:val="none" w:sz="0" w:space="0" w:color="auto"/>
                                                                <w:bottom w:val="none" w:sz="0" w:space="0" w:color="auto"/>
                                                                <w:right w:val="none" w:sz="0" w:space="0" w:color="auto"/>
                                                              </w:divBdr>
                                                              <w:divsChild>
                                                                <w:div w:id="16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2855179">
      <w:bodyDiv w:val="1"/>
      <w:marLeft w:val="0"/>
      <w:marRight w:val="0"/>
      <w:marTop w:val="0"/>
      <w:marBottom w:val="0"/>
      <w:divBdr>
        <w:top w:val="none" w:sz="0" w:space="0" w:color="auto"/>
        <w:left w:val="none" w:sz="0" w:space="0" w:color="auto"/>
        <w:bottom w:val="none" w:sz="0" w:space="0" w:color="auto"/>
        <w:right w:val="none" w:sz="0" w:space="0" w:color="auto"/>
      </w:divBdr>
    </w:div>
    <w:div w:id="1355156294">
      <w:bodyDiv w:val="1"/>
      <w:marLeft w:val="0"/>
      <w:marRight w:val="0"/>
      <w:marTop w:val="0"/>
      <w:marBottom w:val="0"/>
      <w:divBdr>
        <w:top w:val="none" w:sz="0" w:space="0" w:color="auto"/>
        <w:left w:val="none" w:sz="0" w:space="0" w:color="auto"/>
        <w:bottom w:val="none" w:sz="0" w:space="0" w:color="auto"/>
        <w:right w:val="none" w:sz="0" w:space="0" w:color="auto"/>
      </w:divBdr>
      <w:divsChild>
        <w:div w:id="1938976680">
          <w:marLeft w:val="0"/>
          <w:marRight w:val="0"/>
          <w:marTop w:val="0"/>
          <w:marBottom w:val="120"/>
          <w:divBdr>
            <w:top w:val="none" w:sz="0" w:space="0" w:color="auto"/>
            <w:left w:val="none" w:sz="0" w:space="0" w:color="auto"/>
            <w:bottom w:val="none" w:sz="0" w:space="0" w:color="auto"/>
            <w:right w:val="none" w:sz="0" w:space="0" w:color="auto"/>
          </w:divBdr>
        </w:div>
        <w:div w:id="973676584">
          <w:marLeft w:val="336"/>
          <w:marRight w:val="0"/>
          <w:marTop w:val="120"/>
          <w:marBottom w:val="312"/>
          <w:divBdr>
            <w:top w:val="none" w:sz="0" w:space="0" w:color="auto"/>
            <w:left w:val="none" w:sz="0" w:space="0" w:color="auto"/>
            <w:bottom w:val="none" w:sz="0" w:space="0" w:color="auto"/>
            <w:right w:val="none" w:sz="0" w:space="0" w:color="auto"/>
          </w:divBdr>
          <w:divsChild>
            <w:div w:id="6308697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4077202">
      <w:bodyDiv w:val="1"/>
      <w:marLeft w:val="0"/>
      <w:marRight w:val="0"/>
      <w:marTop w:val="0"/>
      <w:marBottom w:val="0"/>
      <w:divBdr>
        <w:top w:val="none" w:sz="0" w:space="0" w:color="auto"/>
        <w:left w:val="none" w:sz="0" w:space="0" w:color="auto"/>
        <w:bottom w:val="none" w:sz="0" w:space="0" w:color="auto"/>
        <w:right w:val="none" w:sz="0" w:space="0" w:color="auto"/>
      </w:divBdr>
      <w:divsChild>
        <w:div w:id="1285578385">
          <w:marLeft w:val="0"/>
          <w:marRight w:val="0"/>
          <w:marTop w:val="0"/>
          <w:marBottom w:val="0"/>
          <w:divBdr>
            <w:top w:val="none" w:sz="0" w:space="0" w:color="auto"/>
            <w:left w:val="none" w:sz="0" w:space="0" w:color="auto"/>
            <w:bottom w:val="none" w:sz="0" w:space="0" w:color="auto"/>
            <w:right w:val="none" w:sz="0" w:space="0" w:color="auto"/>
          </w:divBdr>
          <w:divsChild>
            <w:div w:id="1388141022">
              <w:marLeft w:val="960"/>
              <w:marRight w:val="960"/>
              <w:marTop w:val="0"/>
              <w:marBottom w:val="0"/>
              <w:divBdr>
                <w:top w:val="none" w:sz="0" w:space="0" w:color="auto"/>
                <w:left w:val="none" w:sz="0" w:space="0" w:color="auto"/>
                <w:bottom w:val="none" w:sz="0" w:space="0" w:color="auto"/>
                <w:right w:val="none" w:sz="0" w:space="0" w:color="auto"/>
              </w:divBdr>
            </w:div>
          </w:divsChild>
        </w:div>
        <w:div w:id="1996912902">
          <w:marLeft w:val="0"/>
          <w:marRight w:val="0"/>
          <w:marTop w:val="0"/>
          <w:marBottom w:val="0"/>
          <w:divBdr>
            <w:top w:val="none" w:sz="0" w:space="0" w:color="auto"/>
            <w:left w:val="none" w:sz="0" w:space="0" w:color="auto"/>
            <w:bottom w:val="none" w:sz="0" w:space="0" w:color="auto"/>
            <w:right w:val="none" w:sz="0" w:space="0" w:color="auto"/>
          </w:divBdr>
          <w:divsChild>
            <w:div w:id="1661540580">
              <w:marLeft w:val="960"/>
              <w:marRight w:val="960"/>
              <w:marTop w:val="0"/>
              <w:marBottom w:val="0"/>
              <w:divBdr>
                <w:top w:val="none" w:sz="0" w:space="0" w:color="auto"/>
                <w:left w:val="none" w:sz="0" w:space="0" w:color="auto"/>
                <w:bottom w:val="none" w:sz="0" w:space="0" w:color="auto"/>
                <w:right w:val="none" w:sz="0" w:space="0" w:color="auto"/>
              </w:divBdr>
              <w:divsChild>
                <w:div w:id="72705344">
                  <w:blockQuote w:val="1"/>
                  <w:marLeft w:val="-300"/>
                  <w:marRight w:val="0"/>
                  <w:marTop w:val="0"/>
                  <w:marBottom w:val="0"/>
                  <w:divBdr>
                    <w:top w:val="none" w:sz="0" w:space="0" w:color="auto"/>
                    <w:left w:val="none" w:sz="0" w:space="0" w:color="auto"/>
                    <w:bottom w:val="none" w:sz="0" w:space="0" w:color="auto"/>
                    <w:right w:val="none" w:sz="0" w:space="0" w:color="auto"/>
                  </w:divBdr>
                </w:div>
                <w:div w:id="1684284761">
                  <w:marLeft w:val="0"/>
                  <w:marRight w:val="0"/>
                  <w:marTop w:val="0"/>
                  <w:marBottom w:val="0"/>
                  <w:divBdr>
                    <w:top w:val="none" w:sz="0" w:space="0" w:color="auto"/>
                    <w:left w:val="none" w:sz="0" w:space="0" w:color="auto"/>
                    <w:bottom w:val="none" w:sz="0" w:space="0" w:color="auto"/>
                    <w:right w:val="none" w:sz="0" w:space="0" w:color="auto"/>
                  </w:divBdr>
                  <w:divsChild>
                    <w:div w:id="1245646885">
                      <w:marLeft w:val="0"/>
                      <w:marRight w:val="0"/>
                      <w:marTop w:val="0"/>
                      <w:marBottom w:val="0"/>
                      <w:divBdr>
                        <w:top w:val="none" w:sz="0" w:space="0" w:color="auto"/>
                        <w:left w:val="none" w:sz="0" w:space="0" w:color="auto"/>
                        <w:bottom w:val="none" w:sz="0" w:space="0" w:color="auto"/>
                        <w:right w:val="none" w:sz="0" w:space="0" w:color="auto"/>
                      </w:divBdr>
                      <w:divsChild>
                        <w:div w:id="1588539300">
                          <w:marLeft w:val="0"/>
                          <w:marRight w:val="0"/>
                          <w:marTop w:val="100"/>
                          <w:marBottom w:val="100"/>
                          <w:divBdr>
                            <w:top w:val="none" w:sz="0" w:space="0" w:color="auto"/>
                            <w:left w:val="none" w:sz="0" w:space="0" w:color="auto"/>
                            <w:bottom w:val="none" w:sz="0" w:space="0" w:color="auto"/>
                            <w:right w:val="none" w:sz="0" w:space="0" w:color="auto"/>
                          </w:divBdr>
                          <w:divsChild>
                            <w:div w:id="103615858">
                              <w:marLeft w:val="0"/>
                              <w:marRight w:val="0"/>
                              <w:marTop w:val="0"/>
                              <w:marBottom w:val="0"/>
                              <w:divBdr>
                                <w:top w:val="none" w:sz="0" w:space="0" w:color="auto"/>
                                <w:left w:val="none" w:sz="0" w:space="0" w:color="auto"/>
                                <w:bottom w:val="none" w:sz="0" w:space="0" w:color="auto"/>
                                <w:right w:val="none" w:sz="0" w:space="0" w:color="auto"/>
                              </w:divBdr>
                              <w:divsChild>
                                <w:div w:id="1814565255">
                                  <w:marLeft w:val="0"/>
                                  <w:marRight w:val="0"/>
                                  <w:marTop w:val="0"/>
                                  <w:marBottom w:val="0"/>
                                  <w:divBdr>
                                    <w:top w:val="none" w:sz="0" w:space="0" w:color="auto"/>
                                    <w:left w:val="none" w:sz="0" w:space="0" w:color="auto"/>
                                    <w:bottom w:val="none" w:sz="0" w:space="0" w:color="auto"/>
                                    <w:right w:val="none" w:sz="0" w:space="0" w:color="auto"/>
                                  </w:divBdr>
                                </w:div>
                                <w:div w:id="1798792613">
                                  <w:marLeft w:val="0"/>
                                  <w:marRight w:val="0"/>
                                  <w:marTop w:val="0"/>
                                  <w:marBottom w:val="0"/>
                                  <w:divBdr>
                                    <w:top w:val="none" w:sz="0" w:space="0" w:color="auto"/>
                                    <w:left w:val="none" w:sz="0" w:space="0" w:color="auto"/>
                                    <w:bottom w:val="none" w:sz="0" w:space="0" w:color="auto"/>
                                    <w:right w:val="none" w:sz="0" w:space="0" w:color="auto"/>
                                  </w:divBdr>
                                  <w:divsChild>
                                    <w:div w:id="1287587393">
                                      <w:marLeft w:val="0"/>
                                      <w:marRight w:val="0"/>
                                      <w:marTop w:val="0"/>
                                      <w:marBottom w:val="0"/>
                                      <w:divBdr>
                                        <w:top w:val="none" w:sz="0" w:space="0" w:color="auto"/>
                                        <w:left w:val="none" w:sz="0" w:space="0" w:color="auto"/>
                                        <w:bottom w:val="none" w:sz="0" w:space="0" w:color="auto"/>
                                        <w:right w:val="none" w:sz="0" w:space="0" w:color="auto"/>
                                      </w:divBdr>
                                      <w:divsChild>
                                        <w:div w:id="1800102292">
                                          <w:marLeft w:val="0"/>
                                          <w:marRight w:val="0"/>
                                          <w:marTop w:val="100"/>
                                          <w:marBottom w:val="100"/>
                                          <w:divBdr>
                                            <w:top w:val="none" w:sz="0" w:space="0" w:color="auto"/>
                                            <w:left w:val="none" w:sz="0" w:space="0" w:color="auto"/>
                                            <w:bottom w:val="none" w:sz="0" w:space="0" w:color="auto"/>
                                            <w:right w:val="none" w:sz="0" w:space="0" w:color="auto"/>
                                          </w:divBdr>
                                          <w:divsChild>
                                            <w:div w:id="130754639">
                                              <w:marLeft w:val="0"/>
                                              <w:marRight w:val="0"/>
                                              <w:marTop w:val="0"/>
                                              <w:marBottom w:val="0"/>
                                              <w:divBdr>
                                                <w:top w:val="none" w:sz="0" w:space="0" w:color="auto"/>
                                                <w:left w:val="none" w:sz="0" w:space="0" w:color="auto"/>
                                                <w:bottom w:val="none" w:sz="0" w:space="0" w:color="auto"/>
                                                <w:right w:val="none" w:sz="0" w:space="0" w:color="auto"/>
                                              </w:divBdr>
                                              <w:divsChild>
                                                <w:div w:id="258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1722558108">
                                              <w:marLeft w:val="960"/>
                                              <w:marRight w:val="960"/>
                                              <w:marTop w:val="0"/>
                                              <w:marBottom w:val="0"/>
                                              <w:divBdr>
                                                <w:top w:val="none" w:sz="0" w:space="0" w:color="auto"/>
                                                <w:left w:val="none" w:sz="0" w:space="0" w:color="auto"/>
                                                <w:bottom w:val="none" w:sz="0" w:space="0" w:color="auto"/>
                                                <w:right w:val="none" w:sz="0" w:space="0" w:color="auto"/>
                                              </w:divBdr>
                                              <w:divsChild>
                                                <w:div w:id="93870004">
                                                  <w:blockQuote w:val="1"/>
                                                  <w:marLeft w:val="-300"/>
                                                  <w:marRight w:val="0"/>
                                                  <w:marTop w:val="0"/>
                                                  <w:marBottom w:val="0"/>
                                                  <w:divBdr>
                                                    <w:top w:val="none" w:sz="0" w:space="0" w:color="auto"/>
                                                    <w:left w:val="none" w:sz="0" w:space="0" w:color="auto"/>
                                                    <w:bottom w:val="none" w:sz="0" w:space="0" w:color="auto"/>
                                                    <w:right w:val="none" w:sz="0" w:space="0" w:color="auto"/>
                                                  </w:divBdr>
                                                </w:div>
                                                <w:div w:id="1024599850">
                                                  <w:blockQuote w:val="1"/>
                                                  <w:marLeft w:val="-300"/>
                                                  <w:marRight w:val="0"/>
                                                  <w:marTop w:val="0"/>
                                                  <w:marBottom w:val="0"/>
                                                  <w:divBdr>
                                                    <w:top w:val="none" w:sz="0" w:space="0" w:color="auto"/>
                                                    <w:left w:val="none" w:sz="0" w:space="0" w:color="auto"/>
                                                    <w:bottom w:val="none" w:sz="0" w:space="0" w:color="auto"/>
                                                    <w:right w:val="none" w:sz="0" w:space="0" w:color="auto"/>
                                                  </w:divBdr>
                                                </w:div>
                                                <w:div w:id="765151286">
                                                  <w:marLeft w:val="0"/>
                                                  <w:marRight w:val="0"/>
                                                  <w:marTop w:val="0"/>
                                                  <w:marBottom w:val="0"/>
                                                  <w:divBdr>
                                                    <w:top w:val="none" w:sz="0" w:space="0" w:color="auto"/>
                                                    <w:left w:val="none" w:sz="0" w:space="0" w:color="auto"/>
                                                    <w:bottom w:val="none" w:sz="0" w:space="0" w:color="auto"/>
                                                    <w:right w:val="none" w:sz="0" w:space="0" w:color="auto"/>
                                                  </w:divBdr>
                                                  <w:divsChild>
                                                    <w:div w:id="1915122534">
                                                      <w:marLeft w:val="0"/>
                                                      <w:marRight w:val="0"/>
                                                      <w:marTop w:val="0"/>
                                                      <w:marBottom w:val="0"/>
                                                      <w:divBdr>
                                                        <w:top w:val="none" w:sz="0" w:space="0" w:color="auto"/>
                                                        <w:left w:val="none" w:sz="0" w:space="0" w:color="auto"/>
                                                        <w:bottom w:val="none" w:sz="0" w:space="0" w:color="auto"/>
                                                        <w:right w:val="none" w:sz="0" w:space="0" w:color="auto"/>
                                                      </w:divBdr>
                                                      <w:divsChild>
                                                        <w:div w:id="1467704150">
                                                          <w:marLeft w:val="0"/>
                                                          <w:marRight w:val="0"/>
                                                          <w:marTop w:val="100"/>
                                                          <w:marBottom w:val="100"/>
                                                          <w:divBdr>
                                                            <w:top w:val="none" w:sz="0" w:space="0" w:color="auto"/>
                                                            <w:left w:val="none" w:sz="0" w:space="0" w:color="auto"/>
                                                            <w:bottom w:val="none" w:sz="0" w:space="0" w:color="auto"/>
                                                            <w:right w:val="none" w:sz="0" w:space="0" w:color="auto"/>
                                                          </w:divBdr>
                                                          <w:divsChild>
                                                            <w:div w:id="1168786152">
                                                              <w:marLeft w:val="0"/>
                                                              <w:marRight w:val="0"/>
                                                              <w:marTop w:val="0"/>
                                                              <w:marBottom w:val="0"/>
                                                              <w:divBdr>
                                                                <w:top w:val="none" w:sz="0" w:space="0" w:color="auto"/>
                                                                <w:left w:val="none" w:sz="0" w:space="0" w:color="auto"/>
                                                                <w:bottom w:val="none" w:sz="0" w:space="0" w:color="auto"/>
                                                                <w:right w:val="none" w:sz="0" w:space="0" w:color="auto"/>
                                                              </w:divBdr>
                                                              <w:divsChild>
                                                                <w:div w:id="4060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e" TargetMode="External"/><Relationship Id="rId13" Type="http://schemas.openxmlformats.org/officeDocument/2006/relationships/hyperlink" Target="https://en.wikipedia.org/wiki/Real_estate" TargetMode="External"/><Relationship Id="rId18" Type="http://schemas.openxmlformats.org/officeDocument/2006/relationships/hyperlink" Target="https://en.wikipedia.org/wiki/Insurance" TargetMode="External"/><Relationship Id="rId26" Type="http://schemas.openxmlformats.org/officeDocument/2006/relationships/hyperlink" Target="https://en.wikipedia.org/wiki/Mutual_fund" TargetMode="External"/><Relationship Id="rId3" Type="http://schemas.openxmlformats.org/officeDocument/2006/relationships/settings" Target="settings.xml"/><Relationship Id="rId21" Type="http://schemas.openxmlformats.org/officeDocument/2006/relationships/hyperlink" Target="https://en.wikipedia.org/wiki/Inflation" TargetMode="External"/><Relationship Id="rId7" Type="http://schemas.openxmlformats.org/officeDocument/2006/relationships/hyperlink" Target="https://en.wikipedia.org/wiki/Finance" TargetMode="External"/><Relationship Id="rId12" Type="http://schemas.openxmlformats.org/officeDocument/2006/relationships/hyperlink" Target="https://en.wikipedia.org/wiki/Durable_good" TargetMode="External"/><Relationship Id="rId17" Type="http://schemas.openxmlformats.org/officeDocument/2006/relationships/hyperlink" Target="https://en.wikipedia.org/wiki/Finance" TargetMode="External"/><Relationship Id="rId25" Type="http://schemas.openxmlformats.org/officeDocument/2006/relationships/hyperlink" Target="https://en.wikipedia.org/wiki/Retirement" TargetMode="External"/><Relationship Id="rId2" Type="http://schemas.openxmlformats.org/officeDocument/2006/relationships/styles" Target="styles.xml"/><Relationship Id="rId16" Type="http://schemas.openxmlformats.org/officeDocument/2006/relationships/hyperlink" Target="https://en.wikipedia.org/wiki/Finance" TargetMode="External"/><Relationship Id="rId20" Type="http://schemas.openxmlformats.org/officeDocument/2006/relationships/hyperlink" Target="https://en.wikipedia.org/wiki/Tax_rate" TargetMode="External"/><Relationship Id="rId29" Type="http://schemas.openxmlformats.org/officeDocument/2006/relationships/hyperlink" Target="https://en.wikipedia.org/wiki/Finance" TargetMode="External"/><Relationship Id="rId1" Type="http://schemas.openxmlformats.org/officeDocument/2006/relationships/numbering" Target="numbering.xml"/><Relationship Id="rId6" Type="http://schemas.openxmlformats.org/officeDocument/2006/relationships/hyperlink" Target="https://en.wikipedia.org/wiki/Personal_finance" TargetMode="External"/><Relationship Id="rId11" Type="http://schemas.openxmlformats.org/officeDocument/2006/relationships/hyperlink" Target="https://en.wikipedia.org/wiki/Warren_Buffett" TargetMode="External"/><Relationship Id="rId24" Type="http://schemas.openxmlformats.org/officeDocument/2006/relationships/hyperlink" Target="https://en.wikipedia.org/wiki/Investing" TargetMode="External"/><Relationship Id="rId32" Type="http://schemas.openxmlformats.org/officeDocument/2006/relationships/theme" Target="theme/theme1.xml"/><Relationship Id="rId5" Type="http://schemas.openxmlformats.org/officeDocument/2006/relationships/hyperlink" Target="https://en.wikipedia.org/w/index.php?title=Finance&amp;action=edit&amp;section=2" TargetMode="External"/><Relationship Id="rId15" Type="http://schemas.openxmlformats.org/officeDocument/2006/relationships/hyperlink" Target="https://en.wikipedia.org/wiki/Retirement" TargetMode="External"/><Relationship Id="rId23" Type="http://schemas.openxmlformats.org/officeDocument/2006/relationships/hyperlink" Target="https://en.wikipedia.org/wiki/Retirement_plans" TargetMode="External"/><Relationship Id="rId28" Type="http://schemas.openxmlformats.org/officeDocument/2006/relationships/hyperlink" Target="https://en.wikipedia.org/wiki/Standard_of_living" TargetMode="External"/><Relationship Id="rId10" Type="http://schemas.openxmlformats.org/officeDocument/2006/relationships/image" Target="media/image1.jpeg"/><Relationship Id="rId19" Type="http://schemas.openxmlformats.org/officeDocument/2006/relationships/hyperlink" Target="https://en.wikipedia.org/wiki/Tax_plann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le:Warren_Buffett_KU_Visit.jpg" TargetMode="External"/><Relationship Id="rId14" Type="http://schemas.openxmlformats.org/officeDocument/2006/relationships/hyperlink" Target="https://en.wikipedia.org/wiki/Insurance" TargetMode="External"/><Relationship Id="rId22" Type="http://schemas.openxmlformats.org/officeDocument/2006/relationships/hyperlink" Target="https://en.wikipedia.org/wiki/Individual_retirement_account" TargetMode="External"/><Relationship Id="rId27" Type="http://schemas.openxmlformats.org/officeDocument/2006/relationships/hyperlink" Target="https://en.wikipedia.org/wiki/Stock" TargetMode="External"/><Relationship Id="rId30" Type="http://schemas.openxmlformats.org/officeDocument/2006/relationships/hyperlink" Target="https://en.wikipedia.org/wiki/Estate_plan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file3.docx</Template>
  <TotalTime>0</TotalTime>
  <Pages>3</Pages>
  <Words>1481</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HAMMOUCHE, Abdessamad</dc:creator>
  <cp:keywords/>
  <dc:description/>
  <cp:lastModifiedBy>HAMMOUCHE, Abdessamad</cp:lastModifiedBy>
  <cp:revision>2</cp:revision>
  <dcterms:created xsi:type="dcterms:W3CDTF">2019-11-26T01:15:00Z</dcterms:created>
  <dcterms:modified xsi:type="dcterms:W3CDTF">2019-11-26T01:15:00Z</dcterms:modified>
</cp:coreProperties>
</file>