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color w:val="1A202C"/>
        </w:rPr>
        <w:t>Remote Work Policy Update</w:t>
      </w:r>
    </w:p>
    <w:p>
      <w:r>
        <w:rPr>
          <w:b w:val="0"/>
          <w:i/>
          <w:color w:val="718096"/>
          <w:sz w:val="21"/>
        </w:rPr>
        <w:t>Effective January 2027</w:t>
      </w:r>
    </w:p>
    <w:p>
      <w:pPr>
        <w:pStyle w:val="Heading1"/>
      </w:pPr>
      <w:r>
        <w:t>Contents</w:t>
      </w:r>
    </w:p>
    <w:p>
      <w:fldSimple w:instr="TOC \o &quot;1-4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2"/>
      </w:pPr>
      <w:r>
        <w:rPr>
          <w:b w:val="0"/>
          <w:i w:val="0"/>
          <w:color w:val="0F766E"/>
        </w:rPr>
        <w:t>Purpose</w:t>
      </w:r>
    </w:p>
    <w:p>
      <w:r>
        <w:rPr>
          <w:b w:val="0"/>
          <w:i w:val="0"/>
          <w:color w:val="4A5568"/>
        </w:rPr>
        <w:t xml:space="preserve">This memo consolidates the remote and hybrid work rules that apply to </w:t>
      </w:r>
      <w:r>
        <w:rPr>
          <w:b/>
          <w:i w:val="0"/>
          <w:color w:val="4A5568"/>
        </w:rPr>
        <w:t>all full-time employees</w:t>
      </w:r>
      <w:r>
        <w:rPr>
          <w:b w:val="0"/>
          <w:i w:val="0"/>
          <w:color w:val="4A5568"/>
        </w:rPr>
        <w:t xml:space="preserve"> starting </w:t>
      </w:r>
      <w:r>
        <w:rPr>
          <w:b w:val="0"/>
          <w:i/>
          <w:color w:val="4A5568"/>
        </w:rPr>
        <w:t>January 2027</w:t>
      </w:r>
      <w:r>
        <w:rPr>
          <w:b w:val="0"/>
          <w:i w:val="0"/>
          <w:color w:val="4A5568"/>
        </w:rPr>
        <w:t>. It replaces the 2024 interim guidance.</w:t>
      </w:r>
    </w:p>
    <w:p>
      <w:pPr>
        <w:pStyle w:val="Heading2"/>
      </w:pPr>
      <w:r>
        <w:rPr>
          <w:b w:val="0"/>
          <w:i w:val="0"/>
          <w:color w:val="0F766E"/>
        </w:rPr>
        <w:t>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pPr>
              <w:jc w:val="center"/>
            </w:pPr>
            <w:r>
              <w:rPr>
                <w:b/>
                <w:i w:val="0"/>
                <w:color w:val="0F766E"/>
                <w:sz w:val="32"/>
              </w:rPr>
              <w:t>2 / week</w:t>
            </w:r>
          </w:p>
          <w:p>
            <w:pPr>
              <w:jc w:val="center"/>
            </w:pPr>
            <w:r>
              <w:rPr>
                <w:b w:val="0"/>
                <w:i w:val="0"/>
                <w:color w:val="718096"/>
                <w:sz w:val="17"/>
              </w:rPr>
              <w:t>Office days</w:t>
            </w:r>
          </w:p>
        </w:tc>
        <w:tc>
          <w:tcPr>
            <w:tcW w:type="dxa" w:w="3250"/>
          </w:tcPr>
          <w:p>
            <w:pPr>
              <w:jc w:val="center"/>
            </w:pPr>
            <w:r>
              <w:rPr>
                <w:b/>
                <w:i w:val="0"/>
                <w:color w:val="0F766E"/>
                <w:sz w:val="32"/>
              </w:rPr>
              <w:t>10:00–16:00</w:t>
            </w:r>
          </w:p>
          <w:p>
            <w:pPr>
              <w:jc w:val="center"/>
            </w:pPr>
            <w:r>
              <w:rPr>
                <w:b w:val="0"/>
                <w:i w:val="0"/>
                <w:color w:val="718096"/>
                <w:sz w:val="17"/>
              </w:rPr>
              <w:t>Core hours</w:t>
            </w:r>
          </w:p>
        </w:tc>
        <w:tc>
          <w:tcPr>
            <w:tcW w:type="dxa" w:w="3250"/>
          </w:tcPr>
          <w:p>
            <w:pPr>
              <w:jc w:val="center"/>
            </w:pPr>
            <w:r>
              <w:rPr>
                <w:b/>
                <w:i w:val="0"/>
                <w:color w:val="0F766E"/>
                <w:sz w:val="32"/>
              </w:rPr>
              <w:t>$500 / yr</w:t>
            </w:r>
          </w:p>
          <w:p>
            <w:pPr>
              <w:jc w:val="center"/>
            </w:pPr>
            <w:r>
              <w:rPr>
                <w:b w:val="0"/>
                <w:i w:val="0"/>
                <w:color w:val="718096"/>
                <w:sz w:val="17"/>
              </w:rPr>
              <w:t>Stipend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0F766E"/>
        </w:rPr>
        <w:t>What Changes</w:t>
      </w:r>
    </w:p>
    <w:p>
      <w:pPr>
        <w:pStyle w:val="ListBullet"/>
      </w:pPr>
      <w:r>
        <w:rPr>
          <w:b w:val="0"/>
          <w:i w:val="0"/>
          <w:color w:val="4A5568"/>
        </w:rPr>
        <w:t xml:space="preserve">Teams choose </w:t>
      </w:r>
      <w:r>
        <w:rPr>
          <w:b w:val="0"/>
          <w:i/>
          <w:color w:val="4A5568"/>
        </w:rPr>
        <w:t>which</w:t>
      </w:r>
      <w:r>
        <w:rPr>
          <w:b w:val="0"/>
          <w:i w:val="0"/>
          <w:color w:val="4A5568"/>
        </w:rPr>
        <w:t xml:space="preserve"> two office days — consistent within each team</w:t>
      </w:r>
    </w:p>
    <w:p>
      <w:pPr>
        <w:pStyle w:val="ListBullet"/>
      </w:pPr>
      <w:r>
        <w:rPr>
          <w:b w:val="0"/>
          <w:i w:val="0"/>
          <w:color w:val="4A5568"/>
        </w:rPr>
        <w:t>Home-office stipend rises from $300 to $500 per year</w:t>
      </w:r>
    </w:p>
    <w:p>
      <w:pPr>
        <w:pStyle w:val="ListBullet2"/>
      </w:pPr>
      <w:r>
        <w:rPr>
          <w:b w:val="0"/>
          <w:i w:val="0"/>
          <w:color w:val="4A5568"/>
        </w:rPr>
        <w:t>Fully-remote roles require VP approval and are capped per department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fill="0F766E"/>
          </w:tcPr>
          <w:p>
            <w:r>
              <w:rPr>
                <w:b/>
                <w:i w:val="0"/>
                <w:color w:val="FFFFFF"/>
                <w:sz w:val="20"/>
              </w:rPr>
              <w:t>Work model</w:t>
            </w:r>
          </w:p>
        </w:tc>
        <w:tc>
          <w:tcPr>
            <w:tcW w:type="dxa" w:w="3250"/>
            <w:shd w:val="clear" w:fill="0F766E"/>
          </w:tcPr>
          <w:p>
            <w:r>
              <w:rPr>
                <w:b/>
                <w:i w:val="0"/>
                <w:color w:val="FFFFFF"/>
                <w:sz w:val="20"/>
              </w:rPr>
              <w:t>Office days</w:t>
            </w:r>
          </w:p>
        </w:tc>
        <w:tc>
          <w:tcPr>
            <w:tcW w:type="dxa" w:w="3250"/>
            <w:shd w:val="clear" w:fill="0F766E"/>
          </w:tcPr>
          <w:p>
            <w:r>
              <w:rPr>
                <w:b/>
                <w:i w:val="0"/>
                <w:color w:val="FFFFFF"/>
                <w:sz w:val="20"/>
              </w:rPr>
              <w:t>Approval needed</w:t>
            </w:r>
          </w:p>
        </w:tc>
      </w:tr>
      <w:tr>
        <w:tc>
          <w:tcPr>
            <w:tcW w:type="dxa" w:w="3250"/>
          </w:tcPr>
          <w:p>
            <w:r>
              <w:rPr>
                <w:b w:val="0"/>
                <w:i w:val="0"/>
                <w:color w:val="4A5568"/>
                <w:sz w:val="20"/>
              </w:rPr>
              <w:t>Hybrid (default)</w:t>
            </w:r>
          </w:p>
        </w:tc>
        <w:tc>
          <w:tcPr>
            <w:tcW w:type="dxa" w:w="3250"/>
          </w:tcPr>
          <w:p>
            <w:r>
              <w:rPr>
                <w:b w:val="0"/>
                <w:i w:val="0"/>
                <w:color w:val="4A5568"/>
                <w:sz w:val="20"/>
              </w:rPr>
              <w:t>2 per week</w:t>
            </w:r>
          </w:p>
        </w:tc>
        <w:tc>
          <w:tcPr>
            <w:tcW w:type="dxa" w:w="3250"/>
          </w:tcPr>
          <w:p>
            <w:r>
              <w:rPr>
                <w:b w:val="0"/>
                <w:i w:val="0"/>
                <w:color w:val="4A5568"/>
                <w:sz w:val="20"/>
              </w:rPr>
              <w:t>None</w:t>
            </w:r>
          </w:p>
        </w:tc>
      </w:tr>
      <w:tr>
        <w:tc>
          <w:tcPr>
            <w:tcW w:type="dxa" w:w="3250"/>
            <w:shd w:val="clear" w:fill="F7FAFC"/>
          </w:tcPr>
          <w:p>
            <w:r>
              <w:rPr>
                <w:b w:val="0"/>
                <w:i w:val="0"/>
                <w:color w:val="4A5568"/>
                <w:sz w:val="20"/>
              </w:rPr>
              <w:t>Mostly remote</w:t>
            </w:r>
          </w:p>
        </w:tc>
        <w:tc>
          <w:tcPr>
            <w:tcW w:type="dxa" w:w="3250"/>
            <w:shd w:val="clear" w:fill="F7FAFC"/>
          </w:tcPr>
          <w:p>
            <w:r>
              <w:rPr>
                <w:b w:val="0"/>
                <w:i w:val="0"/>
                <w:color w:val="4A5568"/>
                <w:sz w:val="20"/>
              </w:rPr>
              <w:t>2 per month</w:t>
            </w:r>
          </w:p>
        </w:tc>
        <w:tc>
          <w:tcPr>
            <w:tcW w:type="dxa" w:w="3250"/>
            <w:shd w:val="clear" w:fill="F7FAFC"/>
          </w:tcPr>
          <w:p>
            <w:r>
              <w:rPr>
                <w:b w:val="0"/>
                <w:i w:val="0"/>
                <w:color w:val="4A5568"/>
                <w:sz w:val="20"/>
              </w:rPr>
              <w:t>Director</w:t>
            </w:r>
          </w:p>
        </w:tc>
      </w:tr>
      <w:tr>
        <w:tc>
          <w:tcPr>
            <w:tcW w:type="dxa" w:w="3250"/>
          </w:tcPr>
          <w:p>
            <w:r>
              <w:rPr>
                <w:b w:val="0"/>
                <w:i w:val="0"/>
                <w:color w:val="4A5568"/>
                <w:sz w:val="20"/>
              </w:rPr>
              <w:t>Fully remote</w:t>
            </w:r>
          </w:p>
        </w:tc>
        <w:tc>
          <w:tcPr>
            <w:tcW w:type="dxa" w:w="3250"/>
          </w:tcPr>
          <w:p>
            <w:r>
              <w:rPr>
                <w:b w:val="0"/>
                <w:i w:val="0"/>
                <w:color w:val="4A5568"/>
                <w:sz w:val="20"/>
              </w:rPr>
              <w:t>None</w:t>
            </w:r>
          </w:p>
        </w:tc>
        <w:tc>
          <w:tcPr>
            <w:tcW w:type="dxa" w:w="3250"/>
          </w:tcPr>
          <w:p>
            <w:r>
              <w:rPr>
                <w:b w:val="0"/>
                <w:i w:val="0"/>
                <w:color w:val="4A5568"/>
                <w:sz w:val="20"/>
              </w:rPr>
              <w:t>VP + HR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FFFBEB"/>
          </w:tcPr>
          <w:p>
            <w:r>
              <w:rPr>
                <w:b w:val="0"/>
                <w:i/>
                <w:color w:val="975A16"/>
                <w:sz w:val="20"/>
              </w:rPr>
              <w:t>Client-facing teams may be assigned additional on-site days during project peaks.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  <w:i w:val="0"/>
          <w:color w:val="0F766E"/>
        </w:rPr>
        <w:t>Time Tracking</w:t>
      </w:r>
    </w:p>
    <w:p>
      <w:r>
        <w:rPr>
          <w:b w:val="0"/>
          <w:i w:val="0"/>
          <w:color w:val="4A5568"/>
        </w:rPr>
        <w:t xml:space="preserve">Hours are logged with the code </w:t>
      </w:r>
      <w:r>
        <w:rPr>
          <w:rFonts w:ascii="Consolas" w:hAnsi="Consolas"/>
          <w:b w:val="0"/>
          <w:i w:val="0"/>
          <w:color w:val="4A5568"/>
        </w:rPr>
        <w:t>WFH-2027</w:t>
      </w:r>
      <w:r>
        <w:rPr>
          <w:b w:val="0"/>
          <w:i w:val="0"/>
          <w:color w:val="4A5568"/>
        </w:rPr>
        <w:t xml:space="preserve"> so Finance can audit stipend eligibility.</w:t>
      </w:r>
    </w:p>
    <w:p>
      <w:pPr>
        <w:ind w:left="432"/>
        <w:pBdr>
          <w:left w:val="single" w:sz="18" w:space="4" w:color="0F766E"/>
        </w:pBdr>
      </w:pPr>
      <w:r>
        <w:rPr>
          <w:b w:val="0"/>
          <w:i/>
          <w:color w:val="2D3748"/>
          <w:sz w:val="23"/>
        </w:rPr>
        <w:t>“We optimize for outcomes, not presenteeism.”</w:t>
      </w:r>
    </w:p>
    <w:p>
      <w:pPr>
        <w:ind w:right="432"/>
        <w:jc w:val="right"/>
      </w:pPr>
      <w:r>
        <w:rPr>
          <w:b w:val="0"/>
          <w:i w:val="0"/>
          <w:color w:val="718096"/>
          <w:sz w:val="18"/>
        </w:rPr>
        <w:t>— COO, policy foreword</w:t>
      </w:r>
    </w:p>
    <w:p>
      <w:pPr>
        <w:pBdr>
          <w:bottom w:val="single" w:sz="8" w:space="4" w:color="CBD5E1"/>
        </w:pBdr>
      </w:pPr>
    </w:p>
    <w:p>
      <w:pPr>
        <w:pStyle w:val="Heading2"/>
      </w:pPr>
      <w:r>
        <w:rPr>
          <w:b w:val="0"/>
          <w:i w:val="0"/>
          <w:color w:val="0F766E"/>
        </w:rPr>
        <w:t>Questions</w:t>
      </w:r>
    </w:p>
    <w:p>
      <w:r>
        <w:rPr>
          <w:b w:val="0"/>
          <w:i w:val="0"/>
          <w:color w:val="4A5568"/>
        </w:rPr>
        <w:t xml:space="preserve">Write to </w:t>
      </w:r>
      <w:r>
        <w:rPr>
          <w:rFonts w:ascii="Consolas" w:hAnsi="Consolas"/>
          <w:b w:val="0"/>
          <w:i w:val="0"/>
          <w:color w:val="4A5568"/>
        </w:rPr>
        <w:t>people-ops@example.com</w:t>
      </w:r>
      <w:r>
        <w:rPr>
          <w:b w:val="0"/>
          <w:i w:val="0"/>
          <w:color w:val="4A5568"/>
        </w:rPr>
        <w:t xml:space="preserve"> — answers are compiled into the FAQ within one week.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9" w:val="right"/>
      </w:tabs>
    </w:pPr>
    <w:r>
      <w:rPr>
        <w:b w:val="0"/>
        <w:i w:val="0"/>
        <w:color w:val="94A3B8"/>
        <w:sz w:val="16"/>
      </w:rPr>
      <w:t>Internal use only</w:t>
    </w:r>
    <w:r>
      <w:tab/>
    </w:r>
    <w:r>
      <w:rPr>
        <w:color w:val="94A3B8"/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rPr>
        <w:color w:val="94A3B8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94A3B8"/>
        <w:sz w:val="16"/>
      </w:rPr>
      <w:t>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 Update</dc:title>
  <dc:subject/>
  <dc:creator>People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