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Calibri" w:hAnsi="Calibri"/>
          <w:b/>
          <w:color w:val="CC0000"/>
          <w:sz w:val="56"/>
        </w:rPr>
        <w:t>Bain &amp; Company</w:t>
      </w:r>
    </w:p>
    <w:p/>
    <w:p>
      <w:pPr>
        <w:jc w:val="center"/>
      </w:pPr>
      <w:r>
        <w:rPr>
          <w:color w:val="E83333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Calibri" w:hAnsi="Calibri"/>
          <w:color w:val="4D4D4D"/>
          <w:sz w:val="32"/>
        </w:rPr>
        <w:t>[ 报告标题 ]</w:t>
      </w:r>
    </w:p>
    <w:p/>
    <w:p/>
    <w:p>
      <w:pPr>
        <w:jc w:val="center"/>
      </w:pPr>
      <w:r>
        <w:rPr>
          <w:rFonts w:ascii="Calibri" w:hAnsi="Calibr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本报告由Bain &amp; Company编制，旨在提供全面、深入的分析与洞察。报告基于严谨的研究方法和行业最佳实践，力求为决策者提供有价值的参考依据。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CC00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CC00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CC00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CC000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Calibri" w:hAnsi="Calibri"/>
          <w:i/>
          <w:color w:val="808080"/>
          <w:sz w:val="18"/>
        </w:rPr>
        <w:t>— Bain &amp; Company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color w:val="808080"/>
        <w:sz w:val="16"/>
      </w:rPr>
      <w:t>Bain &amp; Company</w:t>
    </w:r>
    <w:r>
      <w:rPr>
        <w:sz w:val="16"/>
      </w:rPr>
      <w:t xml:space="preserve">  |  </w:t>
    </w:r>
    <w:r>
      <w:rPr>
        <w:rFonts w:ascii="Calibri" w:hAnsi="Calibr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Calibri" w:hAnsi="Calibri"/>
        <w:color w:val="4D4D4D"/>
        <w:sz w:val="18"/>
      </w:rPr>
      <w:t>Bain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Calibri" w:hAnsi="Calibri" w:eastAsia="SimSun"/>
      <w:color w:val="3333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Calibri" w:hAnsi="Calibri" w:eastAsia="SimHei"/>
      <w:b/>
      <w:bCs/>
      <w:color w:val="CC0000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Calibri" w:hAnsi="Calibri" w:eastAsia="SimHei"/>
      <w:b/>
      <w:bCs/>
      <w:color w:val="CC0000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Calibri" w:hAnsi="Calibri" w:eastAsia="SimHei"/>
      <w:b/>
      <w:bCs/>
      <w:color w:val="4D4D4D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Calibri" w:hAnsi="Calibri" w:eastAsia="SimHei"/>
      <w:b/>
      <w:bCs/>
      <w:i/>
      <w:iCs/>
      <w:color w:val="4D4D4D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