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jc w:val="center"/>
      </w:pPr>
      <w:r>
        <w:rPr>
          <w:rFonts w:ascii="Times New Roman" w:hAnsi="Times New Roman" w:eastAsia="黑体"/>
          <w:b/>
          <w:i w:val="0"/>
          <w:color w:val="8B1A2B"/>
          <w:sz w:val="56"/>
        </w:rPr>
        <w:t>[报告标题]</w:t>
      </w:r>
    </w:p>
    <w:p>
      <w:pPr>
        <w:spacing w:before="480" w:after="240" w:line="276" w:lineRule="auto"/>
        <w:jc w:val="center"/>
      </w:pPr>
      <w:r>
        <w:rPr>
          <w:rFonts w:ascii="Times New Roman" w:hAnsi="Times New Roman" w:eastAsia="宋体"/>
          <w:b w:val="0"/>
          <w:i w:val="0"/>
          <w:color w:val="4D4D4D"/>
          <w:sz w:val="28"/>
        </w:rPr>
        <w:t>[报告副标题]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8B1A2B"/>
          <w:sz w:val="20"/>
        </w:rPr>
        <w:t>────────────────────────────────────────</w:t>
      </w:r>
    </w:p>
    <w:p>
      <w:pPr>
        <w:spacing w:before="240" w:after="120" w:line="276" w:lineRule="auto"/>
        <w:jc w:val="center"/>
      </w:pPr>
      <w:r>
        <w:rPr>
          <w:rFonts w:ascii="Times New Roman" w:hAnsi="Times New Roman" w:eastAsia="黑体"/>
          <w:b/>
          <w:i w:val="0"/>
          <w:color w:val="8B1A2B"/>
          <w:sz w:val="32"/>
        </w:rPr>
        <w:t>CITIC Securities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4D4D4D"/>
          <w:sz w:val="22"/>
        </w:rPr>
        <w:t>[日期]</w:t>
      </w:r>
    </w:p>
    <w:p>
      <w:r>
        <w:br w:type="page"/>
      </w:r>
    </w:p>
    <w:p>
      <w:pPr>
        <w:jc w:val="left"/>
      </w:pPr>
      <w:r>
        <w:rPr>
          <w:rFonts w:ascii="Times New Roman" w:hAnsi="Times New Roman" w:eastAsia="宋体"/>
          <w:b w:val="0"/>
          <w:i w:val="0"/>
          <w:color w:val="333333"/>
          <w:sz w:val="21"/>
        </w:rPr>
        <w:t>[目录 - 请在 Word 中右键更新域以生成目录]</w:t>
      </w:r>
    </w:p>
    <w:p>
      <w:r>
        <w:br w:type="page"/>
      </w:r>
    </w:p>
    <w:p>
      <w:pPr>
        <w:pStyle w:val="Heading1"/>
      </w:pPr>
      <w:r>
        <w:t>一、投资概要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本章节提供核心投资观点、评级与目标价的概要总结。</w:t>
      </w:r>
    </w:p>
    <w:p>
      <w:pPr>
        <w:pStyle w:val="Heading2"/>
      </w:pPr>
      <w:r>
        <w:t>1.1 核心观点</w:t>
      </w:r>
    </w:p>
    <w:p>
      <w:r>
        <w:rPr>
          <w:rFonts w:ascii="Times New Roman" w:hAnsi="Times New Roman" w:eastAsia="宋体"/>
          <w:b w:val="0"/>
          <w:i w:val="0"/>
          <w:sz w:val="21"/>
        </w:rPr>
        <w:t>在此处阐述核心投资逻辑与关键论点……</w:t>
      </w:r>
    </w:p>
    <w:p>
      <w:pPr>
        <w:pStyle w:val="Heading2"/>
      </w:pPr>
      <w:r>
        <w:t>1.2 估值与评级</w:t>
      </w:r>
    </w:p>
    <w:p>
      <w:r>
        <w:rPr>
          <w:rFonts w:ascii="Times New Roman" w:hAnsi="Times New Roman" w:eastAsia="宋体"/>
          <w:b w:val="0"/>
          <w:i w:val="0"/>
          <w:sz w:val="21"/>
        </w:rPr>
        <w:t>提供估值方法、目标价及投资评级……</w:t>
      </w:r>
    </w:p>
    <w:p>
      <w:pPr>
        <w:pStyle w:val="Heading1"/>
      </w:pPr>
      <w:r>
        <w:t>二、行业分析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本章节对行业趋势、竞争格局及监管环境进行分析。</w:t>
      </w:r>
    </w:p>
    <w:p>
      <w:pPr>
        <w:pStyle w:val="Heading2"/>
      </w:pPr>
      <w:r>
        <w:t>2.1 行业概览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市场规模、增长率、驱动因素……</w:t>
      </w:r>
    </w:p>
    <w:p>
      <w:pPr>
        <w:pStyle w:val="Heading3"/>
      </w:pPr>
      <w:r>
        <w:t>2.1.1 市场结构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市场份额分布、集中度分析……</w:t>
      </w:r>
    </w:p>
    <w:p>
      <w:pPr>
        <w:pStyle w:val="Heading2"/>
      </w:pPr>
      <w:r>
        <w:t>2.2 竞争格局</w:t>
      </w:r>
    </w:p>
    <w:p>
      <w:r>
        <w:rPr>
          <w:rFonts w:ascii="Times New Roman" w:hAnsi="Times New Roman" w:eastAsia="宋体"/>
          <w:b w:val="0"/>
          <w:i w:val="0"/>
          <w:sz w:val="21"/>
        </w:rPr>
        <w:t>主要参与者、竞争优势对比……</w:t>
      </w:r>
    </w:p>
    <w:p>
      <w:pPr>
        <w:pStyle w:val="Heading1"/>
      </w:pPr>
      <w:r>
        <w:t>三、公司分析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本章节对公司业务模式、财务表现及管理层进行深度分析。</w:t>
      </w:r>
    </w:p>
    <w:p>
      <w:pPr>
        <w:pStyle w:val="Heading2"/>
      </w:pPr>
      <w:r>
        <w:t>3.1 业务模式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收入结构、盈利模式、护城河……</w:t>
      </w:r>
    </w:p>
    <w:p>
      <w:pPr>
        <w:pStyle w:val="Heading2"/>
      </w:pPr>
      <w:r>
        <w:t>3.2 财务分析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收入与利润趋势、现金流分析……</w:t>
      </w:r>
    </w:p>
    <w:p>
      <w:pPr>
        <w:pStyle w:val="Heading1"/>
      </w:pPr>
      <w:r>
        <w:t>四、风险提示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本章节列示主要投资风险因素。</w:t>
      </w:r>
    </w:p>
    <w:p>
      <w:pPr>
        <w:pStyle w:val="Heading2"/>
      </w:pPr>
      <w:r>
        <w:t>4.1 宏观风险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经济周期、政策变动等系统性风险……</w:t>
      </w:r>
    </w:p>
    <w:p>
      <w:pPr>
        <w:pStyle w:val="Heading2"/>
      </w:pPr>
      <w:r>
        <w:t>4.2 公司特定风险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经营风险、管理层风险、竞争风险……</w:t>
      </w:r>
    </w:p>
    <w:p>
      <w:pPr>
        <w:pStyle w:val="Heading1"/>
      </w:pPr>
      <w:r>
        <w:t>五、免责声明</w:t>
      </w:r>
    </w:p>
    <w:p>
      <w:r>
        <w:rPr>
          <w:rFonts w:ascii="Times New Roman" w:hAnsi="Times New Roman" w:eastAsia="宋体"/>
          <w:b w:val="0"/>
          <w:i w:val="0"/>
          <w:sz w:val="21"/>
        </w:rPr>
        <w:t>本报告仅供参考，不构成投资建议。</w:t>
      </w:r>
    </w:p>
    <w:p/>
    <w:p>
      <w:pPr>
        <w:pStyle w:val="Heading2"/>
      </w:pPr>
      <w:r>
        <w:t>示例表格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078"/>
        <w:gridCol w:w="2078"/>
        <w:gridCol w:w="2078"/>
        <w:gridCol w:w="2078"/>
      </w:tblGrid>
      <w:tr>
        <w:tc>
          <w:tcPr>
            <w:tcW w:type="dxa" w:w="2078"/>
            <w:shd w:fill="8B1A2B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指标</w:t>
            </w:r>
          </w:p>
        </w:tc>
        <w:tc>
          <w:tcPr>
            <w:tcW w:type="dxa" w:w="2078"/>
            <w:shd w:fill="8B1A2B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2023A</w:t>
            </w:r>
          </w:p>
        </w:tc>
        <w:tc>
          <w:tcPr>
            <w:tcW w:type="dxa" w:w="2078"/>
            <w:shd w:fill="8B1A2B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2024E</w:t>
            </w:r>
          </w:p>
        </w:tc>
        <w:tc>
          <w:tcPr>
            <w:tcW w:type="dxa" w:w="2078"/>
            <w:shd w:fill="8B1A2B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2025E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营业收入（亿元）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120.5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135.2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152.8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净利润（亿元）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18.3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22.1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26.5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毛利率（%）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35.2%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36.8%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38.1%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ROE（%）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12.5%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14.2%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15.8%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EPS（元）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1.85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2.21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2.65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40" w:right="1797" w:bottom="1440" w:left="179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Times New Roman" w:hAnsi="Times New Roman" w:eastAsia="宋体"/>
        <w:b w:val="0"/>
        <w:i w:val="0"/>
        <w:color w:val="4D4D4D"/>
        <w:sz w:val="16"/>
      </w:rPr>
      <w:t xml:space="preserve">CITIC Securities  |  </w:t>
    </w:r>
    <w:r>
      <w:rPr>
        <w:rFonts w:ascii="Times New Roman" w:hAnsi="Times New Roman" w:eastAsia="宋体"/>
        <w:b w:val="0"/>
        <w:i w:val="0"/>
        <w:color w:val="4D4D4D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Times New Roman" w:hAnsi="Times New Roman" w:eastAsia="宋体"/>
        <w:b w:val="0"/>
        <w:i w:val="0"/>
        <w:color w:val="4D4D4D"/>
        <w:sz w:val="16"/>
      </w:rPr>
      <w:t>中信证券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0"/>
    </w:pPr>
    <w:rPr>
      <w:rFonts w:ascii="Times New Roman" w:hAnsi="Times New Roman" w:eastAsia="宋体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 w:after="120" w:line="288" w:lineRule="auto"/>
      <w:outlineLvl w:val="0"/>
    </w:pPr>
    <w:rPr>
      <w:rFonts w:asciiTheme="majorHAnsi" w:eastAsiaTheme="majorEastAsia" w:hAnsiTheme="majorHAnsi" w:cstheme="majorBidi" w:ascii="Times New Roman" w:hAnsi="Times New Roman" w:eastAsia="黑体"/>
      <w:b/>
      <w:bCs/>
      <w:color w:val="8B1A2B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 w:after="120" w:line="288" w:lineRule="auto"/>
      <w:outlineLvl w:val="1"/>
    </w:pPr>
    <w:rPr>
      <w:rFonts w:asciiTheme="majorHAnsi" w:eastAsiaTheme="majorEastAsia" w:hAnsiTheme="majorHAnsi" w:cstheme="majorBidi" w:ascii="Times New Roman" w:hAnsi="Times New Roman" w:eastAsia="黑体"/>
      <w:b/>
      <w:bCs/>
      <w:color w:val="8B1A2B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20" w:line="288" w:lineRule="auto"/>
      <w:outlineLvl w:val="2"/>
    </w:pPr>
    <w:rPr>
      <w:rFonts w:asciiTheme="majorHAnsi" w:eastAsiaTheme="majorEastAsia" w:hAnsiTheme="majorHAnsi" w:cstheme="majorBidi" w:ascii="Times New Roman" w:hAnsi="Times New Roman" w:eastAsia="黑体"/>
      <w:b/>
      <w:bCs/>
      <w:color w:val="8B1A2B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20" w:line="288" w:lineRule="auto"/>
      <w:outlineLvl w:val="3"/>
    </w:pPr>
    <w:rPr>
      <w:rFonts w:asciiTheme="majorHAnsi" w:eastAsiaTheme="majorEastAsia" w:hAnsiTheme="majorHAnsi" w:cstheme="majorBidi" w:ascii="Times New Roman" w:hAnsi="Times New Roman" w:eastAsia="黑体"/>
      <w:b/>
      <w:bCs/>
      <w:i/>
      <w:iCs/>
      <w:color w:val="8B1A2B"/>
      <w:sz w:val="2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