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002B5C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0072CE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2B5C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002B5C"/>
          <w:sz w:val="32"/>
        </w:rPr>
        <w:t>CSC Financial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72CE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0072CE"/>
        <w:sz w:val="16"/>
      </w:rPr>
      <w:t xml:space="preserve">CSC Financial  |  </w:t>
    </w:r>
    <w:r>
      <w:rPr>
        <w:rFonts w:ascii="Times New Roman" w:hAnsi="Times New Roman" w:eastAsia="宋体"/>
        <w:b w:val="0"/>
        <w:i w:val="0"/>
        <w:color w:val="0072CE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0072CE"/>
        <w:sz w:val="16"/>
      </w:rPr>
      <w:t>中信建投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002B5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002B5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002B5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002B5C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