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Calibri" w:hAnsi="Calibri"/>
          <w:b/>
          <w:color w:val="FFE600"/>
          <w:sz w:val="56"/>
        </w:rPr>
        <w:t>Ernst &amp; Young</w:t>
      </w:r>
    </w:p>
    <w:p/>
    <w:p>
      <w:pPr>
        <w:jc w:val="center"/>
      </w:pPr>
      <w:r>
        <w:rPr>
          <w:color w:val="FFF280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Calibri" w:hAnsi="Calibri"/>
          <w:color w:val="808080"/>
          <w:sz w:val="32"/>
        </w:rPr>
        <w:t>[ 报告标题 ]</w:t>
      </w:r>
    </w:p>
    <w:p/>
    <w:p/>
    <w:p>
      <w:pPr>
        <w:jc w:val="center"/>
      </w:pPr>
      <w:r>
        <w:rPr>
          <w:rFonts w:ascii="Calibri" w:hAnsi="Calibri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本报告由Ernst &amp; Young编制，旨在提供全面、深入的分析与洞察。报告基于严谨的研究方法和行业最佳实践，力求为决策者提供有价值的参考依据。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FFE60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FFE60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FFE60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FFE60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Calibri" w:hAnsi="Calibri"/>
          <w:i/>
          <w:color w:val="808080"/>
          <w:sz w:val="18"/>
        </w:rPr>
        <w:t>— Ernst &amp; Young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color w:val="808080"/>
        <w:sz w:val="16"/>
      </w:rPr>
      <w:t>Ernst &amp; Young</w:t>
    </w:r>
    <w:r>
      <w:rPr>
        <w:sz w:val="16"/>
      </w:rPr>
      <w:t xml:space="preserve">  |  </w:t>
    </w:r>
    <w:r>
      <w:rPr>
        <w:rFonts w:ascii="Calibri" w:hAnsi="Calibri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Calibri" w:hAnsi="Calibri"/>
        <w:color w:val="808080"/>
        <w:sz w:val="18"/>
      </w:rPr>
      <w:t>EY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Calibri" w:hAnsi="Calibri" w:eastAsia="SimSun"/>
      <w:color w:val="3333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Calibri" w:hAnsi="Calibri" w:eastAsia="SimHei"/>
      <w:b/>
      <w:bCs/>
      <w:color w:val="FFE600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Calibri" w:hAnsi="Calibri" w:eastAsia="SimHei"/>
      <w:b/>
      <w:bCs/>
      <w:color w:val="FFE600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Calibri" w:hAnsi="Calibri" w:eastAsia="SimHei"/>
      <w:b/>
      <w:bCs/>
      <w:color w:val="333333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Calibri" w:hAnsi="Calibri" w:eastAsia="SimHei"/>
      <w:b/>
      <w:bCs/>
      <w:i/>
      <w:iCs/>
      <w:color w:val="333333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