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4B87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63666A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4B87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4B87"/>
          <w:sz w:val="32"/>
        </w:rPr>
        <w:t>Goldman Sachs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63666A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4B87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4B87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4B87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4B87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63666A"/>
        <w:sz w:val="16"/>
      </w:rPr>
      <w:t xml:space="preserve">Goldman Sachs  |  </w:t>
    </w:r>
    <w:r>
      <w:rPr>
        <w:rFonts w:ascii="Times New Roman" w:hAnsi="Times New Roman" w:eastAsia="宋体"/>
        <w:b w:val="0"/>
        <w:i w:val="0"/>
        <w:color w:val="63666A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63666A"/>
        <w:sz w:val="16"/>
      </w:rPr>
      <w:t>Goldman Sachs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4B87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4B87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4B8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4B87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