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1B3A5C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E87722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1B3A5C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1B3A5C"/>
          <w:sz w:val="32"/>
        </w:rPr>
        <w:t>HTSC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E87722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1B3A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1B3A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1B3A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1B3A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E87722"/>
        <w:sz w:val="16"/>
      </w:rPr>
      <w:t xml:space="preserve">HTSC  |  </w:t>
    </w:r>
    <w:r>
      <w:rPr>
        <w:rFonts w:ascii="Times New Roman" w:hAnsi="Times New Roman" w:eastAsia="宋体"/>
        <w:b w:val="0"/>
        <w:i w:val="0"/>
        <w:color w:val="E87722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E87722"/>
        <w:sz w:val="16"/>
      </w:rPr>
      <w:t>华泰证券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1B3A5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1B3A5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1B3A5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1B3A5C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