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00338D"/>
          <w:sz w:val="56"/>
        </w:rPr>
        <w:t>KPMG</w:t>
      </w:r>
    </w:p>
    <w:p/>
    <w:p>
      <w:pPr>
        <w:jc w:val="center"/>
      </w:pPr>
      <w:r>
        <w:rPr>
          <w:color w:val="6D2077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00A0DC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本报告由KPMG编制，旨在提供全面、深入的分析与洞察。报告基于严谨的研究方法和行业最佳实践，力求为决策者提供有价值的参考依据。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00338D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00338D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00338D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00338D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KPMG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KPMG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00A0DC"/>
        <w:sz w:val="18"/>
      </w:rPr>
      <w:t>KPMG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00338D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00338D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00A0D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00A0DC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