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/>
    <w:p/>
    <w:p/>
    <w:p/>
    <w:p/>
    <w:p/>
    <w:p>
      <w:pPr>
        <w:jc w:val="center"/>
      </w:pPr>
      <w:r>
        <w:rPr>
          <w:rFonts w:ascii="Calibri" w:hAnsi="Calibri"/>
          <w:b/>
          <w:color w:val="003A70"/>
          <w:sz w:val="56"/>
        </w:rPr>
        <w:t>McKinsey &amp; Company</w:t>
      </w:r>
    </w:p>
    <w:p/>
    <w:p>
      <w:pPr>
        <w:jc w:val="center"/>
      </w:pPr>
      <w:r>
        <w:rPr>
          <w:color w:val="00A3E0"/>
          <w:sz w:val="20"/>
        </w:rPr>
        <w:t>────────────────────────────────────────</w:t>
      </w:r>
    </w:p>
    <w:p/>
    <w:p>
      <w:pPr>
        <w:jc w:val="center"/>
      </w:pPr>
      <w:r>
        <w:rPr>
          <w:rFonts w:ascii="Calibri" w:hAnsi="Calibri"/>
          <w:color w:val="63666A"/>
          <w:sz w:val="32"/>
        </w:rPr>
        <w:t>[ 报告标题 ]</w:t>
      </w:r>
    </w:p>
    <w:p/>
    <w:p/>
    <w:p>
      <w:pPr>
        <w:jc w:val="center"/>
      </w:pPr>
      <w:r>
        <w:rPr>
          <w:rFonts w:ascii="Calibri" w:hAnsi="Calibri"/>
          <w:color w:val="808080"/>
          <w:sz w:val="24"/>
        </w:rPr>
        <w:t>2026年7月</w:t>
      </w:r>
    </w:p>
    <w:p>
      <w:r>
        <w:br w:type="page"/>
      </w:r>
    </w:p>
    <w:p>
      <w:pPr>
        <w:pStyle w:val="Heading1"/>
      </w:pPr>
      <w:r>
        <w:t>目  录</w:t>
      </w:r>
    </w:p>
    <w:p>
      <w:r>
        <w:t>[ 请在 Word 中插入自动目录：引用 → 目录 → 自动目录 ]</w:t>
      </w:r>
    </w:p>
    <w:p>
      <w:r>
        <w:br w:type="page"/>
      </w:r>
    </w:p>
    <w:p>
      <w:pPr>
        <w:pStyle w:val="Heading1"/>
      </w:pPr>
      <w:r>
        <w:t>一、概述</w:t>
      </w:r>
    </w:p>
    <w:p>
      <w:r>
        <w:t>本报告由McKinsey &amp; Company编制，旨在提供全面、深入的分析与洞察。报告基于严谨的研究方法和行业最佳实践，力求为决策者提供有价值的参考依据。</w:t>
      </w:r>
    </w:p>
    <w:p>
      <w:r>
        <w:t>报告内容涵盖市场趋势分析、竞争格局评估、战略建议等关键领域。所有数据均经过交叉验证，确保准确性和可靠性。</w:t>
      </w:r>
    </w:p>
    <w:p>
      <w:pPr>
        <w:pStyle w:val="Heading2"/>
      </w:pPr>
      <w:r>
        <w:t>1.1 研究背景</w:t>
      </w:r>
    </w:p>
    <w:p>
      <w:r>
        <w:t>随着全球经济格局的深刻变化，各行业面临着前所未有的机遇与挑战。在此背景下，系统性的行业研究显得尤为重要。本研究采用定性与定量相结合的方法，对目标领域进行了全方位的扫描与分析。</w:t>
      </w:r>
    </w:p>
    <w:p>
      <w:pPr>
        <w:pStyle w:val="Heading3"/>
      </w:pPr>
      <w:r>
        <w:t>1.1.1 宏观经济环境</w:t>
      </w:r>
    </w:p>
    <w:p>
      <w:r>
        <w:t>2026年上半年，全球主要经济体呈现出分化复苏的态势。亚太地区继续保持增长引擎地位，新兴市场展现出强劲韧性。</w:t>
      </w:r>
    </w:p>
    <w:p>
      <w:pPr>
        <w:pStyle w:val="Heading4"/>
      </w:pPr>
      <w:r>
        <w:t>1.1.1.1 关键指标</w:t>
      </w:r>
    </w:p>
    <w:p>
      <w:r>
        <w:t>GDP增长率、CPI指数、PMI采购经理人指数等核心指标显示，经济基本面总体稳定，但结构性调整压力依然存在。</w:t>
      </w:r>
    </w:p>
    <w:p>
      <w:pPr>
        <w:pStyle w:val="Heading1"/>
      </w:pPr>
      <w:r>
        <w:t>二、市场分析</w:t>
      </w:r>
    </w:p>
    <w:p>
      <w:r>
        <w:t>本章对目标市场进行了深入分析，涵盖了市场规模、增长趋势和竞争格局等关键维度。</w:t>
      </w:r>
    </w:p>
    <w:p>
      <w:pPr>
        <w:pStyle w:val="Heading2"/>
      </w:pPr>
      <w:r>
        <w:t>2.1 市场规模与增长</w:t>
      </w:r>
    </w:p>
    <w:p>
      <w:r>
        <w:t>根据最新统计数据，2025年全球市场规模达到约X万亿美元，预计2026-2030年复合年增长率（CAGR）为X.X%。增长主要受以下因素驱动：数字化转型加速、新兴市场需求增长、技术创新迭代。</w:t>
      </w:r>
    </w:p>
    <w:p>
      <w:pPr>
        <w:pStyle w:val="Heading2"/>
      </w:pPr>
      <w:r>
        <w:t>2.2 竞争格局</w:t>
      </w:r>
    </w:p>
    <w:p>
      <w:r>
        <w:t>行业竞争格局呈现以下特征：头部企业集中度提升、跨界竞争者增多、技术壁垒持续抬高。</w:t>
      </w:r>
    </w:p>
    <w:p>
      <w:pPr>
        <w:pStyle w:val="Heading2"/>
      </w:pPr>
      <w:r>
        <w:t>2.3 关键数据对比</w:t>
      </w:r>
    </w:p>
    <w:tbl>
      <w:tblPr>
        <w:tblStyle w:val="TableGrid"/>
        <w:tblW w:type="auto" w:w="0"/>
        <w:jc w:val="center"/>
        <w:tblLook w:firstColumn="1" w:firstRow="1" w:lastColumn="0" w:lastRow="0" w:noHBand="0" w:noVBand="1" w:val="04A0"/>
      </w:tblPr>
      <w:tblGrid>
        <w:gridCol w:w="2126"/>
        <w:gridCol w:w="2126"/>
        <w:gridCol w:w="2126"/>
        <w:gridCol w:w="2126"/>
      </w:tblGrid>
      <w:tr>
        <w:tc>
          <w:tcPr>
            <w:tcW w:type="dxa" w:w="2126"/>
            <w:shd w:fill="003A70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指标</w:t>
            </w:r>
          </w:p>
        </w:tc>
        <w:tc>
          <w:tcPr>
            <w:tcW w:type="dxa" w:w="2126"/>
            <w:shd w:fill="003A70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2024年</w:t>
            </w:r>
          </w:p>
        </w:tc>
        <w:tc>
          <w:tcPr>
            <w:tcW w:type="dxa" w:w="2126"/>
            <w:shd w:fill="003A70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2025年</w:t>
            </w:r>
          </w:p>
        </w:tc>
        <w:tc>
          <w:tcPr>
            <w:tcW w:type="dxa" w:w="2126"/>
            <w:shd w:fill="003A70" w:val="clear"/>
          </w:tcPr>
          <w:p>
            <w:pPr>
              <w:jc w:val="center"/>
            </w:pPr>
            <w:r/>
            <w:r>
              <w:rPr>
                <w:rFonts w:ascii="Calibri" w:hAnsi="Calibri"/>
                <w:b/>
                <w:color w:val="FFFFFF"/>
                <w:sz w:val="18"/>
              </w:rPr>
              <w:t>2026E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市场规模 (亿元)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1,200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1,450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1,680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增长率 (%)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8.5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12.1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15.9</w:t>
            </w:r>
          </w:p>
        </w:tc>
      </w:tr>
      <w:tr>
        <w:tc>
          <w:tcPr>
            <w:tcW w:type="dxa" w:w="2126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CR5 集中度 (%)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42.0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45.3</w:t>
            </w:r>
          </w:p>
        </w:tc>
        <w:tc>
          <w:tcPr>
            <w:tcW w:type="dxa" w:w="2126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48.0</w:t>
            </w:r>
          </w:p>
        </w:tc>
      </w:tr>
      <w:tr>
        <w:tc>
          <w:tcPr>
            <w:tcW w:type="dxa" w:w="2126"/>
            <w:shd w:fill="F2F2F2" w:val="clear"/>
          </w:tcPr>
          <w:p>
            <w:pPr>
              <w:jc w:val="left"/>
            </w:pPr>
            <w:r/>
            <w:r>
              <w:rPr>
                <w:rFonts w:ascii="Calibri" w:hAnsi="Calibri"/>
                <w:b/>
                <w:sz w:val="18"/>
              </w:rPr>
              <w:t>企业数量 (家)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850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920</w:t>
            </w:r>
          </w:p>
        </w:tc>
        <w:tc>
          <w:tcPr>
            <w:tcW w:type="dxa" w:w="2126"/>
            <w:shd w:fill="F2F2F2" w:val="clear"/>
          </w:tcPr>
          <w:p>
            <w:pPr>
              <w:jc w:val="center"/>
            </w:pPr>
            <w:r/>
            <w:r>
              <w:rPr>
                <w:rFonts w:ascii="Calibri" w:hAnsi="Calibri"/>
                <w:sz w:val="18"/>
              </w:rPr>
              <w:t>980</w:t>
            </w:r>
          </w:p>
        </w:tc>
      </w:tr>
    </w:tbl>
    <w:p/>
    <w:p>
      <w:pPr>
        <w:pStyle w:val="Heading1"/>
      </w:pPr>
      <w:r>
        <w:t>三、结论与建议</w:t>
      </w:r>
    </w:p>
    <w:p>
      <w:r>
        <w:t>基于以上分析，本研究提出以下核心结论与战略建议。各项建议均经过可行性评估，并配有对应的实施路径规划。</w:t>
      </w:r>
    </w:p>
    <w:p>
      <w:r>
        <w:t>1. 市场集中度持续提升，头部企业应巩固领先优势，通过技术创新和生态建设构建护城河。</w:t>
      </w:r>
    </w:p>
    <w:p>
      <w:r>
        <w:t>2. 数字化转型是确定性趋势，建议企业加大技术投入，重点布局AI和大数据领域。</w:t>
      </w:r>
    </w:p>
    <w:p>
      <w:r>
        <w:t>3. 新兴市场蕴含巨大增长潜力，建议制定差异化的区域拓展策略。</w:t>
      </w:r>
    </w:p>
    <w:p>
      <w:r>
        <w:t>4. 人才竞争将成为下一阶段的关键变量，企业需建立完善的人才吸引和保留机制。</w:t>
      </w:r>
    </w:p>
    <w:p/>
    <w:p/>
    <w:p>
      <w:pPr>
        <w:jc w:val="center"/>
      </w:pPr>
      <w:r>
        <w:rPr>
          <w:rFonts w:ascii="Calibri" w:hAnsi="Calibri"/>
          <w:i/>
          <w:color w:val="808080"/>
          <w:sz w:val="18"/>
        </w:rPr>
        <w:t>— McKinsey &amp; Company · 报告模板 · 2026 —</w:t>
      </w:r>
    </w:p>
    <w:sectPr w:rsidR="00FC693F" w:rsidRPr="0006063C" w:rsidSect="00034616">
      <w:headerReference w:type="default" r:id="rId9"/>
      <w:footerReference w:type="default" r:id="rId10"/>
      <w:pgSz w:w="11906" w:h="16838"/>
      <w:pgMar w:top="1417" w:right="1701" w:bottom="1417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jc w:val="center"/>
    </w:pPr>
    <w:r>
      <w:rPr>
        <w:rFonts w:ascii="Calibri" w:hAnsi="Calibri"/>
        <w:color w:val="808080"/>
        <w:sz w:val="16"/>
      </w:rPr>
      <w:t>McKinsey &amp; Company</w:t>
    </w:r>
    <w:r>
      <w:rPr>
        <w:sz w:val="16"/>
      </w:rPr>
      <w:t xml:space="preserve">  |  </w:t>
    </w:r>
    <w:r>
      <w:rPr>
        <w:rFonts w:ascii="Calibri" w:hAnsi="Calibri"/>
        <w:sz w:val="16"/>
      </w:rPr>
      <w:fldChar w:fldCharType="begin"/>
      <w:instrText xml:space="preserve"> PAGE </w:instrText>
      <w:fldChar w:fldCharType="end"/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  <w:jc w:val="right"/>
    </w:pPr>
    <w:r>
      <w:rPr>
        <w:rFonts w:ascii="Calibri" w:hAnsi="Calibri"/>
        <w:color w:val="63666A"/>
        <w:sz w:val="18"/>
      </w:rPr>
      <w:t>McKinsey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324" w:lineRule="auto"/>
    </w:pPr>
    <w:rPr>
      <w:rFonts w:ascii="Calibri" w:hAnsi="Calibri" w:eastAsia="SimSun"/>
      <w:color w:val="333333"/>
      <w:sz w:val="22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360" w:after="160"/>
      <w:outlineLvl w:val="0"/>
    </w:pPr>
    <w:rPr>
      <w:rFonts w:asciiTheme="majorHAnsi" w:eastAsiaTheme="majorEastAsia" w:hAnsiTheme="majorHAnsi" w:cstheme="majorBidi" w:ascii="Calibri" w:hAnsi="Calibri" w:eastAsia="SimHei"/>
      <w:b/>
      <w:bCs/>
      <w:color w:val="003A70"/>
      <w:sz w:val="36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360" w:after="160"/>
      <w:outlineLvl w:val="1"/>
    </w:pPr>
    <w:rPr>
      <w:rFonts w:asciiTheme="majorHAnsi" w:eastAsiaTheme="majorEastAsia" w:hAnsiTheme="majorHAnsi" w:cstheme="majorBidi" w:ascii="Calibri" w:hAnsi="Calibri" w:eastAsia="SimHei"/>
      <w:b/>
      <w:bCs/>
      <w:color w:val="003A70"/>
      <w:sz w:val="30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40" w:after="160"/>
      <w:outlineLvl w:val="2"/>
    </w:pPr>
    <w:rPr>
      <w:rFonts w:asciiTheme="majorHAnsi" w:eastAsiaTheme="majorEastAsia" w:hAnsiTheme="majorHAnsi" w:cstheme="majorBidi" w:ascii="Calibri" w:hAnsi="Calibri" w:eastAsia="SimHei"/>
      <w:b/>
      <w:bCs/>
      <w:color w:val="63666A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40" w:after="160"/>
      <w:outlineLvl w:val="3"/>
    </w:pPr>
    <w:rPr>
      <w:rFonts w:asciiTheme="majorHAnsi" w:eastAsiaTheme="majorEastAsia" w:hAnsiTheme="majorHAnsi" w:cstheme="majorBidi" w:ascii="Calibri" w:hAnsi="Calibri" w:eastAsia="SimHei"/>
      <w:b/>
      <w:bCs/>
      <w:i/>
      <w:iCs/>
      <w:color w:val="63666A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