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D036" w14:textId="77777777" w:rsidR="00E7620B" w:rsidRPr="002006E1" w:rsidRDefault="00E7620B">
      <w:pPr>
        <w:rPr>
          <w:rFonts w:ascii="Times New Roman" w:hAnsi="Times New Roman" w:cs="Times New Roman"/>
          <w:sz w:val="24"/>
          <w:szCs w:val="24"/>
        </w:rPr>
      </w:pPr>
    </w:p>
    <w:p w14:paraId="092D6B35" w14:textId="77777777" w:rsidR="00E7620B" w:rsidRPr="002006E1" w:rsidRDefault="00E7620B">
      <w:pPr>
        <w:rPr>
          <w:rFonts w:ascii="Times New Roman" w:hAnsi="Times New Roman" w:cs="Times New Roman"/>
          <w:sz w:val="24"/>
          <w:szCs w:val="24"/>
        </w:rPr>
      </w:pPr>
    </w:p>
    <w:p w14:paraId="2E767D96" w14:textId="77777777" w:rsidR="00E7620B" w:rsidRPr="002006E1" w:rsidRDefault="00E7620B">
      <w:pPr>
        <w:rPr>
          <w:rFonts w:ascii="Times New Roman" w:hAnsi="Times New Roman" w:cs="Times New Roman"/>
          <w:sz w:val="24"/>
          <w:szCs w:val="24"/>
        </w:rPr>
      </w:pPr>
    </w:p>
    <w:p w14:paraId="12BCB937" w14:textId="77777777" w:rsidR="00E7620B" w:rsidRPr="002006E1" w:rsidRDefault="00E7620B">
      <w:pPr>
        <w:rPr>
          <w:rFonts w:ascii="Times New Roman" w:hAnsi="Times New Roman" w:cs="Times New Roman"/>
          <w:sz w:val="24"/>
          <w:szCs w:val="24"/>
        </w:rPr>
      </w:pPr>
    </w:p>
    <w:p w14:paraId="6D1A1EA9" w14:textId="77777777" w:rsidR="00E7620B" w:rsidRPr="002006E1" w:rsidRDefault="00E7620B">
      <w:pPr>
        <w:rPr>
          <w:rFonts w:ascii="Times New Roman" w:hAnsi="Times New Roman" w:cs="Times New Roman"/>
          <w:sz w:val="24"/>
          <w:szCs w:val="24"/>
        </w:rPr>
      </w:pPr>
    </w:p>
    <w:p w14:paraId="1E1735A1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Predictive Model Development &amp; Validation Pack</w:t>
      </w:r>
    </w:p>
    <w:p w14:paraId="7B711B41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Referral No-Show Risk Model for Jigjiga University Sheikh Hassan Yabare</w:t>
      </w:r>
      <w:r w:rsidRPr="002006E1">
        <w:rPr>
          <w:rFonts w:ascii="Times New Roman" w:hAnsi="Times New Roman" w:cs="Times New Roman"/>
          <w:sz w:val="24"/>
          <w:szCs w:val="24"/>
        </w:rPr>
        <w:br/>
        <w:t>Comprehensive Specialized Hospital (JJUSHYCSH) — Sprint 2 of 3</w:t>
      </w:r>
    </w:p>
    <w:p w14:paraId="3D2F8E8A" w14:textId="77777777" w:rsidR="00E7620B" w:rsidRPr="002006E1" w:rsidRDefault="00E7620B">
      <w:pPr>
        <w:rPr>
          <w:rFonts w:ascii="Times New Roman" w:hAnsi="Times New Roman" w:cs="Times New Roman"/>
          <w:sz w:val="24"/>
          <w:szCs w:val="24"/>
        </w:rPr>
      </w:pPr>
    </w:p>
    <w:p w14:paraId="647C1CC5" w14:textId="16472C98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 xml:space="preserve">BAN6800 Business Analytics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Capstone  Module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4 Assignment</w:t>
      </w:r>
    </w:p>
    <w:p w14:paraId="0868AD34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Abdi Farah Ahmed</w:t>
      </w:r>
    </w:p>
    <w:p w14:paraId="32C94C21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Nexford University</w:t>
      </w:r>
    </w:p>
    <w:p w14:paraId="6F7A5637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October 2026</w:t>
      </w:r>
    </w:p>
    <w:p w14:paraId="434A8014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br w:type="page"/>
      </w:r>
    </w:p>
    <w:p w14:paraId="1C206219" w14:textId="77777777" w:rsidR="00E7620B" w:rsidRPr="002006E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lastRenderedPageBreak/>
        <w:t>1. Business Need and Target Definition</w:t>
      </w:r>
    </w:p>
    <w:p w14:paraId="216022F7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 xml:space="preserve">JJUSHYCSH is the only tertiary referral hospital for Ethiopia's Somali Region, serving six to seven million largely rural and pastoralist people (CURE Ethiopia, 2023); a missed follow-up delays care and wastes a specialist slot someone else travelled far for. The Module 1 Vision Document (Ahmed, 2026a) set two KPIs, at least 15% fewer no-shows and at least 70% recall of high-risk appointments, so that limited SMS, phone and community-health-worker capacity is targeted. Module 2 (Ahmed, 2026b) planned the architecture and four sprints; Module 3 delivered Sprint 1, the governed data pipeline. This report is Sprint 2: the model, its validation and its explanation, built on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the Module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3 data.</w:t>
      </w:r>
    </w:p>
    <w:p w14:paraId="6972A975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The task is binary classification. The unit of analysis is one scheduled appointment; the target no_show equals 1 when the patient did not attend (Module 3 data dictionary). The prediction horizon is 24 to 72 hours before the appointment, matching Module 3's daily 18:00 pipeline run. Success criteria from Module 1: (1) recall of at least 70% on no-shows at the High-tier threshold; (2) a gain of at least 0.02 ROC-AUC over a transparent lead-time rule; (3) no protected group outside the fairness tolerance below.</w:t>
      </w:r>
    </w:p>
    <w:p w14:paraId="6EDBDF05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Fairness objectives come from Module 2, Section 6: because the intervention is outreach and, by the Module 1 charter, a score can never reduce care, the governing criterion is equal opportunity, with a release threshold of a true-positive-rate gap no greater than 0.1 across monitored groups (Hardt et al., 2016). False-positive-rate gaps (equalized odds) and selection-rate ratios (four-fifths rule, disparate impact ≥ 0.8; Feldman et al., 2015) are diagnostics, which Module 2 says are not sufficient evidence of fairness alone. The protected attributes are the four groups the Module 3 bias suite monitors: gender, age band (0-5, 6-17, 18-34, 35-54, 55-69, 70+), welfare enrolment as a socioeconomic marker, and recorded disability; distance bands follow once local data are approved.</w:t>
      </w:r>
    </w:p>
    <w:p w14:paraId="0407B22A" w14:textId="77777777" w:rsidR="00E7620B" w:rsidRPr="002006E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2. Data Readiness and Feature Set</w:t>
      </w:r>
    </w:p>
    <w:p w14:paraId="364AA5BD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The modelling dataset is the pseudonymised model table published by the Module 3 pipeline (ingest → validate → clean → anonymise → features → validate → publish) from the Kaggle Medical Appointment No Shows data (Hoppen, 2016), a disclosed proxy for JJUSHYCSH records. Module 3's quality report shows 110,527 records received and 109,899 model-ready rows after cleaning; the split files hold 77,155 training, 16,245 validation and 16,499 test appointments (2016-04-29 to 2016-06-08). The MD5 hash of the input files (8b87e2989f1b…) is tagged on every MLflow run, so each result traces to the exact Module 3 output; no model saw data that bypassed the Module 3 gates.</w:t>
      </w:r>
    </w:p>
    <w:p w14:paraId="68C50B24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 xml:space="preserve">Features reuse the Module 3 definitions rather than re-deriving them: lead time in days, same-day flag, weekday, chronic-condition count, and the leakage-safe history (prior visits, prior no-shows, prior no-show rate, first-visit flag) that Module 3 computes only from earlier visits. Inside the scikit-learn pipeline (Pedregosa et al., 2011) numeric features are standardised and the weekday one-hot encoded, both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fitted on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training folds only.</w:t>
      </w:r>
    </w:p>
    <w:p w14:paraId="6A4948DB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lastRenderedPageBreak/>
        <w:t>Table 1. Final feature set and preprocessing.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2592"/>
        <w:gridCol w:w="2592"/>
      </w:tblGrid>
      <w:tr w:rsidR="00E7620B" w:rsidRPr="002006E1" w14:paraId="60A43C6D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187CDF2A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Feature (Module 3 name)</w:t>
            </w:r>
          </w:p>
        </w:tc>
        <w:tc>
          <w:tcPr>
            <w:tcW w:w="2592" w:type="dxa"/>
          </w:tcPr>
          <w:p w14:paraId="098A0D6D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592" w:type="dxa"/>
          </w:tcPr>
          <w:p w14:paraId="1031C6CC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Treatment</w:t>
            </w:r>
          </w:p>
        </w:tc>
      </w:tr>
      <w:tr w:rsidR="00E7620B" w:rsidRPr="002006E1" w14:paraId="73070BB3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17AF03E8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2592" w:type="dxa"/>
          </w:tcPr>
          <w:p w14:paraId="30359ABF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2592" w:type="dxa"/>
          </w:tcPr>
          <w:p w14:paraId="137E657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standardised (top-coded at 90 in Module 3)</w:t>
            </w:r>
          </w:p>
        </w:tc>
      </w:tr>
      <w:tr w:rsidR="00E7620B" w:rsidRPr="002006E1" w14:paraId="14D091C7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7058B5D4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lead_days</w:t>
            </w:r>
          </w:p>
        </w:tc>
        <w:tc>
          <w:tcPr>
            <w:tcW w:w="2592" w:type="dxa"/>
          </w:tcPr>
          <w:p w14:paraId="1644841F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numeric (derived)</w:t>
            </w:r>
          </w:p>
        </w:tc>
        <w:tc>
          <w:tcPr>
            <w:tcW w:w="2592" w:type="dxa"/>
          </w:tcPr>
          <w:p w14:paraId="5D8D67B6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standardised</w:t>
            </w:r>
          </w:p>
        </w:tc>
      </w:tr>
      <w:tr w:rsidR="00E7620B" w:rsidRPr="002006E1" w14:paraId="32CAE24C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20753EE9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prior_visits, prior_no_shows, prior_no_show_rate</w:t>
            </w:r>
          </w:p>
        </w:tc>
        <w:tc>
          <w:tcPr>
            <w:tcW w:w="2592" w:type="dxa"/>
          </w:tcPr>
          <w:p w14:paraId="4CFB2C49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numeric (history, past-only)</w:t>
            </w:r>
          </w:p>
        </w:tc>
        <w:tc>
          <w:tcPr>
            <w:tcW w:w="2592" w:type="dxa"/>
          </w:tcPr>
          <w:p w14:paraId="5ADEDCD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standardised</w:t>
            </w:r>
          </w:p>
        </w:tc>
      </w:tr>
      <w:tr w:rsidR="00E7620B" w:rsidRPr="002006E1" w14:paraId="1DA3901C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2C584E4F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chronic_count</w:t>
            </w:r>
          </w:p>
        </w:tc>
        <w:tc>
          <w:tcPr>
            <w:tcW w:w="2592" w:type="dxa"/>
          </w:tcPr>
          <w:p w14:paraId="52C0F83A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numeric (derived)</w:t>
            </w:r>
          </w:p>
        </w:tc>
        <w:tc>
          <w:tcPr>
            <w:tcW w:w="2592" w:type="dxa"/>
          </w:tcPr>
          <w:p w14:paraId="4FFFA681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standardised</w:t>
            </w:r>
          </w:p>
        </w:tc>
      </w:tr>
      <w:tr w:rsidR="00E7620B" w:rsidRPr="002006E1" w14:paraId="1F336E4C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26DC5592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scholarship, hypertension, diabetes</w:t>
            </w:r>
          </w:p>
        </w:tc>
        <w:tc>
          <w:tcPr>
            <w:tcW w:w="2592" w:type="dxa"/>
          </w:tcPr>
          <w:p w14:paraId="6DCB7BE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</w:p>
        </w:tc>
        <w:tc>
          <w:tcPr>
            <w:tcW w:w="2592" w:type="dxa"/>
          </w:tcPr>
          <w:p w14:paraId="325C6FA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passthrough</w:t>
            </w:r>
          </w:p>
        </w:tc>
      </w:tr>
      <w:tr w:rsidR="00E7620B" w:rsidRPr="002006E1" w14:paraId="564566A2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131B284A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same_day, first_visit</w:t>
            </w:r>
          </w:p>
        </w:tc>
        <w:tc>
          <w:tcPr>
            <w:tcW w:w="2592" w:type="dxa"/>
          </w:tcPr>
          <w:p w14:paraId="13E547B9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binary (derived)</w:t>
            </w:r>
          </w:p>
        </w:tc>
        <w:tc>
          <w:tcPr>
            <w:tcW w:w="2592" w:type="dxa"/>
          </w:tcPr>
          <w:p w14:paraId="5DFD3775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passthrough</w:t>
            </w:r>
          </w:p>
        </w:tc>
      </w:tr>
      <w:tr w:rsidR="00E7620B" w:rsidRPr="002006E1" w14:paraId="446C3D4C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3F7F3A9B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appt_weekday</w:t>
            </w:r>
          </w:p>
        </w:tc>
        <w:tc>
          <w:tcPr>
            <w:tcW w:w="2592" w:type="dxa"/>
          </w:tcPr>
          <w:p w14:paraId="0EF8196A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categorical (derived)</w:t>
            </w:r>
          </w:p>
        </w:tc>
        <w:tc>
          <w:tcPr>
            <w:tcW w:w="2592" w:type="dxa"/>
          </w:tcPr>
          <w:p w14:paraId="5EF3A77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one-hot</w:t>
            </w:r>
          </w:p>
        </w:tc>
      </w:tr>
    </w:tbl>
    <w:p w14:paraId="077867E0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3135B8FE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Four exclusions prevent leakage or unfairness: sms_received, because the SMS is the intervention the model targets and encodes scheduling policy rather than risk; area_code, so geography cannot become a penalty (the first Module 1 risk); gender, audit-only with no outreach rationale; and appt_month, a calendar proxy in six weeks of data.</w:t>
      </w:r>
    </w:p>
    <w:p w14:paraId="7506C016" w14:textId="029B02BD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 xml:space="preserve">The Module 2 data dictionary marked Alcoholism and Handcap for a necessity review and Module 3 handed them over as an open item. The review is a data-minimisation test under Proclamation No. 1321/2024: a gradient-boosting model was cross-validated with and without each flag (Table 2). removing alcoholism changed cross-validated PR-AUC by +0.0006, so it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is dropped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as an input and kept for the fairness audit only; removing has_disability changed cross-validated PR-AUC by -0.0013, so it is dropped as an input and kept for the fairness audit only. As chronic_count in Module 3 sums hypertension, diabetes and alcoholism, the count was rebuilt without </w:t>
      </w:r>
      <w:r w:rsidR="002006E1" w:rsidRPr="002006E1">
        <w:rPr>
          <w:rFonts w:ascii="Times New Roman" w:hAnsi="Times New Roman" w:cs="Times New Roman"/>
          <w:sz w:val="24"/>
          <w:szCs w:val="24"/>
        </w:rPr>
        <w:t>alcoholism,</w:t>
      </w:r>
      <w:r w:rsidRPr="002006E1">
        <w:rPr>
          <w:rFonts w:ascii="Times New Roman" w:hAnsi="Times New Roman" w:cs="Times New Roman"/>
          <w:sz w:val="24"/>
          <w:szCs w:val="24"/>
        </w:rPr>
        <w:t xml:space="preserve"> so the dropped flag does not survive inside another feature.</w:t>
      </w:r>
    </w:p>
    <w:p w14:paraId="1F0407B3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Table 2. Necessity review of sensitive health flags (tolerance 0.005 PR-AUC).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728"/>
        <w:gridCol w:w="1872"/>
        <w:gridCol w:w="1152"/>
        <w:gridCol w:w="2880"/>
      </w:tblGrid>
      <w:tr w:rsidR="00E7620B" w:rsidRPr="002006E1" w14:paraId="213CB32D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8A833AB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Sensitive flag</w:t>
            </w:r>
          </w:p>
        </w:tc>
        <w:tc>
          <w:tcPr>
            <w:tcW w:w="1728" w:type="dxa"/>
          </w:tcPr>
          <w:p w14:paraId="67D3188F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CV PR-AUC with</w:t>
            </w:r>
          </w:p>
        </w:tc>
        <w:tc>
          <w:tcPr>
            <w:tcW w:w="1872" w:type="dxa"/>
          </w:tcPr>
          <w:p w14:paraId="28622674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CV PR-AUC without</w:t>
            </w:r>
          </w:p>
        </w:tc>
        <w:tc>
          <w:tcPr>
            <w:tcW w:w="1152" w:type="dxa"/>
          </w:tcPr>
          <w:p w14:paraId="5869F752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Δ</w:t>
            </w:r>
          </w:p>
        </w:tc>
        <w:tc>
          <w:tcPr>
            <w:tcW w:w="2880" w:type="dxa"/>
          </w:tcPr>
          <w:p w14:paraId="7441F40E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</w:p>
        </w:tc>
      </w:tr>
      <w:tr w:rsidR="00E7620B" w:rsidRPr="002006E1" w14:paraId="2C0E4FB2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0B28304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alcoholism</w:t>
            </w:r>
          </w:p>
        </w:tc>
        <w:tc>
          <w:tcPr>
            <w:tcW w:w="1728" w:type="dxa"/>
          </w:tcPr>
          <w:p w14:paraId="4B58F6BC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0.381</w:t>
            </w:r>
          </w:p>
        </w:tc>
        <w:tc>
          <w:tcPr>
            <w:tcW w:w="1872" w:type="dxa"/>
          </w:tcPr>
          <w:p w14:paraId="2EFE72AC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0.380</w:t>
            </w:r>
          </w:p>
        </w:tc>
        <w:tc>
          <w:tcPr>
            <w:tcW w:w="1152" w:type="dxa"/>
          </w:tcPr>
          <w:p w14:paraId="72820B4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+0.0006</w:t>
            </w:r>
          </w:p>
        </w:tc>
        <w:tc>
          <w:tcPr>
            <w:tcW w:w="2880" w:type="dxa"/>
          </w:tcPr>
          <w:p w14:paraId="01F8422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drop as input (audit only)</w:t>
            </w:r>
          </w:p>
        </w:tc>
      </w:tr>
      <w:tr w:rsidR="00E7620B" w:rsidRPr="002006E1" w14:paraId="67596652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C1439BB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has_disability</w:t>
            </w:r>
          </w:p>
        </w:tc>
        <w:tc>
          <w:tcPr>
            <w:tcW w:w="1728" w:type="dxa"/>
          </w:tcPr>
          <w:p w14:paraId="6EF79226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0.381</w:t>
            </w:r>
          </w:p>
        </w:tc>
        <w:tc>
          <w:tcPr>
            <w:tcW w:w="1872" w:type="dxa"/>
          </w:tcPr>
          <w:p w14:paraId="2AAEA621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0.382</w:t>
            </w:r>
          </w:p>
        </w:tc>
        <w:tc>
          <w:tcPr>
            <w:tcW w:w="1152" w:type="dxa"/>
          </w:tcPr>
          <w:p w14:paraId="0928103D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-0.0013</w:t>
            </w:r>
          </w:p>
        </w:tc>
        <w:tc>
          <w:tcPr>
            <w:tcW w:w="2880" w:type="dxa"/>
          </w:tcPr>
          <w:p w14:paraId="6103BC3D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drop as input (audit only)</w:t>
            </w:r>
          </w:p>
        </w:tc>
      </w:tr>
    </w:tbl>
    <w:p w14:paraId="6BB742C9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708A018B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Table 3. Data bias check on the training split (continuation of the Module 3 bias suite).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728"/>
        <w:gridCol w:w="2592"/>
        <w:gridCol w:w="2160"/>
      </w:tblGrid>
      <w:tr w:rsidR="00E7620B" w:rsidRPr="002006E1" w14:paraId="2F7505AC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6A1A51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Attribute</w:t>
            </w:r>
          </w:p>
        </w:tc>
        <w:tc>
          <w:tcPr>
            <w:tcW w:w="1728" w:type="dxa"/>
          </w:tcPr>
          <w:p w14:paraId="76809A1F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2592" w:type="dxa"/>
          </w:tcPr>
          <w:p w14:paraId="3EA58B7A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Share of training split</w:t>
            </w:r>
          </w:p>
        </w:tc>
        <w:tc>
          <w:tcPr>
            <w:tcW w:w="2160" w:type="dxa"/>
          </w:tcPr>
          <w:p w14:paraId="6FE496AB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No-show rate</w:t>
            </w:r>
          </w:p>
        </w:tc>
      </w:tr>
      <w:tr w:rsidR="00E7620B" w:rsidRPr="002006E1" w14:paraId="004DAE5E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677286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728" w:type="dxa"/>
          </w:tcPr>
          <w:p w14:paraId="16A14CC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592" w:type="dxa"/>
          </w:tcPr>
          <w:p w14:paraId="450A6C4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65.0%</w:t>
            </w:r>
          </w:p>
        </w:tc>
        <w:tc>
          <w:tcPr>
            <w:tcW w:w="2160" w:type="dxa"/>
          </w:tcPr>
          <w:p w14:paraId="3BE94D7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20.2%</w:t>
            </w:r>
          </w:p>
        </w:tc>
      </w:tr>
      <w:tr w:rsidR="00E7620B" w:rsidRPr="002006E1" w14:paraId="714724E4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270159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728" w:type="dxa"/>
          </w:tcPr>
          <w:p w14:paraId="566B8BD3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592" w:type="dxa"/>
          </w:tcPr>
          <w:p w14:paraId="76DFF35E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35.0%</w:t>
            </w:r>
          </w:p>
        </w:tc>
        <w:tc>
          <w:tcPr>
            <w:tcW w:w="2160" w:type="dxa"/>
          </w:tcPr>
          <w:p w14:paraId="08885590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19.7%</w:t>
            </w:r>
          </w:p>
        </w:tc>
      </w:tr>
      <w:tr w:rsidR="00E7620B" w:rsidRPr="002006E1" w14:paraId="53501948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5F25C7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age_band</w:t>
            </w:r>
          </w:p>
        </w:tc>
        <w:tc>
          <w:tcPr>
            <w:tcW w:w="1728" w:type="dxa"/>
          </w:tcPr>
          <w:p w14:paraId="4A39334F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0-5</w:t>
            </w:r>
          </w:p>
        </w:tc>
        <w:tc>
          <w:tcPr>
            <w:tcW w:w="2592" w:type="dxa"/>
          </w:tcPr>
          <w:p w14:paraId="0F724CBF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10.7%</w:t>
            </w:r>
          </w:p>
        </w:tc>
        <w:tc>
          <w:tcPr>
            <w:tcW w:w="2160" w:type="dxa"/>
          </w:tcPr>
          <w:p w14:paraId="2EF6F635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18.5%</w:t>
            </w:r>
          </w:p>
        </w:tc>
      </w:tr>
      <w:tr w:rsidR="00E7620B" w:rsidRPr="002006E1" w14:paraId="36C67AF7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E6CAAE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age_band</w:t>
            </w:r>
          </w:p>
        </w:tc>
        <w:tc>
          <w:tcPr>
            <w:tcW w:w="1728" w:type="dxa"/>
          </w:tcPr>
          <w:p w14:paraId="2AFA41CA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18-34</w:t>
            </w:r>
          </w:p>
        </w:tc>
        <w:tc>
          <w:tcPr>
            <w:tcW w:w="2592" w:type="dxa"/>
          </w:tcPr>
          <w:p w14:paraId="5DBAAE49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21.8%</w:t>
            </w:r>
          </w:p>
        </w:tc>
        <w:tc>
          <w:tcPr>
            <w:tcW w:w="2160" w:type="dxa"/>
          </w:tcPr>
          <w:p w14:paraId="5DBD006F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24.0%</w:t>
            </w:r>
          </w:p>
        </w:tc>
      </w:tr>
      <w:tr w:rsidR="00E7620B" w:rsidRPr="002006E1" w14:paraId="4CBCDB25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682AFF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age_band</w:t>
            </w:r>
          </w:p>
        </w:tc>
        <w:tc>
          <w:tcPr>
            <w:tcW w:w="1728" w:type="dxa"/>
          </w:tcPr>
          <w:p w14:paraId="72466D99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35-54</w:t>
            </w:r>
          </w:p>
        </w:tc>
        <w:tc>
          <w:tcPr>
            <w:tcW w:w="2592" w:type="dxa"/>
          </w:tcPr>
          <w:p w14:paraId="12E77541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27.1%</w:t>
            </w:r>
          </w:p>
        </w:tc>
        <w:tc>
          <w:tcPr>
            <w:tcW w:w="2160" w:type="dxa"/>
          </w:tcPr>
          <w:p w14:paraId="5489FD0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19.4%</w:t>
            </w:r>
          </w:p>
        </w:tc>
      </w:tr>
      <w:tr w:rsidR="00E7620B" w:rsidRPr="002006E1" w14:paraId="4DC6F30B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2FFFF9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age_band</w:t>
            </w:r>
          </w:p>
        </w:tc>
        <w:tc>
          <w:tcPr>
            <w:tcW w:w="1728" w:type="dxa"/>
          </w:tcPr>
          <w:p w14:paraId="407BABA7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55-69</w:t>
            </w:r>
          </w:p>
        </w:tc>
        <w:tc>
          <w:tcPr>
            <w:tcW w:w="2592" w:type="dxa"/>
          </w:tcPr>
          <w:p w14:paraId="63750859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17.9%</w:t>
            </w:r>
          </w:p>
        </w:tc>
        <w:tc>
          <w:tcPr>
            <w:tcW w:w="2160" w:type="dxa"/>
          </w:tcPr>
          <w:p w14:paraId="1BCE20A4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16.2%</w:t>
            </w:r>
          </w:p>
        </w:tc>
      </w:tr>
      <w:tr w:rsidR="00E7620B" w:rsidRPr="002006E1" w14:paraId="499BF5FF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66C110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age_band</w:t>
            </w:r>
          </w:p>
        </w:tc>
        <w:tc>
          <w:tcPr>
            <w:tcW w:w="1728" w:type="dxa"/>
          </w:tcPr>
          <w:p w14:paraId="55097B5F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6-17</w:t>
            </w:r>
          </w:p>
        </w:tc>
        <w:tc>
          <w:tcPr>
            <w:tcW w:w="2592" w:type="dxa"/>
          </w:tcPr>
          <w:p w14:paraId="67CECF50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14.1%</w:t>
            </w:r>
          </w:p>
        </w:tc>
        <w:tc>
          <w:tcPr>
            <w:tcW w:w="2160" w:type="dxa"/>
          </w:tcPr>
          <w:p w14:paraId="03F42E2C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24.1%</w:t>
            </w:r>
          </w:p>
        </w:tc>
      </w:tr>
      <w:tr w:rsidR="00E7620B" w:rsidRPr="002006E1" w14:paraId="42F1FAB6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391153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age_band</w:t>
            </w:r>
          </w:p>
        </w:tc>
        <w:tc>
          <w:tcPr>
            <w:tcW w:w="1728" w:type="dxa"/>
          </w:tcPr>
          <w:p w14:paraId="4B5A8740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70+</w:t>
            </w:r>
          </w:p>
        </w:tc>
        <w:tc>
          <w:tcPr>
            <w:tcW w:w="2592" w:type="dxa"/>
          </w:tcPr>
          <w:p w14:paraId="6B0383E1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8.4%</w:t>
            </w:r>
          </w:p>
        </w:tc>
        <w:tc>
          <w:tcPr>
            <w:tcW w:w="2160" w:type="dxa"/>
          </w:tcPr>
          <w:p w14:paraId="00E74295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15.1%</w:t>
            </w:r>
          </w:p>
        </w:tc>
      </w:tr>
      <w:tr w:rsidR="00E7620B" w:rsidRPr="002006E1" w14:paraId="76CB2921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2BF4E1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scholarship</w:t>
            </w:r>
          </w:p>
        </w:tc>
        <w:tc>
          <w:tcPr>
            <w:tcW w:w="1728" w:type="dxa"/>
          </w:tcPr>
          <w:p w14:paraId="295E3C19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92" w:type="dxa"/>
          </w:tcPr>
          <w:p w14:paraId="1F345530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90.3%</w:t>
            </w:r>
          </w:p>
        </w:tc>
        <w:tc>
          <w:tcPr>
            <w:tcW w:w="2160" w:type="dxa"/>
          </w:tcPr>
          <w:p w14:paraId="35B4DE91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19.7%</w:t>
            </w:r>
          </w:p>
        </w:tc>
      </w:tr>
      <w:tr w:rsidR="00E7620B" w:rsidRPr="002006E1" w14:paraId="38675915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F5C9A0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scholarship</w:t>
            </w:r>
          </w:p>
        </w:tc>
        <w:tc>
          <w:tcPr>
            <w:tcW w:w="1728" w:type="dxa"/>
          </w:tcPr>
          <w:p w14:paraId="7244FC07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2" w:type="dxa"/>
          </w:tcPr>
          <w:p w14:paraId="5B8590F4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9.7%</w:t>
            </w:r>
          </w:p>
        </w:tc>
        <w:tc>
          <w:tcPr>
            <w:tcW w:w="2160" w:type="dxa"/>
          </w:tcPr>
          <w:p w14:paraId="2E16B696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23.3%</w:t>
            </w:r>
          </w:p>
        </w:tc>
      </w:tr>
      <w:tr w:rsidR="00E7620B" w:rsidRPr="002006E1" w14:paraId="093F263B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D14422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has_disability</w:t>
            </w:r>
          </w:p>
        </w:tc>
        <w:tc>
          <w:tcPr>
            <w:tcW w:w="1728" w:type="dxa"/>
          </w:tcPr>
          <w:p w14:paraId="4A2FAD75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92" w:type="dxa"/>
          </w:tcPr>
          <w:p w14:paraId="221E4AEE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97.9%</w:t>
            </w:r>
          </w:p>
        </w:tc>
        <w:tc>
          <w:tcPr>
            <w:tcW w:w="2160" w:type="dxa"/>
          </w:tcPr>
          <w:p w14:paraId="7F2D55BD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20.1%</w:t>
            </w:r>
          </w:p>
        </w:tc>
      </w:tr>
      <w:tr w:rsidR="00E7620B" w:rsidRPr="002006E1" w14:paraId="42188B00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AA4E91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has_disability</w:t>
            </w:r>
          </w:p>
        </w:tc>
        <w:tc>
          <w:tcPr>
            <w:tcW w:w="1728" w:type="dxa"/>
          </w:tcPr>
          <w:p w14:paraId="5E950629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2" w:type="dxa"/>
          </w:tcPr>
          <w:p w14:paraId="161A4BE8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2.1%</w:t>
            </w:r>
          </w:p>
        </w:tc>
        <w:tc>
          <w:tcPr>
            <w:tcW w:w="2160" w:type="dxa"/>
          </w:tcPr>
          <w:p w14:paraId="09DEC42C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18.2%</w:t>
            </w:r>
          </w:p>
        </w:tc>
      </w:tr>
    </w:tbl>
    <w:p w14:paraId="42994F9F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E9071B0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The Module 3 bias suite raised: has_disability 1 under-represented; the disability group's small share means its error rates are checked separately in Section 6. Base rates differ by age (6-17: 24.1%; 70+: 15.1%), so equal flag rates across age bands would be neither expected nor desirable, which is why demographic parity is reported but equal opportunity governs.</w:t>
      </w:r>
    </w:p>
    <w:p w14:paraId="56662821" w14:textId="77777777" w:rsidR="00E7620B" w:rsidRPr="002006E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3. Train/Test Protocol and Baselines</w:t>
      </w:r>
    </w:p>
    <w:p w14:paraId="281E66DC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The split is the patient-grouped 70/15/15 split produced by Module 3 (GroupShuffleSplit on patient_key, seed 42), so no patient appears in more than one set and history features cannot leak across sets; this run asserts zero overlap. The training split (77,155; no-show 20.0%) serves hyperparameter search with stratified 3-fold cross-validation grouped by patient; the validation split (16,245; 20.0%) selects the champion and fixes the thresholds; the test split (16,499; 20.5%) is scored once and informs no decision.</w:t>
      </w:r>
    </w:p>
    <w:p w14:paraId="315CDCD7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Two baselines anchor the comparison. A majority-class classifier predicts that everyone attends, giving 79.5% accuracy but zero recall, so accuracy cannot be the headline metric. A transparent rule a scheduler could apply by hand (flag if lead_days &gt;= 5, cut chosen on validation for the same recall target) reached a test ROC-AUC of 0.699, recall 72.2% and precision 31.1%.</w:t>
      </w:r>
    </w:p>
    <w:p w14:paraId="5290F28E" w14:textId="77777777" w:rsidR="00E7620B" w:rsidRPr="002006E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4. Model Development</w:t>
      </w:r>
    </w:p>
    <w:p w14:paraId="1DB6123F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Following Module 2 tickets S2-01 and S2-02, three algorithms span the interpretability–flexibility range: regularised logistic regression (the transparent baseline Module 2 requires as a comparison point), random forest (non-linear interactions, robust to outliers) and gradient-boosted trees (XGBoost; Chen &amp; Guestrin, 2016), typically the strongest on tabular data. Class imbalance (one no-show in five) was handled with class weights rather than resampling, which keeps probabilities interpretable for the tiers. Each algorithm was tuned by randomized search (3 candidates, coarse ranges) with 3-fold patient-grouped stratified cross-validation optimising PR-AUC, the metric most sensitive to the minority class.</w:t>
      </w:r>
    </w:p>
    <w:p w14:paraId="6CE6BA80" w14:textId="77777777" w:rsidR="00E7620B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 xml:space="preserve">Every candidate was logged to MLflow (Zaharia et al., 2018) as a nested run with its hyperparameters and cross-validated scores, and each best pipeline with its model artefact; 35 runs sit in experiment 'jjushycsh-noshow-m4'. The champion was chosen on validation PR-AUC; its operating threshold is the highest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threshold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still reaching 70% validation recall, and a second threshold at 90% recall defines the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Medium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tier. Both are stored with the model.</w:t>
      </w:r>
    </w:p>
    <w:p w14:paraId="08E3BDB7" w14:textId="77777777" w:rsidR="002006E1" w:rsidRDefault="002006E1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B787B3" w14:textId="77777777" w:rsidR="002006E1" w:rsidRDefault="002006E1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C4CC4B" w14:textId="77777777" w:rsidR="002006E1" w:rsidRPr="002006E1" w:rsidRDefault="002006E1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8DA281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lastRenderedPageBreak/>
        <w:t xml:space="preserve">Table 4.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Tuned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hyperparameters, cross-validation and validation scores.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3922"/>
        <w:gridCol w:w="1258"/>
        <w:gridCol w:w="990"/>
        <w:gridCol w:w="996"/>
        <w:gridCol w:w="714"/>
      </w:tblGrid>
      <w:tr w:rsidR="00E7620B" w:rsidRPr="002006E1" w14:paraId="5A5B5029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A01F2E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4032" w:type="dxa"/>
          </w:tcPr>
          <w:p w14:paraId="57D90C43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Best hyperparameters</w:t>
            </w:r>
          </w:p>
        </w:tc>
        <w:tc>
          <w:tcPr>
            <w:tcW w:w="1296" w:type="dxa"/>
          </w:tcPr>
          <w:p w14:paraId="3CB85D67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CV PR-AUC</w:t>
            </w:r>
          </w:p>
        </w:tc>
        <w:tc>
          <w:tcPr>
            <w:tcW w:w="1008" w:type="dxa"/>
          </w:tcPr>
          <w:p w14:paraId="07E403F3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Val PR-AUC</w:t>
            </w:r>
          </w:p>
        </w:tc>
        <w:tc>
          <w:tcPr>
            <w:tcW w:w="1008" w:type="dxa"/>
          </w:tcPr>
          <w:p w14:paraId="51783859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Val ROC-AUC</w:t>
            </w:r>
          </w:p>
        </w:tc>
        <w:tc>
          <w:tcPr>
            <w:tcW w:w="720" w:type="dxa"/>
          </w:tcPr>
          <w:p w14:paraId="0C169B95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Fit (s)</w:t>
            </w:r>
          </w:p>
        </w:tc>
      </w:tr>
      <w:tr w:rsidR="00E7620B" w:rsidRPr="002006E1" w14:paraId="3F91B109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1F1519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4032" w:type="dxa"/>
          </w:tcPr>
          <w:p w14:paraId="4F7968FA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C=0.2481; penalty=l1</w:t>
            </w:r>
          </w:p>
        </w:tc>
        <w:tc>
          <w:tcPr>
            <w:tcW w:w="1296" w:type="dxa"/>
          </w:tcPr>
          <w:p w14:paraId="7FBD1343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0.362 ± 0.002</w:t>
            </w:r>
          </w:p>
        </w:tc>
        <w:tc>
          <w:tcPr>
            <w:tcW w:w="1008" w:type="dxa"/>
          </w:tcPr>
          <w:p w14:paraId="1398E66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0.344</w:t>
            </w:r>
          </w:p>
        </w:tc>
        <w:tc>
          <w:tcPr>
            <w:tcW w:w="1008" w:type="dxa"/>
          </w:tcPr>
          <w:p w14:paraId="6BCAE69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0.720</w:t>
            </w:r>
          </w:p>
        </w:tc>
        <w:tc>
          <w:tcPr>
            <w:tcW w:w="720" w:type="dxa"/>
          </w:tcPr>
          <w:p w14:paraId="61FCF00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10.8</w:t>
            </w:r>
          </w:p>
        </w:tc>
      </w:tr>
      <w:tr w:rsidR="00E7620B" w:rsidRPr="002006E1" w14:paraId="682172BA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417458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4032" w:type="dxa"/>
          </w:tcPr>
          <w:p w14:paraId="11193827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n_estimators=200; min_samples_leaf=5; max_features=sqrt; max_depth=8</w:t>
            </w:r>
          </w:p>
        </w:tc>
        <w:tc>
          <w:tcPr>
            <w:tcW w:w="1296" w:type="dxa"/>
          </w:tcPr>
          <w:p w14:paraId="0F8BDE07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0.380 ± 0.003</w:t>
            </w:r>
          </w:p>
        </w:tc>
        <w:tc>
          <w:tcPr>
            <w:tcW w:w="1008" w:type="dxa"/>
          </w:tcPr>
          <w:p w14:paraId="03D16C51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0.368</w:t>
            </w:r>
          </w:p>
        </w:tc>
        <w:tc>
          <w:tcPr>
            <w:tcW w:w="1008" w:type="dxa"/>
          </w:tcPr>
          <w:p w14:paraId="143514A1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0.732</w:t>
            </w:r>
          </w:p>
        </w:tc>
        <w:tc>
          <w:tcPr>
            <w:tcW w:w="720" w:type="dxa"/>
          </w:tcPr>
          <w:p w14:paraId="5365169D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24.3</w:t>
            </w:r>
          </w:p>
        </w:tc>
      </w:tr>
      <w:tr w:rsidR="00E7620B" w:rsidRPr="002006E1" w14:paraId="342E1667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3B46C6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4032" w:type="dxa"/>
          </w:tcPr>
          <w:p w14:paraId="0B1707C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subsample=0.7; n_estimators=400; min_child_weight=1; max_depth=3; learning_rate=0.05; colsample_bytree=0.85</w:t>
            </w:r>
          </w:p>
        </w:tc>
        <w:tc>
          <w:tcPr>
            <w:tcW w:w="1296" w:type="dxa"/>
          </w:tcPr>
          <w:p w14:paraId="0D921BB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0.382 ± 0.002</w:t>
            </w:r>
          </w:p>
        </w:tc>
        <w:tc>
          <w:tcPr>
            <w:tcW w:w="1008" w:type="dxa"/>
          </w:tcPr>
          <w:p w14:paraId="393DD45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0.367</w:t>
            </w:r>
          </w:p>
        </w:tc>
        <w:tc>
          <w:tcPr>
            <w:tcW w:w="1008" w:type="dxa"/>
          </w:tcPr>
          <w:p w14:paraId="14088C9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0.734</w:t>
            </w:r>
          </w:p>
        </w:tc>
        <w:tc>
          <w:tcPr>
            <w:tcW w:w="720" w:type="dxa"/>
          </w:tcPr>
          <w:p w14:paraId="2706350E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22.3</w:t>
            </w:r>
          </w:p>
        </w:tc>
      </w:tr>
    </w:tbl>
    <w:p w14:paraId="671E4FB9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10E5520A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Random Forest was selected with a validation PR-AUC 0.024 above logistic regression. This margin justifies the added complexity despite Module 1's preference for simpler models, provided the SHAP explanations in Section 6 travel with every score and the logistic baseline stays in the registry as the fallback.</w:t>
      </w:r>
    </w:p>
    <w:p w14:paraId="4888F757" w14:textId="77777777" w:rsidR="00E7620B" w:rsidRPr="002006E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5. Performance Evaluation and Validation</w:t>
      </w:r>
    </w:p>
    <w:p w14:paraId="498596CD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Metrics match the business risk: with one no-show in five, PR-AUC drove model selection and recall at the fixed threshold is the operational measure, while ROC-AUC, precision, F1, accuracy and the Brier score are reported for completeness and calibration. A false positive costs one reminder and a false negative a specialist slot, so recall outweighs precision.</w:t>
      </w:r>
    </w:p>
    <w:p w14:paraId="24F71A47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Table 5. Module 3 test-split performance at each model's operating threshold.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1254"/>
        <w:gridCol w:w="1174"/>
        <w:gridCol w:w="1149"/>
        <w:gridCol w:w="846"/>
        <w:gridCol w:w="748"/>
        <w:gridCol w:w="821"/>
        <w:gridCol w:w="748"/>
        <w:gridCol w:w="755"/>
        <w:gridCol w:w="827"/>
      </w:tblGrid>
      <w:tr w:rsidR="00E7620B" w:rsidRPr="002006E1" w14:paraId="331D9E1C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36B7ED89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936" w:type="dxa"/>
          </w:tcPr>
          <w:p w14:paraId="49206F25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Threshold</w:t>
            </w:r>
          </w:p>
        </w:tc>
        <w:tc>
          <w:tcPr>
            <w:tcW w:w="936" w:type="dxa"/>
          </w:tcPr>
          <w:p w14:paraId="7C54B821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936" w:type="dxa"/>
          </w:tcPr>
          <w:p w14:paraId="5928B416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936" w:type="dxa"/>
          </w:tcPr>
          <w:p w14:paraId="099191A1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936" w:type="dxa"/>
          </w:tcPr>
          <w:p w14:paraId="308C749A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936" w:type="dxa"/>
          </w:tcPr>
          <w:p w14:paraId="17620ABE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936" w:type="dxa"/>
          </w:tcPr>
          <w:p w14:paraId="2742E9DA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PR-AUC</w:t>
            </w:r>
          </w:p>
        </w:tc>
        <w:tc>
          <w:tcPr>
            <w:tcW w:w="936" w:type="dxa"/>
          </w:tcPr>
          <w:p w14:paraId="4D1206F8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Brier</w:t>
            </w:r>
          </w:p>
        </w:tc>
        <w:tc>
          <w:tcPr>
            <w:tcW w:w="936" w:type="dxa"/>
          </w:tcPr>
          <w:p w14:paraId="47A22977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Flag rate</w:t>
            </w:r>
          </w:p>
        </w:tc>
      </w:tr>
      <w:tr w:rsidR="00E7620B" w:rsidRPr="002006E1" w14:paraId="77FB8077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24776E2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baseline majority</w:t>
            </w:r>
          </w:p>
        </w:tc>
        <w:tc>
          <w:tcPr>
            <w:tcW w:w="936" w:type="dxa"/>
          </w:tcPr>
          <w:p w14:paraId="5AA8865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0.500</w:t>
            </w:r>
          </w:p>
        </w:tc>
        <w:tc>
          <w:tcPr>
            <w:tcW w:w="936" w:type="dxa"/>
          </w:tcPr>
          <w:p w14:paraId="0E372B20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0.795</w:t>
            </w:r>
          </w:p>
        </w:tc>
        <w:tc>
          <w:tcPr>
            <w:tcW w:w="936" w:type="dxa"/>
          </w:tcPr>
          <w:p w14:paraId="757E2AD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936" w:type="dxa"/>
          </w:tcPr>
          <w:p w14:paraId="043E4723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936" w:type="dxa"/>
          </w:tcPr>
          <w:p w14:paraId="643BB2B3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936" w:type="dxa"/>
          </w:tcPr>
          <w:p w14:paraId="61436494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0.500</w:t>
            </w:r>
          </w:p>
        </w:tc>
        <w:tc>
          <w:tcPr>
            <w:tcW w:w="936" w:type="dxa"/>
          </w:tcPr>
          <w:p w14:paraId="71765CA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0.205</w:t>
            </w:r>
          </w:p>
        </w:tc>
        <w:tc>
          <w:tcPr>
            <w:tcW w:w="936" w:type="dxa"/>
          </w:tcPr>
          <w:p w14:paraId="64CD592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0.205</w:t>
            </w:r>
          </w:p>
        </w:tc>
        <w:tc>
          <w:tcPr>
            <w:tcW w:w="936" w:type="dxa"/>
          </w:tcPr>
          <w:p w14:paraId="34E2B30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0.0%</w:t>
            </w:r>
          </w:p>
        </w:tc>
      </w:tr>
      <w:tr w:rsidR="00E7620B" w:rsidRPr="002006E1" w14:paraId="1C805ECA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67C3C69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baseline lead time rule</w:t>
            </w:r>
          </w:p>
        </w:tc>
        <w:tc>
          <w:tcPr>
            <w:tcW w:w="936" w:type="dxa"/>
          </w:tcPr>
          <w:p w14:paraId="67264044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5.000</w:t>
            </w:r>
          </w:p>
        </w:tc>
        <w:tc>
          <w:tcPr>
            <w:tcW w:w="936" w:type="dxa"/>
          </w:tcPr>
          <w:p w14:paraId="417C4C6A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0.614</w:t>
            </w:r>
          </w:p>
        </w:tc>
        <w:tc>
          <w:tcPr>
            <w:tcW w:w="936" w:type="dxa"/>
          </w:tcPr>
          <w:p w14:paraId="588C64EF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0.311</w:t>
            </w:r>
          </w:p>
        </w:tc>
        <w:tc>
          <w:tcPr>
            <w:tcW w:w="936" w:type="dxa"/>
          </w:tcPr>
          <w:p w14:paraId="1D090A48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0.722</w:t>
            </w:r>
          </w:p>
        </w:tc>
        <w:tc>
          <w:tcPr>
            <w:tcW w:w="936" w:type="dxa"/>
          </w:tcPr>
          <w:p w14:paraId="7EDC1D61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0.434</w:t>
            </w:r>
          </w:p>
        </w:tc>
        <w:tc>
          <w:tcPr>
            <w:tcW w:w="936" w:type="dxa"/>
          </w:tcPr>
          <w:p w14:paraId="5D601F67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0.699</w:t>
            </w:r>
          </w:p>
        </w:tc>
        <w:tc>
          <w:tcPr>
            <w:tcW w:w="936" w:type="dxa"/>
          </w:tcPr>
          <w:p w14:paraId="4BA19459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0.310</w:t>
            </w:r>
          </w:p>
        </w:tc>
        <w:tc>
          <w:tcPr>
            <w:tcW w:w="936" w:type="dxa"/>
          </w:tcPr>
          <w:p w14:paraId="10C503AF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936" w:type="dxa"/>
          </w:tcPr>
          <w:p w14:paraId="712B12E2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47.7%</w:t>
            </w:r>
          </w:p>
        </w:tc>
      </w:tr>
      <w:tr w:rsidR="00E7620B" w:rsidRPr="002006E1" w14:paraId="2793B955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03C13A70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936" w:type="dxa"/>
          </w:tcPr>
          <w:p w14:paraId="26EB8001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0.562</w:t>
            </w:r>
          </w:p>
        </w:tc>
        <w:tc>
          <w:tcPr>
            <w:tcW w:w="936" w:type="dxa"/>
          </w:tcPr>
          <w:p w14:paraId="339A6B60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0.650</w:t>
            </w:r>
          </w:p>
        </w:tc>
        <w:tc>
          <w:tcPr>
            <w:tcW w:w="936" w:type="dxa"/>
          </w:tcPr>
          <w:p w14:paraId="46160084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0.334</w:t>
            </w:r>
          </w:p>
        </w:tc>
        <w:tc>
          <w:tcPr>
            <w:tcW w:w="936" w:type="dxa"/>
          </w:tcPr>
          <w:p w14:paraId="551E9C19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0.709</w:t>
            </w:r>
          </w:p>
        </w:tc>
        <w:tc>
          <w:tcPr>
            <w:tcW w:w="936" w:type="dxa"/>
          </w:tcPr>
          <w:p w14:paraId="12574440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0.454</w:t>
            </w:r>
          </w:p>
        </w:tc>
        <w:tc>
          <w:tcPr>
            <w:tcW w:w="936" w:type="dxa"/>
          </w:tcPr>
          <w:p w14:paraId="38E2049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0.733</w:t>
            </w:r>
          </w:p>
        </w:tc>
        <w:tc>
          <w:tcPr>
            <w:tcW w:w="936" w:type="dxa"/>
          </w:tcPr>
          <w:p w14:paraId="51D62D2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0.379</w:t>
            </w:r>
          </w:p>
        </w:tc>
        <w:tc>
          <w:tcPr>
            <w:tcW w:w="936" w:type="dxa"/>
          </w:tcPr>
          <w:p w14:paraId="208F2263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0.213</w:t>
            </w:r>
          </w:p>
        </w:tc>
        <w:tc>
          <w:tcPr>
            <w:tcW w:w="936" w:type="dxa"/>
          </w:tcPr>
          <w:p w14:paraId="2E26F50D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43.6%</w:t>
            </w:r>
          </w:p>
        </w:tc>
      </w:tr>
      <w:tr w:rsidR="00E7620B" w:rsidRPr="002006E1" w14:paraId="5651CCDE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6939C1E6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936" w:type="dxa"/>
          </w:tcPr>
          <w:p w14:paraId="67D09475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0.560</w:t>
            </w:r>
          </w:p>
        </w:tc>
        <w:tc>
          <w:tcPr>
            <w:tcW w:w="936" w:type="dxa"/>
          </w:tcPr>
          <w:p w14:paraId="47DC28AA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0.658</w:t>
            </w:r>
          </w:p>
        </w:tc>
        <w:tc>
          <w:tcPr>
            <w:tcW w:w="936" w:type="dxa"/>
          </w:tcPr>
          <w:p w14:paraId="6410EBA1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0.340</w:t>
            </w:r>
          </w:p>
        </w:tc>
        <w:tc>
          <w:tcPr>
            <w:tcW w:w="936" w:type="dxa"/>
          </w:tcPr>
          <w:p w14:paraId="782C7293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0.708</w:t>
            </w:r>
          </w:p>
        </w:tc>
        <w:tc>
          <w:tcPr>
            <w:tcW w:w="936" w:type="dxa"/>
          </w:tcPr>
          <w:p w14:paraId="5C34719A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0.459</w:t>
            </w:r>
          </w:p>
        </w:tc>
        <w:tc>
          <w:tcPr>
            <w:tcW w:w="936" w:type="dxa"/>
          </w:tcPr>
          <w:p w14:paraId="62F7190E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0.742</w:t>
            </w:r>
          </w:p>
        </w:tc>
        <w:tc>
          <w:tcPr>
            <w:tcW w:w="936" w:type="dxa"/>
          </w:tcPr>
          <w:p w14:paraId="3C890E72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0.384</w:t>
            </w:r>
          </w:p>
        </w:tc>
        <w:tc>
          <w:tcPr>
            <w:tcW w:w="936" w:type="dxa"/>
          </w:tcPr>
          <w:p w14:paraId="70FBF584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0.210</w:t>
            </w:r>
          </w:p>
        </w:tc>
        <w:tc>
          <w:tcPr>
            <w:tcW w:w="936" w:type="dxa"/>
          </w:tcPr>
          <w:p w14:paraId="0D06BB72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42.8%</w:t>
            </w:r>
          </w:p>
        </w:tc>
      </w:tr>
      <w:tr w:rsidR="00E7620B" w:rsidRPr="002006E1" w14:paraId="35510424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" w:type="dxa"/>
          </w:tcPr>
          <w:p w14:paraId="1B2D534B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</w:p>
        </w:tc>
        <w:tc>
          <w:tcPr>
            <w:tcW w:w="936" w:type="dxa"/>
          </w:tcPr>
          <w:p w14:paraId="34E1144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0.561</w:t>
            </w:r>
          </w:p>
        </w:tc>
        <w:tc>
          <w:tcPr>
            <w:tcW w:w="936" w:type="dxa"/>
          </w:tcPr>
          <w:p w14:paraId="39D3ABD4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0.662</w:t>
            </w:r>
          </w:p>
        </w:tc>
        <w:tc>
          <w:tcPr>
            <w:tcW w:w="936" w:type="dxa"/>
          </w:tcPr>
          <w:p w14:paraId="0873BB29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0.342</w:t>
            </w:r>
          </w:p>
        </w:tc>
        <w:tc>
          <w:tcPr>
            <w:tcW w:w="936" w:type="dxa"/>
          </w:tcPr>
          <w:p w14:paraId="5ADFD0E3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0.704</w:t>
            </w:r>
          </w:p>
        </w:tc>
        <w:tc>
          <w:tcPr>
            <w:tcW w:w="936" w:type="dxa"/>
          </w:tcPr>
          <w:p w14:paraId="575D68C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0.461</w:t>
            </w:r>
          </w:p>
        </w:tc>
        <w:tc>
          <w:tcPr>
            <w:tcW w:w="936" w:type="dxa"/>
          </w:tcPr>
          <w:p w14:paraId="3588C194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0.745</w:t>
            </w:r>
          </w:p>
        </w:tc>
        <w:tc>
          <w:tcPr>
            <w:tcW w:w="936" w:type="dxa"/>
          </w:tcPr>
          <w:p w14:paraId="5A772235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0.398</w:t>
            </w:r>
          </w:p>
        </w:tc>
        <w:tc>
          <w:tcPr>
            <w:tcW w:w="936" w:type="dxa"/>
          </w:tcPr>
          <w:p w14:paraId="2768241F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0.210</w:t>
            </w:r>
          </w:p>
        </w:tc>
        <w:tc>
          <w:tcPr>
            <w:tcW w:w="936" w:type="dxa"/>
          </w:tcPr>
          <w:p w14:paraId="613E7D1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42.2%</w:t>
            </w:r>
          </w:p>
        </w:tc>
      </w:tr>
    </w:tbl>
    <w:p w14:paraId="0018A270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C1C4F7F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lastRenderedPageBreak/>
        <w:t xml:space="preserve">The champion, Random Forest, achieved a test ROC-AUC of 0.742 and PR-AUC of 0.384 against a prevalence of 20.5%, a gain of 0.043 ROC-AUC over the lead-time rule. At its threshold (0.560) it recovers 70.8% of no-shows with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precision 34.0%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while flagging 42.8% of appointments (validation recall 70.0%). The recall target therefore holds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patients the model has never seen. Modest precision is acceptable because the cost asymmetry favours reach.</w:t>
      </w:r>
    </w:p>
    <w:p w14:paraId="75228670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EEA0D6" wp14:editId="369D0DE8">
            <wp:extent cx="5760720" cy="24195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pr_curv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7338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Figure 1. ROC and precision–recall curves on the Module 3 test split; dashed = lead-time rule, red dotted = recall target.</w:t>
      </w:r>
    </w:p>
    <w:p w14:paraId="4F2D00FC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2B40CB" wp14:editId="1061787A">
            <wp:extent cx="2926080" cy="26474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champ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64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B4FE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Figure 2. Confusion matrix of the champion (Random Forest) at the operating threshold.</w:t>
      </w:r>
    </w:p>
    <w:p w14:paraId="66AB27E6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5793CD" wp14:editId="68CDCAC7">
            <wp:extent cx="3108960" cy="26850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_champ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8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822A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Figure 3. Reliability diagram of the champion's probabilities (test split).</w:t>
      </w:r>
    </w:p>
    <w:p w14:paraId="135C5669" w14:textId="77777777" w:rsidR="00E7620B" w:rsidRPr="002006E1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 xml:space="preserve">Leakage confirmation: no patient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overlap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across sets; scaling and encoding fitted inside the pipeline; history features use only earlier visits (Module 3 test_features.py); sms_received excluded; cross-validated, validation and test ROC-AUC are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close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and no score is suspiciously perfect. A forward-in-time check (champion configuration refitted on dates before 2016-06-01, scored on the latest 22,414 appointments) gave ROC-AUC 0.734 and recall 68.6% at the earlier threshold: the drift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the monitoring plan tracks. </w:t>
      </w:r>
    </w:p>
    <w:p w14:paraId="586BA2C1" w14:textId="77777777" w:rsidR="00E7620B" w:rsidRPr="002006E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6. Explainable AI and Fairness Analysis</w:t>
      </w:r>
    </w:p>
    <w:p w14:paraId="344FB130" w14:textId="77777777" w:rsidR="00E7620B" w:rsidRPr="002006E1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6.1 Global explanations (SHAP)</w:t>
      </w:r>
    </w:p>
    <w:p w14:paraId="704D4791" w14:textId="77777777" w:rsidR="00E7620B" w:rsidRPr="002006E1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 xml:space="preserve">Following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the Module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2 explainability framework, SHAP values (Lundberg &amp; Lee, 2017) were computed with TreeExplainer on 2,000 test appointments in real units. The three strongest drivers are Lead time (days booked ahead), Same-day appointment and Patient age.</w:t>
      </w:r>
    </w:p>
    <w:p w14:paraId="5FBF6A4E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Lead time (days booked ahead): higher values raise predicted risk — the longer the gap between booking and the visit, the more time for a referred patient's travel plans, money or caregiving arrangements to fall through.</w:t>
      </w:r>
    </w:p>
    <w:p w14:paraId="4D5E0A14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Same-day appointment: being in this category lower predicted risk — same-day bookings are made by patients already at or near the facility, so they are rarely missed.</w:t>
      </w:r>
    </w:p>
    <w:p w14:paraId="2BB56FA4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Patient age: higher values lower predicted risk — age reflects life-stage barriers: adolescents and young adults miss more often, older patients with chronic follow-up attend more reliably.</w:t>
      </w:r>
    </w:p>
    <w:p w14:paraId="6A88C044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E9340C" wp14:editId="427E7E96">
            <wp:extent cx="5120640" cy="40306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beeswa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3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DACE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Figure 4. SHAP summary plot: each dot is one appointment; colour shows the feature value.</w:t>
      </w:r>
    </w:p>
    <w:p w14:paraId="3B8ACC1B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CB0C40" wp14:editId="4DA198DD">
            <wp:extent cx="4389120" cy="40884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8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F549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Figure 5. Global feature importance (mean absolute SHAP value).</w:t>
      </w:r>
    </w:p>
    <w:p w14:paraId="5D02C450" w14:textId="77777777" w:rsidR="00E7620B" w:rsidRPr="002006E1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6.2 Local explanations</w:t>
      </w:r>
    </w:p>
    <w:p w14:paraId="4E322640" w14:textId="77777777" w:rsidR="00E7620B" w:rsidRPr="002006E1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For the high-risk example (predicted probability 0.85) the largest contributions were: Number of prior no-shows (+0.198), Prior no-show rate (+0.149), Lead time (days booked ahead) (-0.101). A coordinator receives this as a reason to call, not just a score; the notebook adds a borderline case.</w:t>
      </w:r>
    </w:p>
    <w:p w14:paraId="74F24262" w14:textId="77777777" w:rsidR="00E7620B" w:rsidRPr="002006E1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 xml:space="preserve">For the low-risk example (predicted probability 0.06) the largest contributions were: Lead time (days booked ahead) (-0.184), Same-day appointment (-0.151), Number of prior visits (-0.051). </w:t>
      </w:r>
    </w:p>
    <w:p w14:paraId="0CE9A157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72372B" wp14:editId="77BB4123">
            <wp:extent cx="4754880" cy="37590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local_hig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5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4445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Figure 6. SHAP waterfall for the highest-risk sampled appointment.</w:t>
      </w:r>
    </w:p>
    <w:p w14:paraId="054AF7B7" w14:textId="77777777" w:rsidR="00E7620B" w:rsidRPr="002006E1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6.3 Counterfactual explanations</w:t>
      </w:r>
    </w:p>
    <w:p w14:paraId="280DE9A5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Table 6. Actionable counterfactuals for correctly flagged no-shows (only lead time and weekday may change).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7620B" w:rsidRPr="002006E1" w14:paraId="076B8D54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8C92154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1560" w:type="dxa"/>
          </w:tcPr>
          <w:p w14:paraId="17106ACF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Lead days</w:t>
            </w:r>
          </w:p>
        </w:tc>
        <w:tc>
          <w:tcPr>
            <w:tcW w:w="1560" w:type="dxa"/>
          </w:tcPr>
          <w:p w14:paraId="6BDE5220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Weekday</w:t>
            </w:r>
          </w:p>
        </w:tc>
        <w:tc>
          <w:tcPr>
            <w:tcW w:w="1560" w:type="dxa"/>
          </w:tcPr>
          <w:p w14:paraId="4B01880A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1560" w:type="dxa"/>
          </w:tcPr>
          <w:p w14:paraId="14CCCF90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Change needed</w:t>
            </w:r>
          </w:p>
        </w:tc>
        <w:tc>
          <w:tcPr>
            <w:tcW w:w="1560" w:type="dxa"/>
          </w:tcPr>
          <w:p w14:paraId="10437852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New risk</w:t>
            </w:r>
          </w:p>
        </w:tc>
      </w:tr>
      <w:tr w:rsidR="00E7620B" w:rsidRPr="002006E1" w14:paraId="1A55CE36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44197115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</w:tcPr>
          <w:p w14:paraId="1F141AD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60" w:type="dxa"/>
          </w:tcPr>
          <w:p w14:paraId="6157106F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1560" w:type="dxa"/>
          </w:tcPr>
          <w:p w14:paraId="641E5A19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1560" w:type="dxa"/>
          </w:tcPr>
          <w:p w14:paraId="7B7360DF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book 0 days ahead (Monday)</w:t>
            </w:r>
          </w:p>
        </w:tc>
        <w:tc>
          <w:tcPr>
            <w:tcW w:w="1560" w:type="dxa"/>
          </w:tcPr>
          <w:p w14:paraId="14584B84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0.17</w:t>
            </w:r>
          </w:p>
        </w:tc>
      </w:tr>
      <w:tr w:rsidR="00E7620B" w:rsidRPr="002006E1" w14:paraId="34AABE22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8D4BD7D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60" w:type="dxa"/>
          </w:tcPr>
          <w:p w14:paraId="44765660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560" w:type="dxa"/>
          </w:tcPr>
          <w:p w14:paraId="0ADC8548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1560" w:type="dxa"/>
          </w:tcPr>
          <w:p w14:paraId="48F1DDEB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0.77</w:t>
            </w:r>
          </w:p>
        </w:tc>
        <w:tc>
          <w:tcPr>
            <w:tcW w:w="1560" w:type="dxa"/>
          </w:tcPr>
          <w:p w14:paraId="01DB5425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book 0 days ahead (Tuesday)</w:t>
            </w:r>
          </w:p>
        </w:tc>
        <w:tc>
          <w:tcPr>
            <w:tcW w:w="1560" w:type="dxa"/>
          </w:tcPr>
          <w:p w14:paraId="5637C5C3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0.23</w:t>
            </w:r>
          </w:p>
        </w:tc>
      </w:tr>
      <w:tr w:rsidR="00E7620B" w:rsidRPr="002006E1" w14:paraId="23F7EDB2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54CE53D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560" w:type="dxa"/>
          </w:tcPr>
          <w:p w14:paraId="42030231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560" w:type="dxa"/>
          </w:tcPr>
          <w:p w14:paraId="0877F203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1560" w:type="dxa"/>
          </w:tcPr>
          <w:p w14:paraId="7C8C1941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1560" w:type="dxa"/>
          </w:tcPr>
          <w:p w14:paraId="25B1CD59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book 7 days ahead (Thursday)</w:t>
            </w:r>
          </w:p>
        </w:tc>
        <w:tc>
          <w:tcPr>
            <w:tcW w:w="1560" w:type="dxa"/>
          </w:tcPr>
          <w:p w14:paraId="311F9731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</w:tc>
      </w:tr>
      <w:tr w:rsidR="00E7620B" w:rsidRPr="002006E1" w14:paraId="5A3229D2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96696A9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60" w:type="dxa"/>
          </w:tcPr>
          <w:p w14:paraId="6FAEB8CB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560" w:type="dxa"/>
          </w:tcPr>
          <w:p w14:paraId="1CF43710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1560" w:type="dxa"/>
          </w:tcPr>
          <w:p w14:paraId="5FF12944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0.69</w:t>
            </w:r>
          </w:p>
        </w:tc>
        <w:tc>
          <w:tcPr>
            <w:tcW w:w="1560" w:type="dxa"/>
          </w:tcPr>
          <w:p w14:paraId="41C90858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book 0 days ahead (Monday)</w:t>
            </w:r>
          </w:p>
        </w:tc>
        <w:tc>
          <w:tcPr>
            <w:tcW w:w="1560" w:type="dxa"/>
          </w:tcPr>
          <w:p w14:paraId="5851EE5C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0.14</w:t>
            </w:r>
          </w:p>
        </w:tc>
      </w:tr>
      <w:tr w:rsidR="00E7620B" w:rsidRPr="002006E1" w14:paraId="622C851C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517B346E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560" w:type="dxa"/>
          </w:tcPr>
          <w:p w14:paraId="7E974350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60" w:type="dxa"/>
          </w:tcPr>
          <w:p w14:paraId="0BFE4EB9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1560" w:type="dxa"/>
          </w:tcPr>
          <w:p w14:paraId="361ED005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0.71</w:t>
            </w:r>
          </w:p>
        </w:tc>
        <w:tc>
          <w:tcPr>
            <w:tcW w:w="1560" w:type="dxa"/>
          </w:tcPr>
          <w:p w14:paraId="571F2E3A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book 0 days ahead (Tuesday)</w:t>
            </w:r>
          </w:p>
        </w:tc>
        <w:tc>
          <w:tcPr>
            <w:tcW w:w="1560" w:type="dxa"/>
          </w:tcPr>
          <w:p w14:paraId="623D3BD0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0.22</w:t>
            </w:r>
          </w:p>
        </w:tc>
      </w:tr>
    </w:tbl>
    <w:p w14:paraId="60FB6840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7DB3A5D" w14:textId="77777777" w:rsidR="00E7620B" w:rsidRPr="002006E1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lastRenderedPageBreak/>
        <w:t xml:space="preserve">Counterfactuals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answer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'what would need to change for a different outcome?' (Wachter et al., 2018; Mothilal et al., 2020). Only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levers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the hospital controls may vary; age, health and history are fixed. For 5 of 5 cases a shorter lead time alone moved the appointment below the threshold, supporting one action: offer earlier slots or a confirmation call close to the visit. Method: DiCE (random) counterfactuals saved to outputs/counterfactuals_dice.csv.</w:t>
      </w:r>
    </w:p>
    <w:p w14:paraId="205AD6D5" w14:textId="77777777" w:rsidR="00E7620B" w:rsidRPr="002006E1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6.4 Fairness metrics</w:t>
      </w:r>
    </w:p>
    <w:p w14:paraId="57F06313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Table 7. Fairness metrics on the test split at the operating threshold (group tables in Appendix B).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1128"/>
        <w:gridCol w:w="1129"/>
        <w:gridCol w:w="1129"/>
        <w:gridCol w:w="1129"/>
        <w:gridCol w:w="1129"/>
        <w:gridCol w:w="1141"/>
        <w:gridCol w:w="1161"/>
      </w:tblGrid>
      <w:tr w:rsidR="00E7620B" w:rsidRPr="002006E1" w14:paraId="5A89FF11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C15A47F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Attribute</w:t>
            </w:r>
          </w:p>
        </w:tc>
        <w:tc>
          <w:tcPr>
            <w:tcW w:w="1170" w:type="dxa"/>
          </w:tcPr>
          <w:p w14:paraId="255478C0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DP diff</w:t>
            </w:r>
          </w:p>
        </w:tc>
        <w:tc>
          <w:tcPr>
            <w:tcW w:w="1170" w:type="dxa"/>
          </w:tcPr>
          <w:p w14:paraId="34A924B5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DI ratio</w:t>
            </w:r>
          </w:p>
        </w:tc>
        <w:tc>
          <w:tcPr>
            <w:tcW w:w="1170" w:type="dxa"/>
          </w:tcPr>
          <w:p w14:paraId="57F20E1E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TPR gap</w:t>
            </w:r>
          </w:p>
        </w:tc>
        <w:tc>
          <w:tcPr>
            <w:tcW w:w="1170" w:type="dxa"/>
          </w:tcPr>
          <w:p w14:paraId="7C1470FB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FPR gap</w:t>
            </w:r>
          </w:p>
        </w:tc>
        <w:tc>
          <w:tcPr>
            <w:tcW w:w="1170" w:type="dxa"/>
          </w:tcPr>
          <w:p w14:paraId="373F5674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EO diff</w:t>
            </w:r>
          </w:p>
        </w:tc>
        <w:tc>
          <w:tcPr>
            <w:tcW w:w="1170" w:type="dxa"/>
          </w:tcPr>
          <w:p w14:paraId="13E470FE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DI ≥ 0.8 (diag.)</w:t>
            </w:r>
          </w:p>
        </w:tc>
        <w:tc>
          <w:tcPr>
            <w:tcW w:w="1170" w:type="dxa"/>
          </w:tcPr>
          <w:p w14:paraId="3DCF7360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TPR gap ≤ 0.1 (release)</w:t>
            </w:r>
          </w:p>
        </w:tc>
      </w:tr>
      <w:tr w:rsidR="00E7620B" w:rsidRPr="002006E1" w14:paraId="0FF254EB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7B0B1D2B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170" w:type="dxa"/>
          </w:tcPr>
          <w:p w14:paraId="746AED55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0.007</w:t>
            </w:r>
          </w:p>
        </w:tc>
        <w:tc>
          <w:tcPr>
            <w:tcW w:w="1170" w:type="dxa"/>
          </w:tcPr>
          <w:p w14:paraId="451FD9AE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0.984</w:t>
            </w:r>
          </w:p>
        </w:tc>
        <w:tc>
          <w:tcPr>
            <w:tcW w:w="1170" w:type="dxa"/>
          </w:tcPr>
          <w:p w14:paraId="71EEAF2A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0.003</w:t>
            </w:r>
          </w:p>
        </w:tc>
        <w:tc>
          <w:tcPr>
            <w:tcW w:w="1170" w:type="dxa"/>
          </w:tcPr>
          <w:p w14:paraId="6CC2DEF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0.010</w:t>
            </w:r>
          </w:p>
        </w:tc>
        <w:tc>
          <w:tcPr>
            <w:tcW w:w="1170" w:type="dxa"/>
          </w:tcPr>
          <w:p w14:paraId="0AF145CA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0.010</w:t>
            </w:r>
          </w:p>
        </w:tc>
        <w:tc>
          <w:tcPr>
            <w:tcW w:w="1170" w:type="dxa"/>
          </w:tcPr>
          <w:p w14:paraId="650EFA9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70" w:type="dxa"/>
          </w:tcPr>
          <w:p w14:paraId="0AAFA8F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7620B" w:rsidRPr="002006E1" w14:paraId="4A2D076D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EB06388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age_band</w:t>
            </w:r>
          </w:p>
        </w:tc>
        <w:tc>
          <w:tcPr>
            <w:tcW w:w="1170" w:type="dxa"/>
          </w:tcPr>
          <w:p w14:paraId="2FE74009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0.589</w:t>
            </w:r>
          </w:p>
        </w:tc>
        <w:tc>
          <w:tcPr>
            <w:tcW w:w="1170" w:type="dxa"/>
          </w:tcPr>
          <w:p w14:paraId="559054C3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0.093</w:t>
            </w:r>
          </w:p>
        </w:tc>
        <w:tc>
          <w:tcPr>
            <w:tcW w:w="1170" w:type="dxa"/>
          </w:tcPr>
          <w:p w14:paraId="1D109F39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0.828</w:t>
            </w:r>
          </w:p>
        </w:tc>
        <w:tc>
          <w:tcPr>
            <w:tcW w:w="1170" w:type="dxa"/>
          </w:tcPr>
          <w:p w14:paraId="21B91424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0.510</w:t>
            </w:r>
          </w:p>
        </w:tc>
        <w:tc>
          <w:tcPr>
            <w:tcW w:w="1170" w:type="dxa"/>
          </w:tcPr>
          <w:p w14:paraId="54467907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0.828</w:t>
            </w:r>
          </w:p>
        </w:tc>
        <w:tc>
          <w:tcPr>
            <w:tcW w:w="1170" w:type="dxa"/>
          </w:tcPr>
          <w:p w14:paraId="2E9DD41E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70" w:type="dxa"/>
          </w:tcPr>
          <w:p w14:paraId="77DF3CD1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7620B" w:rsidRPr="002006E1" w14:paraId="38F80FE5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C82B0D9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scholarship</w:t>
            </w:r>
          </w:p>
        </w:tc>
        <w:tc>
          <w:tcPr>
            <w:tcW w:w="1170" w:type="dxa"/>
          </w:tcPr>
          <w:p w14:paraId="7CC73CE9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0.187</w:t>
            </w:r>
          </w:p>
        </w:tc>
        <w:tc>
          <w:tcPr>
            <w:tcW w:w="1170" w:type="dxa"/>
          </w:tcPr>
          <w:p w14:paraId="0278ACCF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0.686</w:t>
            </w:r>
          </w:p>
        </w:tc>
        <w:tc>
          <w:tcPr>
            <w:tcW w:w="1170" w:type="dxa"/>
          </w:tcPr>
          <w:p w14:paraId="6A8A45E8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0.194</w:t>
            </w:r>
          </w:p>
        </w:tc>
        <w:tc>
          <w:tcPr>
            <w:tcW w:w="1170" w:type="dxa"/>
          </w:tcPr>
          <w:p w14:paraId="55A8C4C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0.150</w:t>
            </w:r>
          </w:p>
        </w:tc>
        <w:tc>
          <w:tcPr>
            <w:tcW w:w="1170" w:type="dxa"/>
          </w:tcPr>
          <w:p w14:paraId="4691DB90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0.194</w:t>
            </w:r>
          </w:p>
        </w:tc>
        <w:tc>
          <w:tcPr>
            <w:tcW w:w="1170" w:type="dxa"/>
          </w:tcPr>
          <w:p w14:paraId="64A0F1E9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70" w:type="dxa"/>
          </w:tcPr>
          <w:p w14:paraId="0D6D663E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7620B" w:rsidRPr="002006E1" w14:paraId="1301D067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1F86A6F3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has_disability</w:t>
            </w:r>
          </w:p>
        </w:tc>
        <w:tc>
          <w:tcPr>
            <w:tcW w:w="1170" w:type="dxa"/>
          </w:tcPr>
          <w:p w14:paraId="0BBF7B31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0.214</w:t>
            </w:r>
          </w:p>
        </w:tc>
        <w:tc>
          <w:tcPr>
            <w:tcW w:w="1170" w:type="dxa"/>
          </w:tcPr>
          <w:p w14:paraId="4BE5C225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0.504</w:t>
            </w:r>
          </w:p>
        </w:tc>
        <w:tc>
          <w:tcPr>
            <w:tcW w:w="1170" w:type="dxa"/>
          </w:tcPr>
          <w:p w14:paraId="4855D9E3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0.335</w:t>
            </w:r>
          </w:p>
        </w:tc>
        <w:tc>
          <w:tcPr>
            <w:tcW w:w="1170" w:type="dxa"/>
          </w:tcPr>
          <w:p w14:paraId="2094A824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0.172</w:t>
            </w:r>
          </w:p>
        </w:tc>
        <w:tc>
          <w:tcPr>
            <w:tcW w:w="1170" w:type="dxa"/>
          </w:tcPr>
          <w:p w14:paraId="02033C48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0.335</w:t>
            </w:r>
          </w:p>
        </w:tc>
        <w:tc>
          <w:tcPr>
            <w:tcW w:w="1170" w:type="dxa"/>
          </w:tcPr>
          <w:p w14:paraId="512C4968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170" w:type="dxa"/>
          </w:tcPr>
          <w:p w14:paraId="2B08FDEA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47A4C374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16EB1049" w14:textId="77777777" w:rsidR="00E7620B" w:rsidRPr="002006E1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Metrics were computed per group (ticket S2-04) and cross-checked with Fairlearn (Weerts et al., 2023). The Module 2 release threshold (TPR gap ≤ 0.1) was exceeded for: age_band, scholarship, has_disability. The four-fifths diagnostic was below 0.8 for age_band, scholarship, has_disability. Where a flag-rate gap mirrors a real difference in base rates, as with age, a low disparate impact ratio reflects need, not bias; the recall gap is decisive. The disability group's estimates rest on 276 test appointments and carry wider uncertainty, as Module 3 anticipated.</w:t>
      </w:r>
    </w:p>
    <w:p w14:paraId="52DC7D83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BED7B8" wp14:editId="65669F5C">
            <wp:extent cx="5943600" cy="1485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rness_bef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DEE2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Figure 7. Flag rate, recall and false-positive rate by group before mitigation.</w:t>
      </w:r>
    </w:p>
    <w:p w14:paraId="61BE6B33" w14:textId="77777777" w:rsidR="00E7620B" w:rsidRPr="002006E1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6.5 Bias mitigation</w:t>
      </w:r>
    </w:p>
    <w:p w14:paraId="61238155" w14:textId="77777777" w:rsidR="00E7620B" w:rsidRPr="002006E1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The largest recall gap was on age_band (TPR gap 0.828). Post-processing with group-specific thresholds chosen on the validation split so that each group reaches 70% recall (Hardt et al., 2016) reduced the gap to 0.076 on the test split. Overall recall became 71.9% and precision 32.5%, with 45.4% of appointments flagged. The trade-off is that the attribute is used at decision time, acceptable only because the decision adds support, and subject to ethics-committee approval.</w:t>
      </w:r>
    </w:p>
    <w:p w14:paraId="2A2572BF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FC6D61" wp14:editId="6AFCFDB9">
            <wp:extent cx="5943600" cy="148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irness_af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CD32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Figure 8. Group metrics after threshold-based mitigation.</w:t>
      </w:r>
    </w:p>
    <w:p w14:paraId="685FDFC3" w14:textId="77777777" w:rsidR="00E7620B" w:rsidRPr="002006E1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6.6 Sensitivity analysis</w:t>
      </w:r>
    </w:p>
    <w:p w14:paraId="41182B8F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Table 8. Robustness of predictions to input perturbations (test sample).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584"/>
        <w:gridCol w:w="1584"/>
        <w:gridCol w:w="1440"/>
      </w:tblGrid>
      <w:tr w:rsidR="00E7620B" w:rsidRPr="002006E1" w14:paraId="4F7C1FC5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4BE01E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1584" w:type="dxa"/>
          </w:tcPr>
          <w:p w14:paraId="14E1D091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Mean |Δ risk|</w:t>
            </w:r>
          </w:p>
        </w:tc>
        <w:tc>
          <w:tcPr>
            <w:tcW w:w="1584" w:type="dxa"/>
          </w:tcPr>
          <w:p w14:paraId="360B1335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High-tier flips</w:t>
            </w:r>
          </w:p>
        </w:tc>
        <w:tc>
          <w:tcPr>
            <w:tcW w:w="1440" w:type="dxa"/>
          </w:tcPr>
          <w:p w14:paraId="61ECAB7F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ROC-AUC</w:t>
            </w:r>
          </w:p>
        </w:tc>
      </w:tr>
      <w:tr w:rsidR="00E7620B" w:rsidRPr="002006E1" w14:paraId="63FCBEDE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DBB356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unchanged</w:t>
            </w:r>
          </w:p>
        </w:tc>
        <w:tc>
          <w:tcPr>
            <w:tcW w:w="1584" w:type="dxa"/>
          </w:tcPr>
          <w:p w14:paraId="727BE439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84" w:type="dxa"/>
          </w:tcPr>
          <w:p w14:paraId="15EF53D3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0.0%</w:t>
            </w:r>
          </w:p>
        </w:tc>
        <w:tc>
          <w:tcPr>
            <w:tcW w:w="1440" w:type="dxa"/>
          </w:tcPr>
          <w:p w14:paraId="196F7589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0.741</w:t>
            </w:r>
          </w:p>
        </w:tc>
      </w:tr>
      <w:tr w:rsidR="00E7620B" w:rsidRPr="002006E1" w14:paraId="6061A50D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332A08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lead_days +3</w:t>
            </w:r>
          </w:p>
        </w:tc>
        <w:tc>
          <w:tcPr>
            <w:tcW w:w="1584" w:type="dxa"/>
          </w:tcPr>
          <w:p w14:paraId="2FE05783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0.151</w:t>
            </w:r>
          </w:p>
        </w:tc>
        <w:tc>
          <w:tcPr>
            <w:tcW w:w="1584" w:type="dxa"/>
          </w:tcPr>
          <w:p w14:paraId="4C8A17ED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22.6%</w:t>
            </w:r>
          </w:p>
        </w:tc>
        <w:tc>
          <w:tcPr>
            <w:tcW w:w="1440" w:type="dxa"/>
          </w:tcPr>
          <w:p w14:paraId="68C4C90B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0.658</w:t>
            </w:r>
          </w:p>
        </w:tc>
      </w:tr>
      <w:tr w:rsidR="00E7620B" w:rsidRPr="002006E1" w14:paraId="706978F7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05DFCE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lead_days -3 (floor 0)</w:t>
            </w:r>
          </w:p>
        </w:tc>
        <w:tc>
          <w:tcPr>
            <w:tcW w:w="1584" w:type="dxa"/>
          </w:tcPr>
          <w:p w14:paraId="0567B3E3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0.056</w:t>
            </w:r>
          </w:p>
        </w:tc>
        <w:tc>
          <w:tcPr>
            <w:tcW w:w="1584" w:type="dxa"/>
          </w:tcPr>
          <w:p w14:paraId="766CBAF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7.1%</w:t>
            </w:r>
          </w:p>
        </w:tc>
        <w:tc>
          <w:tcPr>
            <w:tcW w:w="1440" w:type="dxa"/>
          </w:tcPr>
          <w:p w14:paraId="444D9C14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0.713</w:t>
            </w:r>
          </w:p>
        </w:tc>
      </w:tr>
      <w:tr w:rsidR="00E7620B" w:rsidRPr="002006E1" w14:paraId="6F6FAC28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2836F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lead_days x1.2</w:t>
            </w:r>
          </w:p>
        </w:tc>
        <w:tc>
          <w:tcPr>
            <w:tcW w:w="1584" w:type="dxa"/>
          </w:tcPr>
          <w:p w14:paraId="0D88FBCA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0.003</w:t>
            </w:r>
          </w:p>
        </w:tc>
        <w:tc>
          <w:tcPr>
            <w:tcW w:w="1584" w:type="dxa"/>
          </w:tcPr>
          <w:p w14:paraId="5B302C47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0.8%</w:t>
            </w:r>
          </w:p>
        </w:tc>
        <w:tc>
          <w:tcPr>
            <w:tcW w:w="1440" w:type="dxa"/>
          </w:tcPr>
          <w:p w14:paraId="621F8CF6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0.742</w:t>
            </w:r>
          </w:p>
        </w:tc>
      </w:tr>
      <w:tr w:rsidR="00E7620B" w:rsidRPr="002006E1" w14:paraId="2B199820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2C5EDD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age +5 years</w:t>
            </w:r>
          </w:p>
        </w:tc>
        <w:tc>
          <w:tcPr>
            <w:tcW w:w="1584" w:type="dxa"/>
          </w:tcPr>
          <w:p w14:paraId="03400028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0.010</w:t>
            </w:r>
          </w:p>
        </w:tc>
        <w:tc>
          <w:tcPr>
            <w:tcW w:w="1584" w:type="dxa"/>
          </w:tcPr>
          <w:p w14:paraId="4952B70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3.6%</w:t>
            </w:r>
          </w:p>
        </w:tc>
        <w:tc>
          <w:tcPr>
            <w:tcW w:w="1440" w:type="dxa"/>
          </w:tcPr>
          <w:p w14:paraId="05445FBD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0.738</w:t>
            </w:r>
          </w:p>
        </w:tc>
      </w:tr>
      <w:tr w:rsidR="00E7620B" w:rsidRPr="002006E1" w14:paraId="2D63E3B2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EDBB86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age -5 years (floor 0)</w:t>
            </w:r>
          </w:p>
        </w:tc>
        <w:tc>
          <w:tcPr>
            <w:tcW w:w="1584" w:type="dxa"/>
          </w:tcPr>
          <w:p w14:paraId="2E3FCA7D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0.010</w:t>
            </w:r>
          </w:p>
        </w:tc>
        <w:tc>
          <w:tcPr>
            <w:tcW w:w="1584" w:type="dxa"/>
          </w:tcPr>
          <w:p w14:paraId="6047E9D6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3.9%</w:t>
            </w:r>
          </w:p>
        </w:tc>
        <w:tc>
          <w:tcPr>
            <w:tcW w:w="1440" w:type="dxa"/>
          </w:tcPr>
          <w:p w14:paraId="41E29B12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0.741</w:t>
            </w:r>
          </w:p>
        </w:tc>
      </w:tr>
      <w:tr w:rsidR="00E7620B" w:rsidRPr="002006E1" w14:paraId="592E4C6B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22FB8D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prior no-show rate +0.10</w:t>
            </w:r>
          </w:p>
        </w:tc>
        <w:tc>
          <w:tcPr>
            <w:tcW w:w="1584" w:type="dxa"/>
          </w:tcPr>
          <w:p w14:paraId="151952E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0.010</w:t>
            </w:r>
          </w:p>
        </w:tc>
        <w:tc>
          <w:tcPr>
            <w:tcW w:w="1584" w:type="dxa"/>
          </w:tcPr>
          <w:p w14:paraId="078E1301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0.7%</w:t>
            </w:r>
          </w:p>
        </w:tc>
        <w:tc>
          <w:tcPr>
            <w:tcW w:w="1440" w:type="dxa"/>
          </w:tcPr>
          <w:p w14:paraId="707BD1D8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0.741</w:t>
            </w:r>
          </w:p>
        </w:tc>
      </w:tr>
      <w:tr w:rsidR="00E7620B" w:rsidRPr="002006E1" w14:paraId="6251C7AC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3695F0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welfare</w:t>
            </w:r>
            <w:proofErr w:type="gramEnd"/>
            <w:r w:rsidRPr="002006E1">
              <w:rPr>
                <w:rFonts w:ascii="Times New Roman" w:hAnsi="Times New Roman" w:cs="Times New Roman"/>
                <w:sz w:val="24"/>
                <w:szCs w:val="24"/>
              </w:rPr>
              <w:t xml:space="preserve"> flag flipped</w:t>
            </w:r>
          </w:p>
        </w:tc>
        <w:tc>
          <w:tcPr>
            <w:tcW w:w="1584" w:type="dxa"/>
          </w:tcPr>
          <w:p w14:paraId="2922F5B3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0.019</w:t>
            </w:r>
          </w:p>
        </w:tc>
        <w:tc>
          <w:tcPr>
            <w:tcW w:w="1584" w:type="dxa"/>
          </w:tcPr>
          <w:p w14:paraId="3D38A1E1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6.7%</w:t>
            </w:r>
          </w:p>
        </w:tc>
        <w:tc>
          <w:tcPr>
            <w:tcW w:w="1440" w:type="dxa"/>
          </w:tcPr>
          <w:p w14:paraId="40A70403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0.739</w:t>
            </w:r>
          </w:p>
        </w:tc>
      </w:tr>
      <w:tr w:rsidR="00E7620B" w:rsidRPr="002006E1" w14:paraId="5EB848F6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65F07E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Gaussian noise (10% SD) on age and lead time</w:t>
            </w:r>
          </w:p>
        </w:tc>
        <w:tc>
          <w:tcPr>
            <w:tcW w:w="1584" w:type="dxa"/>
          </w:tcPr>
          <w:p w14:paraId="3FC7F7E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0.073</w:t>
            </w:r>
          </w:p>
        </w:tc>
        <w:tc>
          <w:tcPr>
            <w:tcW w:w="1584" w:type="dxa"/>
          </w:tcPr>
          <w:p w14:paraId="757E229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11.3%</w:t>
            </w:r>
          </w:p>
        </w:tc>
        <w:tc>
          <w:tcPr>
            <w:tcW w:w="1440" w:type="dxa"/>
          </w:tcPr>
          <w:p w14:paraId="03012A1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0.695</w:t>
            </w:r>
          </w:p>
        </w:tc>
      </w:tr>
    </w:tbl>
    <w:p w14:paraId="5ED3DD55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0DF002B" w14:textId="77777777" w:rsidR="00E7620B" w:rsidRPr="002006E1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The model is most sensitive to 'lead_days +3', which changes the High-tier decision for 22.6% of appointments, as expected for a real driver. Random 10% noise barely moves discrimination (ROC-AUC 0.695 vs 0.741), so small data-entry errors in a DHIS2 extract will not destabilise the tiers. Figure 9 shows how recall and workload move with the threshold, letting the hospital trade reach against outreach capacity.</w:t>
      </w:r>
    </w:p>
    <w:p w14:paraId="06160F85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9E9A19" wp14:editId="0D8A562D">
            <wp:extent cx="4206240" cy="2753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shold_sensi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7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2701" w14:textId="77777777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Figure 9. Recall and share of appointments flagged across decision thresholds.</w:t>
      </w:r>
    </w:p>
    <w:p w14:paraId="120B0D7E" w14:textId="77777777" w:rsidR="00E7620B" w:rsidRPr="002006E1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The Model Card (Mitchell et al., 2019) is Appendix A; the full Fairness Metrics Report is Appendix B.</w:t>
      </w:r>
    </w:p>
    <w:p w14:paraId="4D1150DA" w14:textId="77777777" w:rsidR="00E7620B" w:rsidRPr="002006E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7. Interpretation, Risks and Monitoring</w:t>
      </w:r>
    </w:p>
    <w:p w14:paraId="2C57A26E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In business terms the model has learned that no-show risk is driven mainly by lead time (days booked ahead) and same-day appointment: the circumstances under which a referral is booked matter more than the diagnosis. For JJUSHYCSH this means concentrating confirmation calls on long-lead bookings and patients with missed visits in their history, offering earlier slots where capacity allows, and reaching first visits, which have no history, by default.</w:t>
      </w:r>
    </w:p>
    <w:p w14:paraId="2E025DDE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Limitations and risks, linked to the Module 1 risk register and Module 2 RAID log: (1) the data come from a different health system (R-02), so this is a validated method, not a deployable JJUSHYCSH model, until retrained on local records; (2) six weeks of history cannot capture seasonality; (3) distance and transport, likely decisive in the Somali Region, are absent until the local data contract adds distance bands; (4) scores could be misused to deprioritise patients (R-04), which policy forbids and the API states; (5) the disability group is too small for precise fairness estimates; and (6) pseudonymised data remains personal data under Proclamation No. 1321/2024 (R-05), so the Module 3 access tiers apply to scores too.</w:t>
      </w:r>
    </w:p>
    <w:p w14:paraId="2832667A" w14:textId="77777777" w:rsidR="002006E1" w:rsidRDefault="002006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630830" w14:textId="77777777" w:rsidR="002006E1" w:rsidRDefault="002006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F1BFC2" w14:textId="77777777" w:rsidR="002006E1" w:rsidRDefault="002006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591D2E" w14:textId="77777777" w:rsidR="002006E1" w:rsidRDefault="002006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FFFF21" w14:textId="77777777" w:rsidR="002006E1" w:rsidRDefault="002006E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D7C77F" w14:textId="64C1344B" w:rsidR="00E7620B" w:rsidRPr="002006E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lastRenderedPageBreak/>
        <w:t>Table 9. Acceptance criteria and post-deployment monitoring hooks.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4464"/>
        <w:gridCol w:w="1440"/>
      </w:tblGrid>
      <w:tr w:rsidR="00E7620B" w:rsidRPr="002006E1" w14:paraId="21945C31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00D0F4F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Signal</w:t>
            </w:r>
          </w:p>
        </w:tc>
        <w:tc>
          <w:tcPr>
            <w:tcW w:w="4464" w:type="dxa"/>
          </w:tcPr>
          <w:p w14:paraId="6010F7B4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Acceptance criterion / trigger</w:t>
            </w:r>
          </w:p>
        </w:tc>
        <w:tc>
          <w:tcPr>
            <w:tcW w:w="1440" w:type="dxa"/>
          </w:tcPr>
          <w:p w14:paraId="05FBA277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</w:tr>
      <w:tr w:rsidR="00E7620B" w:rsidRPr="002006E1" w14:paraId="26A68671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3A176AD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Recall on no-shows</w:t>
            </w:r>
          </w:p>
        </w:tc>
        <w:tc>
          <w:tcPr>
            <w:tcW w:w="4464" w:type="dxa"/>
          </w:tcPr>
          <w:p w14:paraId="7452B17F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≥ 0.70; retrain if &lt; 0.65</w:t>
            </w:r>
          </w:p>
        </w:tc>
        <w:tc>
          <w:tcPr>
            <w:tcW w:w="1440" w:type="dxa"/>
          </w:tcPr>
          <w:p w14:paraId="23704F7F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E7620B" w:rsidRPr="002006E1" w14:paraId="3AA14F37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D806594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Precision / flag rate</w:t>
            </w:r>
          </w:p>
        </w:tc>
        <w:tc>
          <w:tcPr>
            <w:tcW w:w="4464" w:type="dxa"/>
          </w:tcPr>
          <w:p w14:paraId="21C5D860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Flag rate within outreach capacity; alert if +50% vs baseline</w:t>
            </w:r>
          </w:p>
        </w:tc>
        <w:tc>
          <w:tcPr>
            <w:tcW w:w="1440" w:type="dxa"/>
          </w:tcPr>
          <w:p w14:paraId="3E0AAD26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Weekly</w:t>
            </w:r>
          </w:p>
        </w:tc>
      </w:tr>
      <w:tr w:rsidR="00E7620B" w:rsidRPr="002006E1" w14:paraId="650540DF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968C499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Per-group TPR gap (4 attributes)</w:t>
            </w:r>
          </w:p>
        </w:tc>
        <w:tc>
          <w:tcPr>
            <w:tcW w:w="4464" w:type="dxa"/>
          </w:tcPr>
          <w:p w14:paraId="234B16B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≤ 0.1; governance committee review if exceeded</w:t>
            </w:r>
          </w:p>
        </w:tc>
        <w:tc>
          <w:tcPr>
            <w:tcW w:w="1440" w:type="dxa"/>
          </w:tcPr>
          <w:p w14:paraId="12B280D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E7620B" w:rsidRPr="002006E1" w14:paraId="3B0A8E04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5968E85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Input drift (lead time, age, history)</w:t>
            </w:r>
          </w:p>
        </w:tc>
        <w:tc>
          <w:tcPr>
            <w:tcW w:w="4464" w:type="dxa"/>
          </w:tcPr>
          <w:p w14:paraId="4BE6402F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Population stability index &lt; 0.2</w:t>
            </w:r>
          </w:p>
        </w:tc>
        <w:tc>
          <w:tcPr>
            <w:tcW w:w="1440" w:type="dxa"/>
          </w:tcPr>
          <w:p w14:paraId="5B3929EF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E7620B" w:rsidRPr="002006E1" w14:paraId="3C2E7C5F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EF70147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Calibration (Brier score)</w:t>
            </w:r>
          </w:p>
        </w:tc>
        <w:tc>
          <w:tcPr>
            <w:tcW w:w="4464" w:type="dxa"/>
          </w:tcPr>
          <w:p w14:paraId="04F8C1C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Within 10% of validation value (0.210)</w:t>
            </w:r>
          </w:p>
        </w:tc>
        <w:tc>
          <w:tcPr>
            <w:tcW w:w="1440" w:type="dxa"/>
          </w:tcPr>
          <w:p w14:paraId="562DF575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E7620B" w:rsidRPr="002006E1" w14:paraId="6904CEC9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E660D72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Override log</w:t>
            </w:r>
          </w:p>
        </w:tc>
        <w:tc>
          <w:tcPr>
            <w:tcW w:w="4464" w:type="dxa"/>
          </w:tcPr>
          <w:p w14:paraId="0C1EAC74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Staff overrides and reasons reviewed</w:t>
            </w:r>
          </w:p>
        </w:tc>
        <w:tc>
          <w:tcPr>
            <w:tcW w:w="1440" w:type="dxa"/>
          </w:tcPr>
          <w:p w14:paraId="0FCA900C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Quarterly</w:t>
            </w:r>
          </w:p>
        </w:tc>
      </w:tr>
    </w:tbl>
    <w:p w14:paraId="787DD839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EDCEF6E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Acceptance decision: on the proxy data the champion meets 2 of the three Module 1 success criteria (recall target met; gain over the rule baseline met; fairness tolerances not met). It is registered at Staging as a validated method, not Production: Module 2's Gate 3 (performance, calibration, fairness, explainability) passes on proxy data, but Gate 4 needs retraining on JJUSHYCSH records, a repeat of this validation pack, and AI &amp; Data Governance Committee sign-off. The Module 5 dashboard will consume the same scores and monitoring signals.</w:t>
      </w:r>
    </w:p>
    <w:p w14:paraId="4CDA1804" w14:textId="77777777" w:rsidR="00E7620B" w:rsidRPr="002006E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8. Deployment Artefacts</w:t>
      </w:r>
    </w:p>
    <w:p w14:paraId="65D82F1D" w14:textId="77777777" w:rsidR="00E7620B" w:rsidRPr="002006E1" w:rsidRDefault="00000000" w:rsidP="002006E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The champion is serialised as module4/outputs/model/noshow_model.joblib (pipeline, thresholds, features, data hash) and registered in the MLflow Model Registry as 'jjushycsh_noshow_risk' version 1, alias 'champion', stage Staging. A FastAPI service (module4/api/main.py) exposes POST /predict, returning the probability, the Low/Medium/High tier, the Module 1 outreach action and plain-language reason codes, and it builds features with the Module 3 definitions to avoid training–serving skew. The SHAP notebook, Fairness Metrics Report, Model Card and MLflow export sit in the repository beside the Module 3 pipeline.</w:t>
      </w:r>
    </w:p>
    <w:p w14:paraId="0ABCA995" w14:textId="77777777" w:rsidR="002006E1" w:rsidRPr="002006E1" w:rsidRDefault="002006E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79C73137" w14:textId="77777777" w:rsidR="002006E1" w:rsidRPr="002006E1" w:rsidRDefault="002006E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64355077" w14:textId="77777777" w:rsidR="002006E1" w:rsidRPr="002006E1" w:rsidRDefault="002006E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5A744752" w14:textId="77777777" w:rsidR="002006E1" w:rsidRPr="002006E1" w:rsidRDefault="002006E1" w:rsidP="002006E1">
      <w:pPr>
        <w:rPr>
          <w:rFonts w:ascii="Times New Roman" w:hAnsi="Times New Roman" w:cs="Times New Roman"/>
          <w:sz w:val="24"/>
          <w:szCs w:val="24"/>
        </w:rPr>
      </w:pPr>
    </w:p>
    <w:p w14:paraId="05A822BB" w14:textId="77777777" w:rsidR="002006E1" w:rsidRPr="002006E1" w:rsidRDefault="002006E1" w:rsidP="002006E1">
      <w:pPr>
        <w:rPr>
          <w:rFonts w:ascii="Times New Roman" w:hAnsi="Times New Roman" w:cs="Times New Roman"/>
          <w:sz w:val="24"/>
          <w:szCs w:val="24"/>
        </w:rPr>
      </w:pPr>
    </w:p>
    <w:p w14:paraId="419013DE" w14:textId="77777777" w:rsidR="002006E1" w:rsidRPr="002006E1" w:rsidRDefault="002006E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4AA071AB" w14:textId="6C5CDCD0" w:rsidR="00E7620B" w:rsidRPr="002006E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References</w:t>
      </w:r>
    </w:p>
    <w:p w14:paraId="08357A73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Ahmed, A. F. (2026a). Project vision document [Unpublished BAN6800 Module 1 assignment]. Nexford University.</w:t>
      </w:r>
    </w:p>
    <w:p w14:paraId="06A752A4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Ahmed, A. F. (2026b). Business analytics project overview report [Unpublished BAN6800 Module 2 assignment]. Nexford University.</w:t>
      </w:r>
    </w:p>
    <w:p w14:paraId="5C1A0E48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Ahmed, A. F. (2026c). Designing a data pipeline for referral no-show analytics [Unpublished BAN6800 Module 3 assignment]. Nexford University.</w:t>
      </w:r>
    </w:p>
    <w:p w14:paraId="6EA2BC8A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Chen, T., &amp; Guestrin, C. (2016). XGBoost: A scalable tree boosting system. Proceedings of the 22nd ACM SIGKDD International Conference on Knowledge Discovery and Data Mining, 785–794. https://doi.org/10.1145/2939672.2939785</w:t>
      </w:r>
    </w:p>
    <w:p w14:paraId="7427F8E9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CURE Ethiopia. (2023, August 29). New mobile clinic in Jigjiga. https://ethiopia.cure.org/news/new-mobile-clinic-in-jigjiga/</w:t>
      </w:r>
    </w:p>
    <w:p w14:paraId="3C84E95F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Dantas, L. F., Fleck, J. L., Cyrino Oliveira, F. L., &amp; Hamacher, S. (2018). No-shows in appointment scheduling – a systematic literature review. Health Policy, 122(4), 412–421. https://doi.org/10.1016/j.healthpol.2018.02.002</w:t>
      </w:r>
    </w:p>
    <w:p w14:paraId="51F9BC8C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Federal Ministry of Justice, Ethiopia. (2024). Personal Data Protection Proclamation No. 1321/2024. https://justice.gov.et/en/law/personal-data-protection-proclamation/</w:t>
      </w:r>
    </w:p>
    <w:p w14:paraId="74C33B4C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Feldman, M., Friedler, S. A., Moeller, J., Scheidegger, C., &amp; Venkatasubramanian, S. (2015). Certifying and removing disparate impact. Proceedings of the 21st ACM SIGKDD International Conference on Knowledge Discovery and Data Mining, 259–268. https://doi.org/10.1145/2783258.2783311</w:t>
      </w:r>
    </w:p>
    <w:p w14:paraId="00C6B6CB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Hardt, M., Price, E., &amp; Srebro, N. (2016). Equality of opportunity in supervised learning. Advances in Neural Information Processing Systems, 29, 3315–3323.</w:t>
      </w:r>
    </w:p>
    <w:p w14:paraId="625F37AD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Hoppen, J. (2016). Medical appointment no shows [Data set]. Kaggle. https://www.kaggle.com/datasets/joniarroba/noshowappointments</w:t>
      </w:r>
    </w:p>
    <w:p w14:paraId="79E7CEF2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Lundberg, S. M., &amp; Lee, S.-I. (2017). A unified approach to interpreting model predictions. Advances in Neural Information Processing Systems, 30, 4765–4774.</w:t>
      </w:r>
    </w:p>
    <w:p w14:paraId="4CFB232F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Mitchell, M., Wu, S., Zaldivar, A., Barnes, P., Vasserman, L., Hutchinson, B., Spitzer, E., Raji, I. D., &amp; Gebru, T. (2019). Model cards for model reporting. Proceedings of the Conference on Fairness, Accountability, and Transparency, 220–229. https://doi.org/10.1145/3287560.3287596</w:t>
      </w:r>
    </w:p>
    <w:p w14:paraId="598192EC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Mothilal, R. K., Sharma, A., &amp; Tan, C. (2020). Explaining machine learning classifiers through diverse counterfactual explanations. Proceedings of the 2020 Conference on Fairness, Accountability, and Transparency, 607–617. https://doi.org/10.1145/3351095.3372850</w:t>
      </w:r>
    </w:p>
    <w:p w14:paraId="5AEE4133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 xml:space="preserve">Pedregosa, F., Varoquaux, G., Gramfort, A., Michel, V., Thirion, B., Grisel, O., Blondel, M., Prettenhofer, P., Weiss, R., Dubourg, V., Vanderplas, J., Passos, A., Cournapeau, D., </w:t>
      </w:r>
      <w:r w:rsidRPr="002006E1">
        <w:rPr>
          <w:rFonts w:ascii="Times New Roman" w:hAnsi="Times New Roman" w:cs="Times New Roman"/>
          <w:sz w:val="24"/>
          <w:szCs w:val="24"/>
        </w:rPr>
        <w:lastRenderedPageBreak/>
        <w:t>Brucher, M., Perrot, M., &amp; Duchesnay, É. (2011). Scikit-learn: Machine learning in Python. Journal of Machine Learning Research, 12, 2825–2830.</w:t>
      </w:r>
    </w:p>
    <w:p w14:paraId="014816BA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Wachter, S., Mittelstadt, B., &amp; Russell, C. (2018). Counterfactual explanations without opening the black box: Automated decisions and the GDPR. Harvard Journal of Law &amp; Technology, 31(2), 841–887.</w:t>
      </w:r>
    </w:p>
    <w:p w14:paraId="459C7ED7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Weerts, H., Dudík, M., Edgar, R., Jalali, A., Lutz, R., &amp; Madaio, M. (2023). Fairlearn: Assessing and improving fairness of AI systems. Journal of Machine Learning Research, 24(257), 1–8.</w:t>
      </w:r>
    </w:p>
    <w:p w14:paraId="1FBACA76" w14:textId="77777777" w:rsidR="00E7620B" w:rsidRPr="002006E1" w:rsidRDefault="00000000">
      <w:pPr>
        <w:spacing w:after="80"/>
        <w:ind w:left="576" w:hanging="576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Zaharia, M., Chen, A., Davidson, A., Ghodsi, A., Hong, S. A., Konwinski, A., Murching, S., Nykodym, T., Ogilvie, P., Parkhe, M., Xie, F., &amp; Zumar, C. (2018). Accelerating the machine learning lifecycle with MLflow. IEEE Data Engineering Bulletin, 41(4), 39–45.</w:t>
      </w:r>
    </w:p>
    <w:p w14:paraId="5BF5D354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br w:type="page"/>
      </w:r>
    </w:p>
    <w:p w14:paraId="00B91BC8" w14:textId="77777777" w:rsidR="00E7620B" w:rsidRPr="002006E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lastRenderedPageBreak/>
        <w:t>Appendix A. Model Card</w:t>
      </w:r>
    </w:p>
    <w:p w14:paraId="586B6819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Version:</w:t>
      </w:r>
      <w:r w:rsidRPr="002006E1">
        <w:rPr>
          <w:rFonts w:ascii="Times New Roman" w:hAnsi="Times New Roman" w:cs="Times New Roman"/>
          <w:sz w:val="24"/>
          <w:szCs w:val="24"/>
        </w:rPr>
        <w:t xml:space="preserve"> 1 (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Staging) ·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</w:t>
      </w:r>
      <w:r w:rsidRPr="002006E1">
        <w:rPr>
          <w:rFonts w:ascii="Times New Roman" w:hAnsi="Times New Roman" w:cs="Times New Roman"/>
          <w:b/>
          <w:sz w:val="24"/>
          <w:szCs w:val="24"/>
        </w:rPr>
        <w:t>Algorithm:</w:t>
      </w:r>
      <w:r w:rsidRPr="002006E1">
        <w:rPr>
          <w:rFonts w:ascii="Times New Roman" w:hAnsi="Times New Roman" w:cs="Times New Roman"/>
          <w:sz w:val="24"/>
          <w:szCs w:val="24"/>
        </w:rPr>
        <w:t xml:space="preserve"> random forest · </w:t>
      </w:r>
      <w:r w:rsidRPr="002006E1">
        <w:rPr>
          <w:rFonts w:ascii="Times New Roman" w:hAnsi="Times New Roman" w:cs="Times New Roman"/>
          <w:b/>
          <w:sz w:val="24"/>
          <w:szCs w:val="24"/>
        </w:rPr>
        <w:t>Date:</w:t>
      </w:r>
      <w:r w:rsidRPr="002006E1">
        <w:rPr>
          <w:rFonts w:ascii="Times New Roman" w:hAnsi="Times New Roman" w:cs="Times New Roman"/>
          <w:sz w:val="24"/>
          <w:szCs w:val="24"/>
        </w:rPr>
        <w:t xml:space="preserve"> 2026-10-01 · </w:t>
      </w:r>
      <w:r w:rsidRPr="002006E1">
        <w:rPr>
          <w:rFonts w:ascii="Times New Roman" w:hAnsi="Times New Roman" w:cs="Times New Roman"/>
          <w:b/>
          <w:sz w:val="24"/>
          <w:szCs w:val="24"/>
        </w:rPr>
        <w:t>Owner:</w:t>
      </w:r>
      <w:r w:rsidRPr="002006E1">
        <w:rPr>
          <w:rFonts w:ascii="Times New Roman" w:hAnsi="Times New Roman" w:cs="Times New Roman"/>
          <w:sz w:val="24"/>
          <w:szCs w:val="24"/>
        </w:rPr>
        <w:t xml:space="preserve"> Abdi Farah Ahmed (BAN6800, Nexford University)</w:t>
      </w:r>
    </w:p>
    <w:p w14:paraId="2B8579E0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Intended use</w:t>
      </w:r>
    </w:p>
    <w:p w14:paraId="3AA14FCE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 xml:space="preserve">Advisory decision support for JJUSHYCSH outpatient/referral coordinators: score each scheduled follow-up 24–72 h ahead and prioritise reminder outreach (SMS → phone call → community health worker). </w:t>
      </w:r>
      <w:r w:rsidRPr="002006E1">
        <w:rPr>
          <w:rFonts w:ascii="Times New Roman" w:hAnsi="Times New Roman" w:cs="Times New Roman"/>
          <w:b/>
          <w:sz w:val="24"/>
          <w:szCs w:val="24"/>
        </w:rPr>
        <w:t>Out of scope:</w:t>
      </w:r>
      <w:r w:rsidRPr="002006E1">
        <w:rPr>
          <w:rFonts w:ascii="Times New Roman" w:hAnsi="Times New Roman" w:cs="Times New Roman"/>
          <w:sz w:val="24"/>
          <w:szCs w:val="24"/>
        </w:rPr>
        <w:t xml:space="preserve"> cancelling, overbooking against, or deprioritising any patient; any clinical decision. Rule from the Module 1 charter: a flag can add support, never reduce care.</w:t>
      </w:r>
    </w:p>
    <w:p w14:paraId="597F6BF9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Training data</w:t>
      </w:r>
    </w:p>
    <w:p w14:paraId="085E1D02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Module 3 pseudonymised model table built from the public Kaggle *Medical Appointment No Shows* data (Hoppen, 2016; Brazil), used as a disclosed proxy for JJUSHYCSH records. Patient-grouped 70/15/15 split (Module 3, seed 42): train 77,155 / validation 16,245 / test 16,499; test no-show rate 20.5%. Data hash 8b87e2989f1b… (route: module3_splits).</w:t>
      </w:r>
    </w:p>
    <w:p w14:paraId="1D8B7845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Features</w:t>
      </w:r>
    </w:p>
    <w:p w14:paraId="0A91BECB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age, lead_days, prior_visits, prior_no_shows, prior_no_show_rate, chronic_count, scholarship, hypertension, diabetes, same_day, first_visit, appt_weekday.</w:t>
      </w:r>
    </w:p>
    <w:p w14:paraId="14512F6A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Excluded on purpose: sms_received, area_code, gender, appt_month, lead_band, patient_key / appointment_key / dates.</w:t>
      </w:r>
    </w:p>
    <w:p w14:paraId="0994BBCB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Necessity review of sensitive health flags (Module 3 hand-over): alcoholism: Δ CV PR-AUC +0.0006 → drop as input (audit only); has_disability: Δ CV PR-AUC -0.0013 → drop as input (audit only).</w:t>
      </w:r>
    </w:p>
    <w:p w14:paraId="29F51CC2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Performance (Module 3 test split, threshold 0.560)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89"/>
        <w:gridCol w:w="1170"/>
        <w:gridCol w:w="1170"/>
      </w:tblGrid>
      <w:tr w:rsidR="00E7620B" w:rsidRPr="002006E1" w14:paraId="67696FEB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B5D194A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1170" w:type="dxa"/>
          </w:tcPr>
          <w:p w14:paraId="7DA00B6A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PR-AUC</w:t>
            </w:r>
          </w:p>
        </w:tc>
        <w:tc>
          <w:tcPr>
            <w:tcW w:w="1170" w:type="dxa"/>
          </w:tcPr>
          <w:p w14:paraId="7FE2D20C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170" w:type="dxa"/>
          </w:tcPr>
          <w:p w14:paraId="3BA10FF8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1170" w:type="dxa"/>
          </w:tcPr>
          <w:p w14:paraId="2CEE6F71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F1</w:t>
            </w:r>
          </w:p>
        </w:tc>
        <w:tc>
          <w:tcPr>
            <w:tcW w:w="1170" w:type="dxa"/>
          </w:tcPr>
          <w:p w14:paraId="52360D6E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170" w:type="dxa"/>
          </w:tcPr>
          <w:p w14:paraId="7EAE0475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Brier</w:t>
            </w:r>
          </w:p>
        </w:tc>
        <w:tc>
          <w:tcPr>
            <w:tcW w:w="1170" w:type="dxa"/>
          </w:tcPr>
          <w:p w14:paraId="74EDF1FD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Flag rate</w:t>
            </w:r>
          </w:p>
        </w:tc>
      </w:tr>
      <w:tr w:rsidR="00E7620B" w:rsidRPr="002006E1" w14:paraId="294D1F46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52F771B2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0.742</w:t>
            </w:r>
          </w:p>
        </w:tc>
        <w:tc>
          <w:tcPr>
            <w:tcW w:w="1170" w:type="dxa"/>
          </w:tcPr>
          <w:p w14:paraId="79D1A60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0.384</w:t>
            </w:r>
          </w:p>
        </w:tc>
        <w:tc>
          <w:tcPr>
            <w:tcW w:w="1170" w:type="dxa"/>
          </w:tcPr>
          <w:p w14:paraId="7ADA8D9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0.708</w:t>
            </w:r>
          </w:p>
        </w:tc>
        <w:tc>
          <w:tcPr>
            <w:tcW w:w="1170" w:type="dxa"/>
          </w:tcPr>
          <w:p w14:paraId="2D76C53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0.340</w:t>
            </w:r>
          </w:p>
        </w:tc>
        <w:tc>
          <w:tcPr>
            <w:tcW w:w="1170" w:type="dxa"/>
          </w:tcPr>
          <w:p w14:paraId="4079272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0.459</w:t>
            </w:r>
          </w:p>
        </w:tc>
        <w:tc>
          <w:tcPr>
            <w:tcW w:w="1170" w:type="dxa"/>
          </w:tcPr>
          <w:p w14:paraId="02DFB7EC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0.658</w:t>
            </w:r>
          </w:p>
        </w:tc>
        <w:tc>
          <w:tcPr>
            <w:tcW w:w="1170" w:type="dxa"/>
          </w:tcPr>
          <w:p w14:paraId="5B9F876A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0.210</w:t>
            </w:r>
          </w:p>
        </w:tc>
        <w:tc>
          <w:tcPr>
            <w:tcW w:w="1170" w:type="dxa"/>
          </w:tcPr>
          <w:p w14:paraId="121ACD9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0.428</w:t>
            </w:r>
          </w:p>
        </w:tc>
      </w:tr>
    </w:tbl>
    <w:p w14:paraId="0EB593FA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66FAA599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 xml:space="preserve">Forward-in-time check (refit on earliest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80 %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of dates, scored on latest </w:t>
      </w:r>
      <w:proofErr w:type="gramStart"/>
      <w:r w:rsidRPr="002006E1">
        <w:rPr>
          <w:rFonts w:ascii="Times New Roman" w:hAnsi="Times New Roman" w:cs="Times New Roman"/>
          <w:sz w:val="24"/>
          <w:szCs w:val="24"/>
        </w:rPr>
        <w:t>20 %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>): ROC-AUC 0.734, recall 0.686.</w:t>
      </w:r>
    </w:p>
    <w:p w14:paraId="38AFDF3C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Top drivers (mean |SHAP|)</w:t>
      </w:r>
    </w:p>
    <w:p w14:paraId="4E13D5EA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Lead time (days booked ahead): 0.0990</w:t>
      </w:r>
    </w:p>
    <w:p w14:paraId="6A025908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Same-day appointment: 0.0901</w:t>
      </w:r>
    </w:p>
    <w:p w14:paraId="771E7EBD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Patient age: 0.0337</w:t>
      </w:r>
    </w:p>
    <w:p w14:paraId="67F11C02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Prior no-show rate: 0.0191</w:t>
      </w:r>
    </w:p>
    <w:p w14:paraId="27CC629A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Number of prior no-shows: 0.0117</w:t>
      </w:r>
    </w:p>
    <w:p w14:paraId="66EF7AAB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Fairness (Module 3 test split)</w:t>
      </w:r>
    </w:p>
    <w:p w14:paraId="0C41F254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lastRenderedPageBreak/>
        <w:t>gender: DI ratio 0.984, EO difference 0.010, TPR gap 0.003</w:t>
      </w:r>
    </w:p>
    <w:p w14:paraId="58FA2BD3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age_band: DI ratio 0.093, EO difference 0.828, TPR gap 0.828</w:t>
      </w:r>
    </w:p>
    <w:p w14:paraId="1070170C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scholarship: DI ratio 0.686, EO difference 0.194, TPR gap 0.194</w:t>
      </w:r>
    </w:p>
    <w:p w14:paraId="3730CF39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has_disability: DI ratio 0.504, EO difference 0.335, TPR gap 0.335</w:t>
      </w:r>
    </w:p>
    <w:p w14:paraId="668A8975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Mitigation: group-specific thresholds chosen on validation (equal opportunity)</w:t>
      </w:r>
    </w:p>
    <w:p w14:paraId="6BC83FD8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Limitations</w:t>
      </w:r>
    </w:p>
    <w:p w14:paraId="7C462259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Proxy data from a different health system; must be re-validated on JJUSHYCSH/DHIS2 records before any real use.</w:t>
      </w:r>
    </w:p>
    <w:p w14:paraId="29A0AB4B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Only ~6 weeks of history; no seasonality, distance-to-facility, transport or rainy-season signals.</w:t>
      </w:r>
    </w:p>
    <w:p w14:paraId="13D81292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The disability group is 2 % of records (Module 3 flag), so its fairness estimates are less precise.</w:t>
      </w:r>
    </w:p>
    <w:p w14:paraId="634D38F6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Modest discrimination: many flagged patients would have attended (a false positive costs only a reminder).</w:t>
      </w:r>
    </w:p>
    <w:p w14:paraId="248F31FA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Ethical considerations</w:t>
      </w:r>
    </w:p>
    <w:p w14:paraId="247CF9EC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Gender and geography are not model inputs; fairness is monitored by gender, age band, welfare status and disability. Pseudonymised data remains personal data under Ethiopia's Personal Data Protection Proclamation No. 1321/2024. Oversight: the Hospital Research &amp; Ethics Review Committee and AI &amp; Data Governance Committee proposed in Module 1.</w:t>
      </w:r>
    </w:p>
    <w:p w14:paraId="698C8BC1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Monitoring</w:t>
      </w:r>
    </w:p>
    <w:p w14:paraId="4FDA4DB8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Monthly: recall and precision vs. acceptance criteria, per-group TPR gap, input drift (lead time, age), flag rate vs. outreach capacity. Retrain if recall &lt; 0.65 or any TPR gap &gt; 0.1.</w:t>
      </w:r>
    </w:p>
    <w:p w14:paraId="04E4672F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br w:type="page"/>
      </w:r>
    </w:p>
    <w:p w14:paraId="495739A9" w14:textId="77777777" w:rsidR="00E7620B" w:rsidRPr="002006E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lastRenderedPageBreak/>
        <w:t>Appendix B. Fairness Metrics Report</w:t>
      </w:r>
    </w:p>
    <w:p w14:paraId="324BDC17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Generated 2026-10-01 by Abdi Farah Ahmed from the Module 3 test split (16,499 appointments). Favourable outcome = being flagged High risk (it triggers extra outreach support, never reduced care).</w:t>
      </w:r>
    </w:p>
    <w:p w14:paraId="23473413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Criteria (Module 2 plan): disparate impact ratio &gt;= 0.8; equalized-odds difference &lt;= 0.1. Primary criterion: equal opportunity (recall parity), because the aim is to reach at-risk patients equally in every group. Protected attributes are the Module 3 bias-audit groups.</w:t>
      </w:r>
    </w:p>
    <w:p w14:paraId="7DA58EF2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gender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7620B" w:rsidRPr="002006E1" w14:paraId="28255775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369D625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1337" w:type="dxa"/>
          </w:tcPr>
          <w:p w14:paraId="1E492994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37" w:type="dxa"/>
          </w:tcPr>
          <w:p w14:paraId="77CCC7F6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No-show base rate</w:t>
            </w:r>
          </w:p>
        </w:tc>
        <w:tc>
          <w:tcPr>
            <w:tcW w:w="1337" w:type="dxa"/>
          </w:tcPr>
          <w:p w14:paraId="0620273A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Flag rate</w:t>
            </w:r>
          </w:p>
        </w:tc>
        <w:tc>
          <w:tcPr>
            <w:tcW w:w="1337" w:type="dxa"/>
          </w:tcPr>
          <w:p w14:paraId="1A8D7D1E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Recall (TPR)</w:t>
            </w:r>
          </w:p>
        </w:tc>
        <w:tc>
          <w:tcPr>
            <w:tcW w:w="1337" w:type="dxa"/>
          </w:tcPr>
          <w:p w14:paraId="41059F58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FPR</w:t>
            </w:r>
          </w:p>
        </w:tc>
        <w:tc>
          <w:tcPr>
            <w:tcW w:w="1337" w:type="dxa"/>
          </w:tcPr>
          <w:p w14:paraId="0FBEDCB2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E7620B" w:rsidRPr="002006E1" w14:paraId="5FAE69E8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3B98DF39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F</w:t>
            </w:r>
          </w:p>
        </w:tc>
        <w:tc>
          <w:tcPr>
            <w:tcW w:w="1337" w:type="dxa"/>
          </w:tcPr>
          <w:p w14:paraId="72B85EA0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10,878</w:t>
            </w:r>
          </w:p>
        </w:tc>
        <w:tc>
          <w:tcPr>
            <w:tcW w:w="1337" w:type="dxa"/>
          </w:tcPr>
          <w:p w14:paraId="261326EC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0.205</w:t>
            </w:r>
          </w:p>
        </w:tc>
        <w:tc>
          <w:tcPr>
            <w:tcW w:w="1337" w:type="dxa"/>
          </w:tcPr>
          <w:p w14:paraId="47C8FCE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0.430</w:t>
            </w:r>
          </w:p>
        </w:tc>
        <w:tc>
          <w:tcPr>
            <w:tcW w:w="1337" w:type="dxa"/>
          </w:tcPr>
          <w:p w14:paraId="049A3914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0.707</w:t>
            </w:r>
          </w:p>
        </w:tc>
        <w:tc>
          <w:tcPr>
            <w:tcW w:w="1337" w:type="dxa"/>
          </w:tcPr>
          <w:p w14:paraId="2B8C78FA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0.359</w:t>
            </w:r>
          </w:p>
        </w:tc>
        <w:tc>
          <w:tcPr>
            <w:tcW w:w="1337" w:type="dxa"/>
          </w:tcPr>
          <w:p w14:paraId="4709D7F3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0.336</w:t>
            </w:r>
          </w:p>
        </w:tc>
      </w:tr>
      <w:tr w:rsidR="00E7620B" w:rsidRPr="002006E1" w14:paraId="22A8090D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4121C0F3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M</w:t>
            </w:r>
          </w:p>
        </w:tc>
        <w:tc>
          <w:tcPr>
            <w:tcW w:w="1337" w:type="dxa"/>
          </w:tcPr>
          <w:p w14:paraId="46F3F1AF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5,621</w:t>
            </w:r>
          </w:p>
        </w:tc>
        <w:tc>
          <w:tcPr>
            <w:tcW w:w="1337" w:type="dxa"/>
          </w:tcPr>
          <w:p w14:paraId="178BA463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0.207</w:t>
            </w:r>
          </w:p>
        </w:tc>
        <w:tc>
          <w:tcPr>
            <w:tcW w:w="1337" w:type="dxa"/>
          </w:tcPr>
          <w:p w14:paraId="632E2D53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0.423</w:t>
            </w:r>
          </w:p>
        </w:tc>
        <w:tc>
          <w:tcPr>
            <w:tcW w:w="1337" w:type="dxa"/>
          </w:tcPr>
          <w:p w14:paraId="7D8DAE4D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0.710</w:t>
            </w:r>
          </w:p>
        </w:tc>
        <w:tc>
          <w:tcPr>
            <w:tcW w:w="1337" w:type="dxa"/>
          </w:tcPr>
          <w:p w14:paraId="3F64C86B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0.349</w:t>
            </w:r>
          </w:p>
        </w:tc>
        <w:tc>
          <w:tcPr>
            <w:tcW w:w="1337" w:type="dxa"/>
          </w:tcPr>
          <w:p w14:paraId="186981DF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0.346</w:t>
            </w:r>
          </w:p>
        </w:tc>
      </w:tr>
    </w:tbl>
    <w:p w14:paraId="237004AD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1B70293B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Demographic parity difference: 0.007</w:t>
      </w:r>
    </w:p>
    <w:p w14:paraId="38EA81BE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Disparate impact ratio: 0.984 (meets 0.8)</w:t>
      </w:r>
    </w:p>
    <w:p w14:paraId="1780308A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Equalized-odds difference: 0.010 (meets 0.1); TPR gap 0.003, FPR gap 0.010</w:t>
      </w:r>
    </w:p>
    <w:p w14:paraId="2BD2E1CB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Fairlearn cross-check: DP diff 0.007, EO diff 0.010</w:t>
      </w:r>
    </w:p>
    <w:p w14:paraId="542D0369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age_band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7620B" w:rsidRPr="002006E1" w14:paraId="698ADED5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DE8A4BD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1337" w:type="dxa"/>
          </w:tcPr>
          <w:p w14:paraId="4104DF72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37" w:type="dxa"/>
          </w:tcPr>
          <w:p w14:paraId="72FCEAC2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No-show base rate</w:t>
            </w:r>
          </w:p>
        </w:tc>
        <w:tc>
          <w:tcPr>
            <w:tcW w:w="1337" w:type="dxa"/>
          </w:tcPr>
          <w:p w14:paraId="6BC70637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Flag rate</w:t>
            </w:r>
          </w:p>
        </w:tc>
        <w:tc>
          <w:tcPr>
            <w:tcW w:w="1337" w:type="dxa"/>
          </w:tcPr>
          <w:p w14:paraId="4D4661FE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Recall (TPR)</w:t>
            </w:r>
          </w:p>
        </w:tc>
        <w:tc>
          <w:tcPr>
            <w:tcW w:w="1337" w:type="dxa"/>
          </w:tcPr>
          <w:p w14:paraId="202A2A69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FPR</w:t>
            </w:r>
          </w:p>
        </w:tc>
        <w:tc>
          <w:tcPr>
            <w:tcW w:w="1337" w:type="dxa"/>
          </w:tcPr>
          <w:p w14:paraId="0CA9CF85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E7620B" w:rsidRPr="002006E1" w14:paraId="45657934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0F937017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0-5</w:t>
            </w:r>
          </w:p>
        </w:tc>
        <w:tc>
          <w:tcPr>
            <w:tcW w:w="1337" w:type="dxa"/>
          </w:tcPr>
          <w:p w14:paraId="263FEC9C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1,683</w:t>
            </w:r>
          </w:p>
        </w:tc>
        <w:tc>
          <w:tcPr>
            <w:tcW w:w="1337" w:type="dxa"/>
          </w:tcPr>
          <w:p w14:paraId="7D64F6B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0.203</w:t>
            </w:r>
          </w:p>
        </w:tc>
        <w:tc>
          <w:tcPr>
            <w:tcW w:w="1337" w:type="dxa"/>
          </w:tcPr>
          <w:p w14:paraId="255A70E0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0.541</w:t>
            </w:r>
          </w:p>
        </w:tc>
        <w:tc>
          <w:tcPr>
            <w:tcW w:w="1337" w:type="dxa"/>
          </w:tcPr>
          <w:p w14:paraId="19A90E7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0.936</w:t>
            </w:r>
          </w:p>
        </w:tc>
        <w:tc>
          <w:tcPr>
            <w:tcW w:w="1337" w:type="dxa"/>
          </w:tcPr>
          <w:p w14:paraId="059D34A4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0.441</w:t>
            </w:r>
          </w:p>
        </w:tc>
        <w:tc>
          <w:tcPr>
            <w:tcW w:w="1337" w:type="dxa"/>
          </w:tcPr>
          <w:p w14:paraId="7AF934A4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0.351</w:t>
            </w:r>
          </w:p>
        </w:tc>
      </w:tr>
      <w:tr w:rsidR="00E7620B" w:rsidRPr="002006E1" w14:paraId="71784135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0E7A305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18-34</w:t>
            </w:r>
          </w:p>
        </w:tc>
        <w:tc>
          <w:tcPr>
            <w:tcW w:w="1337" w:type="dxa"/>
          </w:tcPr>
          <w:p w14:paraId="3165DC92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3,607</w:t>
            </w:r>
          </w:p>
        </w:tc>
        <w:tc>
          <w:tcPr>
            <w:tcW w:w="1337" w:type="dxa"/>
          </w:tcPr>
          <w:p w14:paraId="2BCB9A24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0.242</w:t>
            </w:r>
          </w:p>
        </w:tc>
        <w:tc>
          <w:tcPr>
            <w:tcW w:w="1337" w:type="dxa"/>
          </w:tcPr>
          <w:p w14:paraId="3CE52D65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0.650</w:t>
            </w:r>
          </w:p>
        </w:tc>
        <w:tc>
          <w:tcPr>
            <w:tcW w:w="1337" w:type="dxa"/>
          </w:tcPr>
          <w:p w14:paraId="3F0B5F1F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0.925</w:t>
            </w:r>
          </w:p>
        </w:tc>
        <w:tc>
          <w:tcPr>
            <w:tcW w:w="1337" w:type="dxa"/>
          </w:tcPr>
          <w:p w14:paraId="324D0387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0.562</w:t>
            </w:r>
          </w:p>
        </w:tc>
        <w:tc>
          <w:tcPr>
            <w:tcW w:w="1337" w:type="dxa"/>
          </w:tcPr>
          <w:p w14:paraId="4F8D0EA9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0.344</w:t>
            </w:r>
          </w:p>
        </w:tc>
      </w:tr>
      <w:tr w:rsidR="00E7620B" w:rsidRPr="002006E1" w14:paraId="5DCDDF82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2D6A89F6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35-54</w:t>
            </w:r>
          </w:p>
        </w:tc>
        <w:tc>
          <w:tcPr>
            <w:tcW w:w="1337" w:type="dxa"/>
          </w:tcPr>
          <w:p w14:paraId="6B3B780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4,606</w:t>
            </w:r>
          </w:p>
        </w:tc>
        <w:tc>
          <w:tcPr>
            <w:tcW w:w="1337" w:type="dxa"/>
          </w:tcPr>
          <w:p w14:paraId="6377D62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0.205</w:t>
            </w:r>
          </w:p>
        </w:tc>
        <w:tc>
          <w:tcPr>
            <w:tcW w:w="1337" w:type="dxa"/>
          </w:tcPr>
          <w:p w14:paraId="076009C3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0.434</w:t>
            </w:r>
          </w:p>
        </w:tc>
        <w:tc>
          <w:tcPr>
            <w:tcW w:w="1337" w:type="dxa"/>
          </w:tcPr>
          <w:p w14:paraId="0A63450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0.691</w:t>
            </w:r>
          </w:p>
        </w:tc>
        <w:tc>
          <w:tcPr>
            <w:tcW w:w="1337" w:type="dxa"/>
          </w:tcPr>
          <w:p w14:paraId="1D5BC01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0.368</w:t>
            </w:r>
          </w:p>
        </w:tc>
        <w:tc>
          <w:tcPr>
            <w:tcW w:w="1337" w:type="dxa"/>
          </w:tcPr>
          <w:p w14:paraId="63E4DBB7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0.326</w:t>
            </w:r>
          </w:p>
        </w:tc>
      </w:tr>
      <w:tr w:rsidR="00E7620B" w:rsidRPr="002006E1" w14:paraId="21573180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3E046ADF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55-69</w:t>
            </w:r>
          </w:p>
        </w:tc>
        <w:tc>
          <w:tcPr>
            <w:tcW w:w="1337" w:type="dxa"/>
          </w:tcPr>
          <w:p w14:paraId="4A84D563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2,919</w:t>
            </w:r>
          </w:p>
        </w:tc>
        <w:tc>
          <w:tcPr>
            <w:tcW w:w="1337" w:type="dxa"/>
          </w:tcPr>
          <w:p w14:paraId="64FB11C7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0.156</w:t>
            </w:r>
          </w:p>
        </w:tc>
        <w:tc>
          <w:tcPr>
            <w:tcW w:w="1337" w:type="dxa"/>
          </w:tcPr>
          <w:p w14:paraId="0EE5DED4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0.091</w:t>
            </w:r>
          </w:p>
        </w:tc>
        <w:tc>
          <w:tcPr>
            <w:tcW w:w="1337" w:type="dxa"/>
          </w:tcPr>
          <w:p w14:paraId="23A23532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0.211</w:t>
            </w:r>
          </w:p>
        </w:tc>
        <w:tc>
          <w:tcPr>
            <w:tcW w:w="1337" w:type="dxa"/>
          </w:tcPr>
          <w:p w14:paraId="20DF9243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0.069</w:t>
            </w:r>
          </w:p>
        </w:tc>
        <w:tc>
          <w:tcPr>
            <w:tcW w:w="1337" w:type="dxa"/>
          </w:tcPr>
          <w:p w14:paraId="3BFAD8AD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0.360</w:t>
            </w:r>
          </w:p>
        </w:tc>
      </w:tr>
      <w:tr w:rsidR="00E7620B" w:rsidRPr="002006E1" w14:paraId="5E1FB4B1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2912CE5F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6-17</w:t>
            </w:r>
          </w:p>
        </w:tc>
        <w:tc>
          <w:tcPr>
            <w:tcW w:w="1337" w:type="dxa"/>
          </w:tcPr>
          <w:p w14:paraId="5183E84E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2,326</w:t>
            </w:r>
          </w:p>
        </w:tc>
        <w:tc>
          <w:tcPr>
            <w:tcW w:w="1337" w:type="dxa"/>
          </w:tcPr>
          <w:p w14:paraId="4C73D15A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0.245</w:t>
            </w:r>
          </w:p>
        </w:tc>
        <w:tc>
          <w:tcPr>
            <w:tcW w:w="1337" w:type="dxa"/>
          </w:tcPr>
          <w:p w14:paraId="12333B7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0.624</w:t>
            </w:r>
          </w:p>
        </w:tc>
        <w:tc>
          <w:tcPr>
            <w:tcW w:w="1337" w:type="dxa"/>
          </w:tcPr>
          <w:p w14:paraId="527C3E68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0.879</w:t>
            </w:r>
          </w:p>
        </w:tc>
        <w:tc>
          <w:tcPr>
            <w:tcW w:w="1337" w:type="dxa"/>
          </w:tcPr>
          <w:p w14:paraId="03730C41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0.542</w:t>
            </w:r>
          </w:p>
        </w:tc>
        <w:tc>
          <w:tcPr>
            <w:tcW w:w="1337" w:type="dxa"/>
          </w:tcPr>
          <w:p w14:paraId="6FA9BF60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0.344</w:t>
            </w:r>
          </w:p>
        </w:tc>
      </w:tr>
      <w:tr w:rsidR="00E7620B" w:rsidRPr="002006E1" w14:paraId="4EECBCAD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0163DD05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70+</w:t>
            </w:r>
          </w:p>
        </w:tc>
        <w:tc>
          <w:tcPr>
            <w:tcW w:w="1337" w:type="dxa"/>
          </w:tcPr>
          <w:p w14:paraId="6F22BFD0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1,358</w:t>
            </w:r>
          </w:p>
        </w:tc>
        <w:tc>
          <w:tcPr>
            <w:tcW w:w="1337" w:type="dxa"/>
          </w:tcPr>
          <w:p w14:paraId="232574D8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0.150</w:t>
            </w:r>
          </w:p>
        </w:tc>
        <w:tc>
          <w:tcPr>
            <w:tcW w:w="1337" w:type="dxa"/>
          </w:tcPr>
          <w:p w14:paraId="6F003F3C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0.060</w:t>
            </w:r>
          </w:p>
        </w:tc>
        <w:tc>
          <w:tcPr>
            <w:tcW w:w="1337" w:type="dxa"/>
          </w:tcPr>
          <w:p w14:paraId="7786C68C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0.108</w:t>
            </w:r>
          </w:p>
        </w:tc>
        <w:tc>
          <w:tcPr>
            <w:tcW w:w="1337" w:type="dxa"/>
          </w:tcPr>
          <w:p w14:paraId="087BDC7A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0.052</w:t>
            </w:r>
          </w:p>
        </w:tc>
        <w:tc>
          <w:tcPr>
            <w:tcW w:w="1337" w:type="dxa"/>
          </w:tcPr>
          <w:p w14:paraId="12C5F24A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0.268</w:t>
            </w:r>
          </w:p>
        </w:tc>
      </w:tr>
    </w:tbl>
    <w:p w14:paraId="6B0F10BC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3C01FEF9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Demographic parity difference: 0.589</w:t>
      </w:r>
    </w:p>
    <w:p w14:paraId="339F67E8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Disparate impact ratio: 0.093 (below 0.8)</w:t>
      </w:r>
    </w:p>
    <w:p w14:paraId="0561F3C5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Equalized-odds difference: 0.828 (exceeds 0.1); TPR gap 0.828, FPR gap 0.510</w:t>
      </w:r>
    </w:p>
    <w:p w14:paraId="19D180CB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Fairlearn cross-check: DP diff 0.589, EO diff 0.828</w:t>
      </w:r>
    </w:p>
    <w:p w14:paraId="1546B661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scholarship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7620B" w:rsidRPr="002006E1" w14:paraId="0FBF75CF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4CF576B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1337" w:type="dxa"/>
          </w:tcPr>
          <w:p w14:paraId="315975D8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37" w:type="dxa"/>
          </w:tcPr>
          <w:p w14:paraId="500AAE5E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No-show base rate</w:t>
            </w:r>
          </w:p>
        </w:tc>
        <w:tc>
          <w:tcPr>
            <w:tcW w:w="1337" w:type="dxa"/>
          </w:tcPr>
          <w:p w14:paraId="44D03041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Flag rate</w:t>
            </w:r>
          </w:p>
        </w:tc>
        <w:tc>
          <w:tcPr>
            <w:tcW w:w="1337" w:type="dxa"/>
          </w:tcPr>
          <w:p w14:paraId="01D7FADE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Recall (TPR)</w:t>
            </w:r>
          </w:p>
        </w:tc>
        <w:tc>
          <w:tcPr>
            <w:tcW w:w="1337" w:type="dxa"/>
          </w:tcPr>
          <w:p w14:paraId="55BFD48A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FPR</w:t>
            </w:r>
          </w:p>
        </w:tc>
        <w:tc>
          <w:tcPr>
            <w:tcW w:w="1337" w:type="dxa"/>
          </w:tcPr>
          <w:p w14:paraId="3B498D53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E7620B" w:rsidRPr="002006E1" w14:paraId="787279BF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3F1732B5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78011F8B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14,825</w:t>
            </w:r>
          </w:p>
        </w:tc>
        <w:tc>
          <w:tcPr>
            <w:tcW w:w="1337" w:type="dxa"/>
          </w:tcPr>
          <w:p w14:paraId="5E2416DF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0.198</w:t>
            </w:r>
          </w:p>
        </w:tc>
        <w:tc>
          <w:tcPr>
            <w:tcW w:w="1337" w:type="dxa"/>
          </w:tcPr>
          <w:p w14:paraId="298E6120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0.409</w:t>
            </w:r>
          </w:p>
        </w:tc>
        <w:tc>
          <w:tcPr>
            <w:tcW w:w="1337" w:type="dxa"/>
          </w:tcPr>
          <w:p w14:paraId="5630C29E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0.682</w:t>
            </w:r>
          </w:p>
        </w:tc>
        <w:tc>
          <w:tcPr>
            <w:tcW w:w="1337" w:type="dxa"/>
          </w:tcPr>
          <w:p w14:paraId="27A717DE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0.341</w:t>
            </w:r>
          </w:p>
        </w:tc>
        <w:tc>
          <w:tcPr>
            <w:tcW w:w="1337" w:type="dxa"/>
          </w:tcPr>
          <w:p w14:paraId="504B6BC6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0.330</w:t>
            </w:r>
          </w:p>
        </w:tc>
      </w:tr>
      <w:tr w:rsidR="00E7620B" w:rsidRPr="002006E1" w14:paraId="3178C373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5AB58707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1337" w:type="dxa"/>
          </w:tcPr>
          <w:p w14:paraId="0109EE17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1,674</w:t>
            </w:r>
          </w:p>
        </w:tc>
        <w:tc>
          <w:tcPr>
            <w:tcW w:w="1337" w:type="dxa"/>
          </w:tcPr>
          <w:p w14:paraId="74FF93F6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0.270</w:t>
            </w:r>
          </w:p>
        </w:tc>
        <w:tc>
          <w:tcPr>
            <w:tcW w:w="1337" w:type="dxa"/>
          </w:tcPr>
          <w:p w14:paraId="0BDC39A2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0.596</w:t>
            </w:r>
          </w:p>
        </w:tc>
        <w:tc>
          <w:tcPr>
            <w:tcW w:w="1337" w:type="dxa"/>
          </w:tcPr>
          <w:p w14:paraId="1A9BC535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0.876</w:t>
            </w:r>
          </w:p>
        </w:tc>
        <w:tc>
          <w:tcPr>
            <w:tcW w:w="1337" w:type="dxa"/>
          </w:tcPr>
          <w:p w14:paraId="64E9556C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0.492</w:t>
            </w:r>
          </w:p>
        </w:tc>
        <w:tc>
          <w:tcPr>
            <w:tcW w:w="1337" w:type="dxa"/>
          </w:tcPr>
          <w:p w14:paraId="667F01E6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0.397</w:t>
            </w:r>
          </w:p>
        </w:tc>
      </w:tr>
    </w:tbl>
    <w:p w14:paraId="00EEE607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67FB4673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Demographic parity difference: 0.187</w:t>
      </w:r>
    </w:p>
    <w:p w14:paraId="2DCA948E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Disparate impact ratio: 0.686 (below 0.8)</w:t>
      </w:r>
    </w:p>
    <w:p w14:paraId="4FB1C44E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lastRenderedPageBreak/>
        <w:t>Equalized-odds difference: 0.194 (exceeds 0.1); TPR gap 0.194, FPR gap 0.150</w:t>
      </w:r>
    </w:p>
    <w:p w14:paraId="71C4D16E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Fairlearn cross-check: DP diff 0.187, EO diff 0.194</w:t>
      </w:r>
    </w:p>
    <w:p w14:paraId="26A354C9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has_disability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7620B" w:rsidRPr="002006E1" w14:paraId="3021B31F" w14:textId="77777777" w:rsidTr="00E76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2F8652E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1337" w:type="dxa"/>
          </w:tcPr>
          <w:p w14:paraId="6E4E7E75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37" w:type="dxa"/>
          </w:tcPr>
          <w:p w14:paraId="54564C28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No-show base rate</w:t>
            </w:r>
          </w:p>
        </w:tc>
        <w:tc>
          <w:tcPr>
            <w:tcW w:w="1337" w:type="dxa"/>
          </w:tcPr>
          <w:p w14:paraId="0DB48BE7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Flag rate</w:t>
            </w:r>
          </w:p>
        </w:tc>
        <w:tc>
          <w:tcPr>
            <w:tcW w:w="1337" w:type="dxa"/>
          </w:tcPr>
          <w:p w14:paraId="6267C993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Recall (TPR)</w:t>
            </w:r>
          </w:p>
        </w:tc>
        <w:tc>
          <w:tcPr>
            <w:tcW w:w="1337" w:type="dxa"/>
          </w:tcPr>
          <w:p w14:paraId="42ACF022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FPR</w:t>
            </w:r>
          </w:p>
        </w:tc>
        <w:tc>
          <w:tcPr>
            <w:tcW w:w="1337" w:type="dxa"/>
          </w:tcPr>
          <w:p w14:paraId="7F85191F" w14:textId="77777777" w:rsidR="00E7620B" w:rsidRPr="002006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E7620B" w:rsidRPr="002006E1" w14:paraId="5C742600" w14:textId="77777777" w:rsidTr="00E762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17E185A7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41D125E5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16,223</w:t>
            </w:r>
          </w:p>
        </w:tc>
        <w:tc>
          <w:tcPr>
            <w:tcW w:w="1337" w:type="dxa"/>
          </w:tcPr>
          <w:p w14:paraId="0FA78DF2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0.206</w:t>
            </w:r>
          </w:p>
        </w:tc>
        <w:tc>
          <w:tcPr>
            <w:tcW w:w="1337" w:type="dxa"/>
          </w:tcPr>
          <w:p w14:paraId="29FD48E5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0.431</w:t>
            </w:r>
          </w:p>
        </w:tc>
        <w:tc>
          <w:tcPr>
            <w:tcW w:w="1337" w:type="dxa"/>
          </w:tcPr>
          <w:p w14:paraId="74E233B5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0.712</w:t>
            </w:r>
          </w:p>
        </w:tc>
        <w:tc>
          <w:tcPr>
            <w:tcW w:w="1337" w:type="dxa"/>
          </w:tcPr>
          <w:p w14:paraId="24E6A1A3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0.358</w:t>
            </w:r>
          </w:p>
        </w:tc>
        <w:tc>
          <w:tcPr>
            <w:tcW w:w="1337" w:type="dxa"/>
          </w:tcPr>
          <w:p w14:paraId="3ED3BFDC" w14:textId="77777777" w:rsidR="00E7620B" w:rsidRPr="002006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0.340</w:t>
            </w:r>
          </w:p>
        </w:tc>
      </w:tr>
      <w:tr w:rsidR="00E7620B" w:rsidRPr="002006E1" w14:paraId="54F2A4E3" w14:textId="77777777" w:rsidTr="00E762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</w:tcPr>
          <w:p w14:paraId="6EE2A7FD" w14:textId="77777777" w:rsidR="00E7620B" w:rsidRPr="002006E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1337" w:type="dxa"/>
          </w:tcPr>
          <w:p w14:paraId="08537486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276</w:t>
            </w:r>
          </w:p>
        </w:tc>
        <w:tc>
          <w:tcPr>
            <w:tcW w:w="1337" w:type="dxa"/>
          </w:tcPr>
          <w:p w14:paraId="04A9E378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0.163</w:t>
            </w:r>
          </w:p>
        </w:tc>
        <w:tc>
          <w:tcPr>
            <w:tcW w:w="1337" w:type="dxa"/>
          </w:tcPr>
          <w:p w14:paraId="04881B35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0.217</w:t>
            </w:r>
          </w:p>
        </w:tc>
        <w:tc>
          <w:tcPr>
            <w:tcW w:w="1337" w:type="dxa"/>
          </w:tcPr>
          <w:p w14:paraId="748884F6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0.378</w:t>
            </w:r>
          </w:p>
        </w:tc>
        <w:tc>
          <w:tcPr>
            <w:tcW w:w="1337" w:type="dxa"/>
          </w:tcPr>
          <w:p w14:paraId="3461C0DD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0.186</w:t>
            </w:r>
          </w:p>
        </w:tc>
        <w:tc>
          <w:tcPr>
            <w:tcW w:w="1337" w:type="dxa"/>
          </w:tcPr>
          <w:p w14:paraId="25309C8D" w14:textId="77777777" w:rsidR="00E7620B" w:rsidRPr="002006E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06E1">
              <w:rPr>
                <w:rFonts w:ascii="Times New Roman" w:hAnsi="Times New Roman" w:cs="Times New Roman"/>
                <w:sz w:val="24"/>
                <w:szCs w:val="24"/>
              </w:rPr>
              <w:t>0.283</w:t>
            </w:r>
          </w:p>
        </w:tc>
      </w:tr>
    </w:tbl>
    <w:p w14:paraId="7BAC863B" w14:textId="77777777" w:rsidR="00E7620B" w:rsidRPr="002006E1" w:rsidRDefault="00E7620B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4A6899C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Demographic parity difference: 0.214</w:t>
      </w:r>
    </w:p>
    <w:p w14:paraId="23F9E909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Disparate impact ratio: 0.504 (below 0.8)</w:t>
      </w:r>
    </w:p>
    <w:p w14:paraId="456DBD0F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Equalized-odds difference: 0.335 (exceeds 0.1); TPR gap 0.335, FPR gap 0.172</w:t>
      </w:r>
    </w:p>
    <w:p w14:paraId="1DFACA88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Fairlearn cross-check: DP diff 0.214, EO diff 0.335</w:t>
      </w:r>
    </w:p>
    <w:p w14:paraId="39389454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Mitigation</w:t>
      </w:r>
    </w:p>
    <w:p w14:paraId="4A9F3AF3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 xml:space="preserve">Applied on </w:t>
      </w:r>
      <w:r w:rsidRPr="002006E1">
        <w:rPr>
          <w:rFonts w:ascii="Times New Roman" w:hAnsi="Times New Roman" w:cs="Times New Roman"/>
          <w:b/>
          <w:sz w:val="24"/>
          <w:szCs w:val="24"/>
        </w:rPr>
        <w:t>age_band</w:t>
      </w:r>
      <w:r w:rsidRPr="002006E1">
        <w:rPr>
          <w:rFonts w:ascii="Times New Roman" w:hAnsi="Times New Roman" w:cs="Times New Roman"/>
          <w:sz w:val="24"/>
          <w:szCs w:val="24"/>
        </w:rPr>
        <w:t>: group-specific thresholds chosen on validation (equal opportunity).</w:t>
      </w:r>
    </w:p>
    <w:p w14:paraId="59A54D59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Group thresholds: 0-5=0.618, 18-34=0.622, 35-54=0.554, 55-69=0.506, 6-17=0.610, 70+=0.500.</w:t>
      </w:r>
    </w:p>
    <w:p w14:paraId="35953DB4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TPR gap 0.828 -&gt; 0.076; DI ratio 0.093 -&gt; 0.739.</w:t>
      </w:r>
    </w:p>
    <w:p w14:paraId="396CEB39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proofErr w:type="gramStart"/>
      <w:r w:rsidRPr="002006E1">
        <w:rPr>
          <w:rFonts w:ascii="Times New Roman" w:hAnsi="Times New Roman" w:cs="Times New Roman"/>
          <w:sz w:val="24"/>
          <w:szCs w:val="24"/>
        </w:rPr>
        <w:t>Overall</w:t>
      </w:r>
      <w:proofErr w:type="gramEnd"/>
      <w:r w:rsidRPr="002006E1">
        <w:rPr>
          <w:rFonts w:ascii="Times New Roman" w:hAnsi="Times New Roman" w:cs="Times New Roman"/>
          <w:sz w:val="24"/>
          <w:szCs w:val="24"/>
        </w:rPr>
        <w:t xml:space="preserve"> after mitigation: recall 0.719, precision 0.325, flag rate 0.454.</w:t>
      </w:r>
    </w:p>
    <w:p w14:paraId="2288B277" w14:textId="77777777" w:rsidR="00E7620B" w:rsidRPr="002006E1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Fairlearn ThresholdOptimizer comparison: TPR gap 0.081, recall 0.901, flag rate 0.618.</w:t>
      </w:r>
    </w:p>
    <w:p w14:paraId="71334104" w14:textId="77777777" w:rsidR="00E7620B" w:rsidRPr="002006E1" w:rsidRDefault="00000000">
      <w:pPr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b/>
          <w:sz w:val="24"/>
          <w:szCs w:val="24"/>
        </w:rPr>
        <w:t>Data bias carried forward from Module 3</w:t>
      </w:r>
    </w:p>
    <w:p w14:paraId="565222B9" w14:textId="77777777" w:rsidR="00E7620B" w:rsidRPr="002006E1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Module 3 flag: has_disability 1 — under-represented (share=0.0201)</w:t>
      </w:r>
    </w:p>
    <w:p w14:paraId="280AFF2E" w14:textId="77777777" w:rsidR="00E7620B" w:rsidRPr="002006E1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2006E1">
        <w:rPr>
          <w:rFonts w:ascii="Times New Roman" w:hAnsi="Times New Roman" w:cs="Times New Roman"/>
          <w:color w:val="auto"/>
          <w:sz w:val="24"/>
          <w:szCs w:val="24"/>
        </w:rPr>
        <w:t>Appendix C. AI Disclosure</w:t>
      </w:r>
    </w:p>
    <w:p w14:paraId="48EC57BC" w14:textId="77777777" w:rsidR="00E7620B" w:rsidRPr="002006E1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2006E1">
        <w:rPr>
          <w:rFonts w:ascii="Times New Roman" w:hAnsi="Times New Roman" w:cs="Times New Roman"/>
          <w:sz w:val="24"/>
          <w:szCs w:val="24"/>
        </w:rPr>
        <w:t>See the separately submitted NXU AI Disclosure Form (Module 4).</w:t>
      </w:r>
    </w:p>
    <w:sectPr w:rsidR="00E7620B" w:rsidRPr="002006E1" w:rsidSect="00034616">
      <w:footerReference w:type="default" r:id="rId17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DA896" w14:textId="77777777" w:rsidR="005623B9" w:rsidRDefault="005623B9">
      <w:pPr>
        <w:spacing w:after="0" w:line="240" w:lineRule="auto"/>
      </w:pPr>
      <w:r>
        <w:separator/>
      </w:r>
    </w:p>
  </w:endnote>
  <w:endnote w:type="continuationSeparator" w:id="0">
    <w:p w14:paraId="237C19A6" w14:textId="77777777" w:rsidR="005623B9" w:rsidRDefault="00562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F854F" w14:textId="77777777" w:rsidR="00E7620B" w:rsidRDefault="00000000">
    <w:pPr>
      <w:pStyle w:val="Footer"/>
      <w:jc w:val="center"/>
    </w:pPr>
    <w:r>
      <w:rPr>
        <w:sz w:val="16"/>
      </w:rPr>
      <w:t xml:space="preserve">BAN6800 Module 4 — Model Validation Report | Abdi Farah Ahmed | Page </w:t>
    </w:r>
    <w:r>
      <w:rPr>
        <w:sz w:val="16"/>
      </w:rPr>
      <w:fldChar w:fldCharType="begin"/>
    </w:r>
    <w:r>
      <w:rPr>
        <w:sz w:val="16"/>
      </w:rPr>
      <w:instrText>PAGE</w:instrText>
    </w:r>
    <w:r w:rsidR="002006E1">
      <w:rPr>
        <w:sz w:val="16"/>
      </w:rPr>
      <w:fldChar w:fldCharType="separate"/>
    </w:r>
    <w:r w:rsidR="002006E1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545E5" w14:textId="77777777" w:rsidR="005623B9" w:rsidRDefault="005623B9">
      <w:pPr>
        <w:spacing w:after="0" w:line="240" w:lineRule="auto"/>
      </w:pPr>
      <w:r>
        <w:separator/>
      </w:r>
    </w:p>
  </w:footnote>
  <w:footnote w:type="continuationSeparator" w:id="0">
    <w:p w14:paraId="364565D8" w14:textId="77777777" w:rsidR="005623B9" w:rsidRDefault="005623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40EA2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840244">
    <w:abstractNumId w:val="8"/>
  </w:num>
  <w:num w:numId="2" w16cid:durableId="1864783437">
    <w:abstractNumId w:val="6"/>
  </w:num>
  <w:num w:numId="3" w16cid:durableId="783037376">
    <w:abstractNumId w:val="5"/>
  </w:num>
  <w:num w:numId="4" w16cid:durableId="2115783531">
    <w:abstractNumId w:val="4"/>
  </w:num>
  <w:num w:numId="5" w16cid:durableId="1867597215">
    <w:abstractNumId w:val="7"/>
  </w:num>
  <w:num w:numId="6" w16cid:durableId="173112639">
    <w:abstractNumId w:val="3"/>
  </w:num>
  <w:num w:numId="7" w16cid:durableId="1114636701">
    <w:abstractNumId w:val="2"/>
  </w:num>
  <w:num w:numId="8" w16cid:durableId="328676761">
    <w:abstractNumId w:val="1"/>
  </w:num>
  <w:num w:numId="9" w16cid:durableId="214114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6E1"/>
    <w:rsid w:val="0029639D"/>
    <w:rsid w:val="00326F90"/>
    <w:rsid w:val="005623B9"/>
    <w:rsid w:val="00996625"/>
    <w:rsid w:val="00AA1D8D"/>
    <w:rsid w:val="00B47730"/>
    <w:rsid w:val="00CB0664"/>
    <w:rsid w:val="00E762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CC675A"/>
  <w14:defaultImageDpi w14:val="300"/>
  <w15:docId w15:val="{84583411-29F1-4730-9A5C-00E2DE47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4289</Words>
  <Characters>24449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Abdi Farah Ahmed</cp:lastModifiedBy>
  <cp:revision>2</cp:revision>
  <dcterms:created xsi:type="dcterms:W3CDTF">2013-12-23T23:15:00Z</dcterms:created>
  <dcterms:modified xsi:type="dcterms:W3CDTF">2026-10-01T13:12:00Z</dcterms:modified>
  <cp:category/>
</cp:coreProperties>
</file>