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CC2441" w:rsidP="00CC24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Commission/Decommision on a Adhoc Basis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62E3B6CC" wp14:editId="54E889CC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77FB4134" wp14:editId="7D016FE2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CC2441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Commision/Decommision on a Adhoc basis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Suppose we have two datanodes already (these are my hostnames)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aj20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aj4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CC2441">
        <w:rPr>
          <w:rFonts w:ascii="Tahoma" w:hAnsi="Tahoma" w:cs="Tahoma"/>
          <w:color w:val="0070C0"/>
          <w:sz w:val="24"/>
          <w:szCs w:val="24"/>
        </w:rPr>
        <w:t>To Decommission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Adhoc basis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Poweroff machine aj4 or stop datanode on aj4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Within few minutes NN will realize the powered off machine is not available.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CC2441">
        <w:rPr>
          <w:rFonts w:ascii="Tahoma" w:hAnsi="Tahoma" w:cs="Tahoma"/>
          <w:color w:val="0070C0"/>
          <w:sz w:val="24"/>
          <w:szCs w:val="24"/>
        </w:rPr>
        <w:t>To commission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setup aj15-java,ssh access,unique ip address, hadoop package, 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          edited config files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          (core-site---nn , mapred-site--jt,hdfs-site--path for dn,tt &amp; masters,slaves being empty)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bin/hadoop-daemon.sh start datanode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bin/hadoop-daemon.sh start tasktracker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.......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new dn pings nn, sends heart beat, sends block information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nn recognizes and considers DN added to the cluster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.......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confirm through dfsadmin -report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====================================</w:t>
      </w:r>
      <w:r>
        <w:rPr>
          <w:rFonts w:ascii="Tahoma" w:hAnsi="Tahoma" w:cs="Tahoma"/>
          <w:color w:val="000000" w:themeColor="text1"/>
          <w:sz w:val="24"/>
          <w:szCs w:val="24"/>
        </w:rPr>
        <w:t>================</w:t>
      </w:r>
    </w:p>
    <w:p w:rsid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CC2441" w:rsidRPr="00CC2441" w:rsidRDefault="00CC2441" w:rsidP="00CC2441">
      <w:pPr>
        <w:ind w:left="360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lastRenderedPageBreak/>
        <w:t>Remember R</w:t>
      </w:r>
      <w:r w:rsidRPr="00CC2441">
        <w:rPr>
          <w:rFonts w:ascii="Tahoma" w:hAnsi="Tahoma" w:cs="Tahoma"/>
          <w:color w:val="0070C0"/>
          <w:sz w:val="24"/>
          <w:szCs w:val="24"/>
        </w:rPr>
        <w:t xml:space="preserve">ack </w:t>
      </w:r>
      <w:r>
        <w:rPr>
          <w:rFonts w:ascii="Tahoma" w:hAnsi="Tahoma" w:cs="Tahoma"/>
          <w:color w:val="0070C0"/>
          <w:sz w:val="24"/>
          <w:szCs w:val="24"/>
        </w:rPr>
        <w:t>A</w:t>
      </w:r>
      <w:r w:rsidRPr="00CC2441">
        <w:rPr>
          <w:rFonts w:ascii="Tahoma" w:hAnsi="Tahoma" w:cs="Tahoma"/>
          <w:color w:val="0070C0"/>
          <w:sz w:val="24"/>
          <w:szCs w:val="24"/>
        </w:rPr>
        <w:t>wareness</w:t>
      </w:r>
    </w:p>
    <w:p w:rsid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tabs>
          <w:tab w:val="left" w:pos="9360"/>
        </w:tabs>
        <w:ind w:left="360" w:right="116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We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update machines in topology.data file which is read by topology.sh</w:t>
      </w:r>
    </w:p>
    <w:p w:rsidR="00CC2441" w:rsidRPr="00CC2441" w:rsidRDefault="00CC2441" w:rsidP="000E4C3C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If we did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not add new dn's ip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address in topology.data file,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when we try to add it , DNs will not start with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a message showing a message in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datanode log "cannot add a non rack dn in a rack aware cluster"</w:t>
      </w:r>
    </w:p>
    <w:p w:rsidR="00CC2441" w:rsidRPr="00CC2441" w:rsidRDefault="00CC2441" w:rsidP="00CC2441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CC2441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Refer to the following scenario</w:t>
      </w:r>
    </w:p>
    <w:p w:rsidR="00CC2441" w:rsidRPr="00CC2441" w:rsidRDefault="00CC2441" w:rsidP="000E4C3C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Topologies are unfortunately cached in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 Hadoop today and not refreshed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until restart.</w:t>
      </w:r>
    </w:p>
    <w:p w:rsidR="00CC2441" w:rsidRPr="00CC2441" w:rsidRDefault="00CC2441" w:rsidP="00CC2441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0E4C3C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So if you add a DN before properl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y configuring its topology, its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improper default will stick and you'll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 need to restart the NN to make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it lose that cache. Hence, your second process of co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nfiguring first,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starting last, makes more sense.</w:t>
      </w:r>
    </w:p>
    <w:p w:rsidR="00CC2441" w:rsidRPr="00CC2441" w:rsidRDefault="00CC2441" w:rsidP="00CC2441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0E4C3C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Perhaps you may also want to configure a better </w:t>
      </w:r>
      <w:r w:rsidR="000E4C3C" w:rsidRPr="00CC2441">
        <w:rPr>
          <w:rFonts w:ascii="Tahoma" w:hAnsi="Tahoma" w:cs="Tahoma"/>
          <w:color w:val="000000" w:themeColor="text1"/>
          <w:sz w:val="24"/>
          <w:szCs w:val="24"/>
        </w:rPr>
        <w:t>default that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 suits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your regular topology levels, such that even if you make a mistake,</w:t>
      </w:r>
    </w:p>
    <w:p w:rsidR="00CC2441" w:rsidRPr="00CC2441" w:rsidRDefault="00CC2441" w:rsidP="00CC2441">
      <w:pPr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the node still starts up.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0E4C3C" w:rsidRDefault="000E4C3C" w:rsidP="000E4C3C">
      <w:pPr>
        <w:ind w:left="360"/>
        <w:rPr>
          <w:rFonts w:ascii="Tahoma" w:hAnsi="Tahoma" w:cs="Tahoma"/>
          <w:color w:val="0070C0"/>
          <w:sz w:val="24"/>
          <w:szCs w:val="24"/>
        </w:rPr>
      </w:pPr>
      <w:r w:rsidRPr="000E4C3C">
        <w:rPr>
          <w:rFonts w:ascii="Tahoma" w:hAnsi="Tahoma" w:cs="Tahoma"/>
          <w:color w:val="0070C0"/>
          <w:sz w:val="24"/>
          <w:szCs w:val="24"/>
        </w:rPr>
        <w:t>A Question to ponder: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CC2441" w:rsidRPr="00CC2441" w:rsidRDefault="00CC2441" w:rsidP="000E4C3C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Do you know how to add new datanode into a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rack-aware cluster without restarting the nam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enode, in cdh4 distribution? As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it is said that adding a new datanode is a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 xml:space="preserve"> hot operation that can be done 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when the cluster is online.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I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tried that but it looked not working until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I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restarted the namenode. what</w:t>
      </w:r>
    </w:p>
    <w:p w:rsidR="00CC2441" w:rsidRPr="00CC2441" w:rsidRDefault="000E4C3C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I</w:t>
      </w:r>
      <w:r w:rsidR="00CC2441" w:rsidRPr="00CC2441">
        <w:rPr>
          <w:rFonts w:ascii="Tahoma" w:hAnsi="Tahoma" w:cs="Tahoma"/>
          <w:color w:val="000000" w:themeColor="text1"/>
          <w:sz w:val="24"/>
          <w:szCs w:val="24"/>
        </w:rPr>
        <w:t xml:space="preserve"> did is: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(the cluster has had 4 data nodes and i am adding the 5th)</w:t>
      </w:r>
    </w:p>
    <w:p w:rsidR="00CC2441" w:rsidRPr="00CC2441" w:rsidRDefault="000E4C3C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1. A</w:t>
      </w:r>
      <w:r w:rsidR="00CC2441" w:rsidRPr="00CC2441">
        <w:rPr>
          <w:rFonts w:ascii="Tahoma" w:hAnsi="Tahoma" w:cs="Tahoma"/>
          <w:color w:val="000000" w:themeColor="text1"/>
          <w:sz w:val="24"/>
          <w:szCs w:val="24"/>
        </w:rPr>
        <w:t>dd the new node (qa-str-ms02.p-qa) into /etc/hadoop/conf/hosts.include,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and into /etc/hadoop/conf/slaves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2.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A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dd the rack entries for qa-str-ms02.p-qa (192.168.159.52) into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lastRenderedPageBreak/>
        <w:t>&gt; /etc/hadoop/topology.data that topology.sh, the topology script, is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checking, confirming that ./topology.sh qa-str-ms02.p-qa works well. the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rack entry looks like: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qa-str-ms02.p-qa                 /dc1/switch1/rack1/node5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192.168.159.52                  /dc1/switch1/rack1/node5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0E4C3C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3. O</w:t>
      </w:r>
      <w:r w:rsidR="00CC2441" w:rsidRPr="00CC2441">
        <w:rPr>
          <w:rFonts w:ascii="Tahoma" w:hAnsi="Tahoma" w:cs="Tahoma"/>
          <w:color w:val="000000" w:themeColor="text1"/>
          <w:sz w:val="24"/>
          <w:szCs w:val="24"/>
        </w:rPr>
        <w:t>n the namenode: sudo -u hdfs hdfs dfsadmin -refreshNodes</w:t>
      </w:r>
    </w:p>
    <w:p w:rsidR="00CC2441" w:rsidRPr="00CC2441" w:rsidRDefault="000E4C3C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4. O</w:t>
      </w:r>
      <w:r w:rsidR="00CC2441" w:rsidRPr="00CC2441">
        <w:rPr>
          <w:rFonts w:ascii="Tahoma" w:hAnsi="Tahoma" w:cs="Tahoma"/>
          <w:color w:val="000000" w:themeColor="text1"/>
          <w:sz w:val="24"/>
          <w:szCs w:val="24"/>
        </w:rPr>
        <w:t>n the new datanode: sudo /etc/init.d/hadoop-hdfs-datanode start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H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owever, the datanode failed to handshake with the namenode and it soon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exited. the namenode log said: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2012-11-21 18:06:11,946 INFO org.apache.hadoop.net.NetworkTopology: Removing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a n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ode: /default-rack/192.168.159.52:50010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2012-11-21 18:06:11,946 INFO org.apache.hadoop.net.NetworkTopology: Adding a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new node: /default-rack/192.168.159.52:50010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2012-11-21 18:06:11,946 ERROR org.apache.hadoop.net.NetworkTopology: Error: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can't add leaf node at depth 2 to topology: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Number of racks: 3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Expected number of leaves:3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/dc1/switch1/rack1/node1/192.168.159.101:50010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/dc1/switch1/rack1/node2/192.168.159.102:50010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/dc1/switch1/rack1/node3/192.168.159.103:50010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2012-11-21 18:06:11,946 WARN org.apache.hadoop.ipc.Server: IPC Server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lastRenderedPageBreak/>
        <w:t>&gt; handler 4 on 8020, call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org.apache.hadoop.hdfs.server.protocol.DatanodeProtocol.registerDatanode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from 192.168.159.52:53968: error: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org.apache.hadoop.net.NetworkTopology$InvalidTopologyException: Invalid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network topology. You cannot have a rack and a non-rack node at the same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level of the network topology.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org.apache.hadoop.net.NetworkTopology$InvalidTopologyException: Invalid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network topology. You cannot have a rack and a non-rack node at the same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level of the network topology.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org.apache.hadoop.net.NetworkTopology.add(NetworkTopology.java:365)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org.apache.hadoop.hdfs.server.blockmanagement.DatanodeManager.registerDatanode(DatanodeManager.java:619)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org.apache.hadoop.hdfs.server.namenode.FSNamesystem.registerDatanode(FSNamesystem.java:3358)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org.apache.hadoop.hdfs.server.namenode.NameNodeRpcServer.registerDatanode(NameNodeRpcServer.java:854)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org.apache.hadoop.hdfs.protocolPB.DatanodeProtocolServerSideTranslatorPB.registerDatanode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(DatanodeProtocolServerSideTranslatorPB.java:91)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lastRenderedPageBreak/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org.apache.hadoop.hdfs.protocol.proto.DatanodeProtocolProtos$DatanodeProtocolService$2.callBlockingMethod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(DatanodeProtocolProtos.java:20018)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org.apache.hadoop.ipc.ProtobufRpcEngine$Server$ProtoBufRpcInvoker.call(ProtobufRpcEngine.java:453)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org.apache.hadoop.ipc.RPC$Server.call(RPC.java:898)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org.apache.hadoop.ipc.Server$Handler$1.run(Server.java:1693)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org.apache.hadoop.ipc.Server$Handler$1.run(Server.java:1689)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java.security.AccessController.doPrivileged(Native Method)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javax.security.auth.Subject.doAs(Subject.java:396)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org.apache.hadoop.security.UserGroupInformation.doAs(UserGroupInformation.java:1332)</w:t>
      </w:r>
    </w:p>
    <w:p w:rsidR="00CC2441" w:rsidRPr="00CC2441" w:rsidRDefault="00CC2441" w:rsidP="000E4C3C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        at org.apache.hadoop.ipc.Serve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r$Handler.run(Server.java:1687)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it seems that the newly added topology information didn't work.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when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I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 changed the operation in the following steps: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1.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A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dd the new node (qa-str-ms02.p-qa) into /etc/hadoop/conf/hosts.include,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and into /etc/hadoop/conf/slaves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2.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A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dd the rack entries for qa-str-ms02.p-qa into /etc/hadoop/topology.data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that topology.sh, the topology script, is checking, confirming that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lastRenderedPageBreak/>
        <w:t>&gt; ./topology.sh qa-str-ms02.p-qa works well.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3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. O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n the namenode: sudo /etc/init.d/hadoop-hdfs-namenode stop &amp;&amp; sudo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/etc/init.d/hadoop-hdfs-namenode start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 xml:space="preserve">&gt; 4. </w:t>
      </w:r>
      <w:r w:rsidR="000E4C3C">
        <w:rPr>
          <w:rFonts w:ascii="Tahoma" w:hAnsi="Tahoma" w:cs="Tahoma"/>
          <w:color w:val="000000" w:themeColor="text1"/>
          <w:sz w:val="24"/>
          <w:szCs w:val="24"/>
        </w:rPr>
        <w:t>O</w:t>
      </w:r>
      <w:r w:rsidRPr="00CC2441">
        <w:rPr>
          <w:rFonts w:ascii="Tahoma" w:hAnsi="Tahoma" w:cs="Tahoma"/>
          <w:color w:val="000000" w:themeColor="text1"/>
          <w:sz w:val="24"/>
          <w:szCs w:val="24"/>
        </w:rPr>
        <w:t>n the new datanode: sudo /etc/init.d/hadoop-hdfs-datanode start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then everything is ok and the new node was added into the cluster according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 to dfsadmin -report.</w:t>
      </w:r>
    </w:p>
    <w:p w:rsidR="00CC2441" w:rsidRPr="00CC2441" w:rsidRDefault="00CC2441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CC2441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CC2441" w:rsidRPr="00CC2441" w:rsidRDefault="000E4C3C" w:rsidP="00CC2441">
      <w:pPr>
        <w:ind w:left="360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&gt; H</w:t>
      </w:r>
      <w:r w:rsidR="00CC2441" w:rsidRPr="00CC2441">
        <w:rPr>
          <w:rFonts w:ascii="Tahoma" w:hAnsi="Tahoma" w:cs="Tahoma"/>
          <w:color w:val="000000" w:themeColor="text1"/>
          <w:sz w:val="24"/>
          <w:szCs w:val="24"/>
        </w:rPr>
        <w:t xml:space="preserve">owever, the operation of restarting namenode is unwanted. </w:t>
      </w:r>
      <w:bookmarkStart w:id="0" w:name="_GoBack"/>
      <w:bookmarkEnd w:id="0"/>
    </w:p>
    <w:sectPr w:rsidR="00CC2441" w:rsidRPr="00CC2441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1D" w:rsidRDefault="00F8581D" w:rsidP="007E72B2">
      <w:pPr>
        <w:spacing w:after="0" w:line="240" w:lineRule="auto"/>
      </w:pPr>
      <w:r>
        <w:separator/>
      </w:r>
    </w:p>
  </w:endnote>
  <w:endnote w:type="continuationSeparator" w:id="0">
    <w:p w:rsidR="00F8581D" w:rsidRDefault="00F8581D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891CE7" w:rsidRPr="00891CE7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891CE7" w:rsidRPr="00891CE7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1D" w:rsidRDefault="00F8581D" w:rsidP="007E72B2">
      <w:pPr>
        <w:spacing w:after="0" w:line="240" w:lineRule="auto"/>
      </w:pPr>
      <w:r>
        <w:separator/>
      </w:r>
    </w:p>
  </w:footnote>
  <w:footnote w:type="continuationSeparator" w:id="0">
    <w:p w:rsidR="00F8581D" w:rsidRDefault="00F8581D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F8581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F8581D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F8581D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4C3C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1CE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2441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581D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5D9C9-367F-424F-A37F-0C4F768F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Setup More Than One Cluster on Same Setup of Machines</vt:lpstr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Commission/Decommision on a Adhoc Basis</dc:title>
  <dc:subject/>
  <dc:creator>Puja Sharma</dc:creator>
  <cp:keywords/>
  <dc:description/>
  <cp:lastModifiedBy>Divyamol Mary</cp:lastModifiedBy>
  <cp:revision>14</cp:revision>
  <cp:lastPrinted>2015-02-10T12:59:00Z</cp:lastPrinted>
  <dcterms:created xsi:type="dcterms:W3CDTF">2015-06-05T03:51:00Z</dcterms:created>
  <dcterms:modified xsi:type="dcterms:W3CDTF">2015-12-21T09:16:00Z</dcterms:modified>
</cp:coreProperties>
</file>