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protect its premises, people, products and shipments against unauthorised access, theft, tampering and the introduction of illegal goods or contraband, in line with the C-TPAT/GSV supply chain security criteria and customer requirements.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The whole EMS facility in Ismailia: gates, perimeter fence, buildings, warehouses, loading areas and parking areas,</w:t>
      </w:r>
    </w:p>
    <w:p>
      <w:pPr>
        <w:pStyle w:val="ListeParagraf"/>
        <w:spacing w:after="80"/>
        <w:ind w:left="709" w:right="0"/>
        <w:jc w:val="both"/>
      </w:pPr>
      <w:r>
        <w:rPr>
          <w:rFonts w:ascii="Calibri" w:hAnsi="Calibri" w:cs="Arial"/>
          <w:sz w:val="24"/>
          <w:szCs w:val="24"/>
        </w:rPr>
        <w:t xml:space="preserve">• All stages of the supply chain under EMS control: receiving of materials, production, packing, storage, container and truck loading and dispatch,</w:t>
      </w:r>
    </w:p>
    <w:p>
      <w:pPr>
        <w:pStyle w:val="ListeParagraf"/>
        <w:spacing w:after="80"/>
        <w:ind w:left="709" w:right="0"/>
        <w:jc w:val="both"/>
      </w:pPr>
      <w:r>
        <w:rPr>
          <w:rFonts w:ascii="Calibri" w:hAnsi="Calibri" w:cs="Arial"/>
          <w:sz w:val="24"/>
          <w:szCs w:val="24"/>
        </w:rPr>
        <w:t xml:space="preserve">• Business partners: subcontractors, transport companies, freight forwarders, security service providers and suppliers.</w:t>
      </w:r>
    </w:p>
    <w:p>
      <w:pPr>
        <w:pStyle w:val="ListeParagraf"/>
        <w:spacing w:after="80"/>
        <w:ind w:left="709" w:right="0"/>
        <w:jc w:val="both"/>
      </w:pPr>
      <w:r>
        <w:rPr>
          <w:rFonts w:ascii="Calibri" w:hAnsi="Calibri" w:cs="Arial"/>
          <w:sz w:val="24"/>
          <w:szCs w:val="24"/>
        </w:rPr>
        <w:t xml:space="preserve">It applies to all EMS employees, visitors, drivers and contractors on the premises.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and provides the resources (security staff, CCTV, access control systems, budget) needed for supply chain security.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Manager / GSV Coordinator:</w:t>
      </w:r>
      <w:r>
        <w:rPr>
          <w:rFonts w:ascii="Calibri" w:hAnsi="Calibri" w:cs="Arial"/>
          <w:sz w:val="24"/>
          <w:szCs w:val="24"/>
        </w:rPr>
        <w:t xml:space="preserve"> Implements the policy, carries out the annual security risk assessment, manages the GSV self-assessment and audits and reports security performance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Ensure that security rules are followed in their areas, especially in packing, finished goods warehouse and shipping.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Wear their ID cards, follow access rules, protect shipments and report any suspicious activity immediately.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GSV (Global Security Verification):</w:t>
      </w:r>
      <w:r>
        <w:rPr>
          <w:rFonts w:ascii="Calibri" w:hAnsi="Calibri" w:cs="Arial"/>
          <w:sz w:val="24"/>
          <w:szCs w:val="24"/>
        </w:rPr>
        <w:t xml:space="preserve"> A supply chain security verification programme based on the C-TPAT minimum security criteria.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C-TPAT:</w:t>
      </w:r>
      <w:r>
        <w:rPr>
          <w:rFonts w:ascii="Calibri" w:hAnsi="Calibri" w:cs="Arial"/>
          <w:sz w:val="24"/>
          <w:szCs w:val="24"/>
        </w:rPr>
        <w:t xml:space="preserve"> Customs-Trade Partnership Against Terrorism; a voluntary supply chain security programme of US Customs.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Contraband:</w:t>
      </w:r>
      <w:r>
        <w:rPr>
          <w:rFonts w:ascii="Calibri" w:hAnsi="Calibri" w:cs="Arial"/>
          <w:sz w:val="24"/>
          <w:szCs w:val="24"/>
        </w:rPr>
        <w:t xml:space="preserve"> Any illegal goods, drugs, weapons, explosives or unmanifested items hidden in a shipment.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Business Partner:</w:t>
      </w:r>
      <w:r>
        <w:rPr>
          <w:rFonts w:ascii="Calibri" w:hAnsi="Calibri" w:cs="Arial"/>
          <w:sz w:val="24"/>
          <w:szCs w:val="24"/>
        </w:rPr>
        <w:t xml:space="preserve"> Any company that handles EMS cargo or provides services that affect supply chain security.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Carry out a security risk assessment every year and whenever a significant change occurs, and take actions to reduce the identified risks.</w:t>
      </w:r>
    </w:p>
    <w:p>
      <w:pPr>
        <w:pStyle w:val="ListeParagraf"/>
        <w:numPr>
          <w:ilvl w:val="0"/>
          <w:numId w:val="1"/>
        </w:numPr>
        <w:spacing w:after="60"/>
        <w:jc w:val="both"/>
      </w:pPr>
      <w:r>
        <w:rPr>
          <w:rFonts w:ascii="Calibri" w:hAnsi="Calibri" w:cs="Arial"/>
          <w:sz w:val="24"/>
          <w:szCs w:val="24"/>
        </w:rPr>
        <w:t xml:space="preserve">Control physical access to the facility with perimeter fencing, guarded gates, lighting, CCTV and ID cards, and keep sensitive areas restricted to authorised persons.</w:t>
      </w:r>
    </w:p>
    <w:p>
      <w:pPr>
        <w:pStyle w:val="ListeParagraf"/>
        <w:numPr>
          <w:ilvl w:val="0"/>
          <w:numId w:val="1"/>
        </w:numPr>
        <w:spacing w:after="60"/>
        <w:jc w:val="both"/>
      </w:pPr>
      <w:r>
        <w:rPr>
          <w:rFonts w:ascii="Calibri" w:hAnsi="Calibri" w:cs="Arial"/>
          <w:sz w:val="24"/>
          <w:szCs w:val="24"/>
        </w:rPr>
        <w:t xml:space="preserve">Ensure the security of every container and truck loading through the 7-point inspection, supervised loading and high-security seals.</w:t>
      </w:r>
    </w:p>
    <w:p>
      <w:pPr>
        <w:pStyle w:val="ListeParagraf"/>
        <w:numPr>
          <w:ilvl w:val="0"/>
          <w:numId w:val="1"/>
        </w:numPr>
        <w:spacing w:after="60"/>
        <w:jc w:val="both"/>
      </w:pPr>
      <w:r>
        <w:rPr>
          <w:rFonts w:ascii="Calibri" w:hAnsi="Calibri" w:cs="Arial"/>
          <w:sz w:val="24"/>
          <w:szCs w:val="24"/>
        </w:rPr>
        <w:t xml:space="preserve">Apply personnel security measures: pre-employment verification, security awareness training and immediate removal of access on termination.</w:t>
      </w:r>
    </w:p>
    <w:p>
      <w:pPr>
        <w:pStyle w:val="ListeParagraf"/>
        <w:numPr>
          <w:ilvl w:val="0"/>
          <w:numId w:val="1"/>
        </w:numPr>
        <w:spacing w:after="60"/>
        <w:jc w:val="both"/>
      </w:pPr>
      <w:r>
        <w:rPr>
          <w:rFonts w:ascii="Calibri" w:hAnsi="Calibri" w:cs="Arial"/>
          <w:sz w:val="24"/>
          <w:szCs w:val="24"/>
        </w:rPr>
        <w:t xml:space="preserve">Select and monitor business partners according to security criteria and require them to meet equivalent security standards.</w:t>
      </w:r>
    </w:p>
    <w:p>
      <w:pPr>
        <w:pStyle w:val="ListeParagraf"/>
        <w:numPr>
          <w:ilvl w:val="0"/>
          <w:numId w:val="1"/>
        </w:numPr>
        <w:spacing w:after="60"/>
        <w:jc w:val="both"/>
      </w:pPr>
      <w:r>
        <w:rPr>
          <w:rFonts w:ascii="Calibri" w:hAnsi="Calibri" w:cs="Arial"/>
          <w:sz w:val="24"/>
          <w:szCs w:val="24"/>
        </w:rPr>
        <w:t xml:space="preserve">Protect shipping documents and information systems against unauthorised access and manipulation.</w:t>
      </w:r>
    </w:p>
    <w:p>
      <w:pPr>
        <w:pStyle w:val="ListeParagraf"/>
        <w:numPr>
          <w:ilvl w:val="0"/>
          <w:numId w:val="1"/>
        </w:numPr>
        <w:spacing w:after="60"/>
        <w:jc w:val="both"/>
      </w:pPr>
      <w:r>
        <w:rPr>
          <w:rFonts w:ascii="Calibri" w:hAnsi="Calibri" w:cs="Arial"/>
          <w:sz w:val="24"/>
          <w:szCs w:val="24"/>
        </w:rPr>
        <w:t xml:space="preserve">Report any security breach, tampering or suspicious activity to customers and the competent Egyptian authorities without delay.</w:t>
      </w:r>
    </w:p>
    <w:p>
      <w:pPr>
        <w:pStyle w:val="ListeParagraf"/>
        <w:numPr>
          <w:ilvl w:val="0"/>
          <w:numId w:val="1"/>
        </w:numPr>
        <w:spacing w:after="60"/>
        <w:jc w:val="both"/>
      </w:pPr>
      <w:r>
        <w:rPr>
          <w:rFonts w:ascii="Calibri" w:hAnsi="Calibri" w:cs="Arial"/>
          <w:sz w:val="24"/>
          <w:szCs w:val="24"/>
        </w:rPr>
        <w:t xml:space="preserve">Comply with applicable Egyptian legislation, customer requirements and the C-TPAT/GSV criteria.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after each GSV audit, or earlier when a significant change occurs. It is communicated to all employees and displayed at the main gate and in the shipping area.</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بحماية منشآتها وأفرادها ومنتجاتها وشحناتها من الدخول غير المصرح به والسرقة والعبث وإدخال البضائع غير القانونية أو المهربة، بما يتوافق مع معايير أمن سلسلة التوريد C-TPAT/GSV ومتطلبات 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منشأة EMS بالكامل في الإسماعيلية: البوابات والسور الخارجي والمباني والمستودعات ومناطق التحميل ومواقف السيارات،</w:t>
      </w:r>
    </w:p>
    <w:p>
      <w:pPr>
        <w:pStyle w:val="ListeParagraf"/>
        <w:bidi/>
        <w:spacing w:after="80"/>
        <w:ind w:left="0" w:right="709"/>
        <w:jc w:val="both"/>
      </w:pPr>
      <w:r>
        <w:rPr>
          <w:rFonts w:ascii="Calibri" w:hAnsi="Calibri" w:cs="Arial"/>
          <w:rtl/>
          <w:sz w:val="24"/>
          <w:szCs w:val="24"/>
        </w:rPr>
        <w:t xml:space="preserve">• جميع مراحل سلسلة التوريد الخاضعة لسيطرة EMS: استلام المواد والإنتاج والتعبئة والتخزين وتحميل الحاويات والشاحنات والشحن،</w:t>
      </w:r>
    </w:p>
    <w:p>
      <w:pPr>
        <w:pStyle w:val="ListeParagraf"/>
        <w:bidi/>
        <w:spacing w:after="80"/>
        <w:ind w:left="0" w:right="709"/>
        <w:jc w:val="both"/>
      </w:pPr>
      <w:r>
        <w:rPr>
          <w:rFonts w:ascii="Calibri" w:hAnsi="Calibri" w:cs="Arial"/>
          <w:rtl/>
          <w:sz w:val="24"/>
          <w:szCs w:val="24"/>
        </w:rPr>
        <w:t xml:space="preserve">• شركاء العمل: المقاولون من الباطن وشركات النقل ووكلاء الشحن ومقدمو خدمات الأمن والموردون.</w:t>
      </w:r>
    </w:p>
    <w:p>
      <w:pPr>
        <w:pStyle w:val="ListeParagraf"/>
        <w:bidi/>
        <w:spacing w:after="80"/>
        <w:ind w:left="0" w:right="709"/>
        <w:jc w:val="both"/>
      </w:pPr>
      <w:r>
        <w:rPr>
          <w:rFonts w:ascii="Calibri" w:hAnsi="Calibri" w:cs="Arial"/>
          <w:rtl/>
          <w:sz w:val="24"/>
          <w:szCs w:val="24"/>
        </w:rPr>
        <w:t xml:space="preserve">وتنطبق على جميع موظفي EMS والزوار والسائقين والمقاولين داخل المنشأة.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ويوفر الموارد اللازمة لأمن سلسلة التوريد (أفراد الأمن وكاميرات المراقبة وأنظمة التحكم في الدخول والميزانية).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الأمن / منسق GSV:</w:t>
      </w:r>
      <w:r>
        <w:rPr>
          <w:rFonts w:ascii="Calibri" w:hAnsi="Calibri" w:cs="Arial"/>
          <w:rtl/>
          <w:sz w:val="24"/>
          <w:szCs w:val="24"/>
        </w:rPr>
        <w:t xml:space="preserve"> ينفذ السياسة ويجري تقييم المخاطر الأمنية السنوي ويدير التقييم الذاتي وتدقيقات GSV ويرفع تقارير الأداء الأمني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يضمنون الالتزام بقواعد الأمن في مناطقهم، ولا سيما في التعبئة ومستودع المنتجات التامة والشحن.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يرتدون بطاقات الهوية ويلتزمون بقواعد الدخول ويحمون الشحنات ويبلغون فورًا عن أي نشاط مشبوه.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GSV (التحقق الأمني العالمي):</w:t>
      </w:r>
      <w:r>
        <w:rPr>
          <w:rFonts w:ascii="Calibri" w:hAnsi="Calibri" w:cs="Arial"/>
          <w:rtl/>
          <w:sz w:val="24"/>
          <w:szCs w:val="24"/>
        </w:rPr>
        <w:t xml:space="preserve"> برنامج للتحقق من أمن سلسلة التوريد يستند إلى الحد الأدنى من المعايير الأمنية لبرنامج C-TPAT.</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C-TPAT:</w:t>
      </w:r>
      <w:r>
        <w:rPr>
          <w:rFonts w:ascii="Calibri" w:hAnsi="Calibri" w:cs="Arial"/>
          <w:rtl/>
          <w:sz w:val="24"/>
          <w:szCs w:val="24"/>
        </w:rPr>
        <w:t xml:space="preserve"> الشراكة بين الجمارك والتجارة لمكافحة الإرهاب؛ وهو برنامج طوعي لأمن سلسلة التوريد تابع للجمارك الأمريكية.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المهربات:</w:t>
      </w:r>
      <w:r>
        <w:rPr>
          <w:rFonts w:ascii="Calibri" w:hAnsi="Calibri" w:cs="Arial"/>
          <w:rtl/>
          <w:sz w:val="24"/>
          <w:szCs w:val="24"/>
        </w:rPr>
        <w:t xml:space="preserve"> أي بضائع غير قانونية أو مخدرات أو أسلحة أو متفجرات أو مواد غير مدرجة في بيان الشحن مخبأة داخل الشحنة.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شريك العمل:</w:t>
      </w:r>
      <w:r>
        <w:rPr>
          <w:rFonts w:ascii="Calibri" w:hAnsi="Calibri" w:cs="Arial"/>
          <w:rtl/>
          <w:sz w:val="24"/>
          <w:szCs w:val="24"/>
        </w:rPr>
        <w:t xml:space="preserve"> أي شركة تتعامل مع شحنات EMS أو تقدم خدمات تؤثر على أمن سلسلة التوريد.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إجراء تقييم للمخاطر الأمنية سنويًا وعند حدوث أي تغيير جوهري، واتخاذ الإجراءات اللازمة لتقليل المخاطر المحددة.</w:t>
      </w:r>
    </w:p>
    <w:p>
      <w:pPr>
        <w:pStyle w:val="ListeParagraf"/>
        <w:numPr>
          <w:ilvl w:val="0"/>
          <w:numId w:val="1"/>
        </w:numPr>
        <w:bidi/>
        <w:spacing w:after="60"/>
        <w:jc w:val="both"/>
      </w:pPr>
      <w:r>
        <w:rPr>
          <w:rFonts w:ascii="Calibri" w:hAnsi="Calibri" w:cs="Arial"/>
          <w:rtl/>
          <w:sz w:val="24"/>
          <w:szCs w:val="24"/>
        </w:rPr>
        <w:t xml:space="preserve">التحكم في الدخول المادي إلى المنشأة من خلال السور الخارجي والبوابات المحروسة والإضاءة وكاميرات المراقبة وبطاقات الهوية، وقصر دخول المناطق الحساسة على الأشخاص المصرح لهم.</w:t>
      </w:r>
    </w:p>
    <w:p>
      <w:pPr>
        <w:pStyle w:val="ListeParagraf"/>
        <w:numPr>
          <w:ilvl w:val="0"/>
          <w:numId w:val="1"/>
        </w:numPr>
        <w:bidi/>
        <w:spacing w:after="60"/>
        <w:jc w:val="both"/>
      </w:pPr>
      <w:r>
        <w:rPr>
          <w:rFonts w:ascii="Calibri" w:hAnsi="Calibri" w:cs="Arial"/>
          <w:rtl/>
          <w:sz w:val="24"/>
          <w:szCs w:val="24"/>
        </w:rPr>
        <w:t xml:space="preserve">ضمان أمن كل عملية تحميل للحاويات والشاحنات من خلال فحص النقاط السبع والتحميل تحت الإشراف واستخدام أختام عالية الأمان.</w:t>
      </w:r>
    </w:p>
    <w:p>
      <w:pPr>
        <w:pStyle w:val="ListeParagraf"/>
        <w:numPr>
          <w:ilvl w:val="0"/>
          <w:numId w:val="1"/>
        </w:numPr>
        <w:bidi/>
        <w:spacing w:after="60"/>
        <w:jc w:val="both"/>
      </w:pPr>
      <w:r>
        <w:rPr>
          <w:rFonts w:ascii="Calibri" w:hAnsi="Calibri" w:cs="Arial"/>
          <w:rtl/>
          <w:sz w:val="24"/>
          <w:szCs w:val="24"/>
        </w:rPr>
        <w:t xml:space="preserve">تطبيق تدابير أمن الأفراد: التحقق قبل التوظيف والتدريب على الوعي الأمني وإلغاء صلاحيات الدخول فور انتهاء الخدمة.</w:t>
      </w:r>
    </w:p>
    <w:p>
      <w:pPr>
        <w:pStyle w:val="ListeParagraf"/>
        <w:numPr>
          <w:ilvl w:val="0"/>
          <w:numId w:val="1"/>
        </w:numPr>
        <w:bidi/>
        <w:spacing w:after="60"/>
        <w:jc w:val="both"/>
      </w:pPr>
      <w:r>
        <w:rPr>
          <w:rFonts w:ascii="Calibri" w:hAnsi="Calibri" w:cs="Arial"/>
          <w:rtl/>
          <w:sz w:val="24"/>
          <w:szCs w:val="24"/>
        </w:rPr>
        <w:t xml:space="preserve">اختيار شركاء العمل ومتابعتهم وفق معايير أمنية، وإلزامهم بتطبيق معايير أمنية مماثلة.</w:t>
      </w:r>
    </w:p>
    <w:p>
      <w:pPr>
        <w:pStyle w:val="ListeParagraf"/>
        <w:numPr>
          <w:ilvl w:val="0"/>
          <w:numId w:val="1"/>
        </w:numPr>
        <w:bidi/>
        <w:spacing w:after="60"/>
        <w:jc w:val="both"/>
      </w:pPr>
      <w:r>
        <w:rPr>
          <w:rFonts w:ascii="Calibri" w:hAnsi="Calibri" w:cs="Arial"/>
          <w:rtl/>
          <w:sz w:val="24"/>
          <w:szCs w:val="24"/>
        </w:rPr>
        <w:t xml:space="preserve">حماية مستندات الشحن وأنظمة المعلومات من الدخول غير المصرح به والتلاعب.</w:t>
      </w:r>
    </w:p>
    <w:p>
      <w:pPr>
        <w:pStyle w:val="ListeParagraf"/>
        <w:numPr>
          <w:ilvl w:val="0"/>
          <w:numId w:val="1"/>
        </w:numPr>
        <w:bidi/>
        <w:spacing w:after="60"/>
        <w:jc w:val="both"/>
      </w:pPr>
      <w:r>
        <w:rPr>
          <w:rFonts w:ascii="Calibri" w:hAnsi="Calibri" w:cs="Arial"/>
          <w:rtl/>
          <w:sz w:val="24"/>
          <w:szCs w:val="24"/>
        </w:rPr>
        <w:t xml:space="preserve">الإبلاغ دون تأخير عن أي خرق أمني أو عبث أو نشاط مشبوه إلى العملاء والسلطات المصرية المختصة.</w:t>
      </w:r>
    </w:p>
    <w:p>
      <w:pPr>
        <w:pStyle w:val="ListeParagraf"/>
        <w:numPr>
          <w:ilvl w:val="0"/>
          <w:numId w:val="1"/>
        </w:numPr>
        <w:bidi/>
        <w:spacing w:after="60"/>
        <w:jc w:val="both"/>
      </w:pPr>
      <w:r>
        <w:rPr>
          <w:rFonts w:ascii="Calibri" w:hAnsi="Calibri" w:cs="Arial"/>
          <w:rtl/>
          <w:sz w:val="24"/>
          <w:szCs w:val="24"/>
        </w:rPr>
        <w:t xml:space="preserve">الالتزام بالتشريعات المصرية المعمول بها ومتطلبات العملاء ومعايير C-TPAT/GSV.</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وبعد كل تدقيق GSV، أو قبل ذلك عند حدوث تغيير جوهري. ويتم إبلاغها لجميع الموظفين وتُعلق عند البوابة الرئيسية وفي منطقة الشحن.</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SUPPLY CHAIN SECURITY POLICY</w:t>
          </w:r>
        </w:p>
        <w:p>
          <w:pPr>
            <w:pStyle w:val="GvdeMetni2"/>
            <w:bidi/>
            <w:spacing w:line="276" w:lineRule="auto"/>
            <w:jc w:val="center"/>
          </w:pPr>
          <w:r>
            <w:rPr>
              <w:rFonts w:asciiTheme="minorHAnsi" w:hAnsiTheme="minorHAnsi" w:cs="Arial"/>
              <w:b/>
              <w:bCs/>
              <w:color w:val="000000" w:themeColor="text1"/>
              <w:sz w:val="22"/>
              <w:szCs w:val="22"/>
              <w:rtl/>
            </w:rPr>
            <w:t>سياسة أمن سلسلة التوريد</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EMS.İD.POL.03.01.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EMS.İD.POL.03.01. SUPPLY CHAIN SECURITY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