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user accounts and access rights to EMS information systems are requested, granted, reviewed and removed, and the password rules to be followed at Eroglu Knitting (EMS), in order to prevent unauthorised access to information.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user accounts on EMS computers, servers, ERP, e-mail, shared folders, Wi-Fi network, CCTV and biometric attendance systems, and the physical access to the server room.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IT Manager:</w:t>
      </w:r>
      <w:r>
        <w:rPr>
          <w:rFonts w:ascii="Calibri" w:hAnsi="Calibri" w:cs="Arial"/>
          <w:sz w:val="24"/>
          <w:szCs w:val="24"/>
        </w:rPr>
        <w:t xml:space="preserve"> Creates, changes and closes user accounts, applies password rules and carries out access reviews.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Request access for their staff, approve the access level and inform IT of transfers and leavers.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Department:</w:t>
      </w:r>
      <w:r>
        <w:rPr>
          <w:rFonts w:ascii="Calibri" w:hAnsi="Calibri" w:cs="Arial"/>
          <w:sz w:val="24"/>
          <w:szCs w:val="24"/>
        </w:rPr>
        <w:t xml:space="preserve"> Informs IT of new employees, transfers and terminations on the same day.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Users:</w:t>
      </w:r>
      <w:r>
        <w:rPr>
          <w:rFonts w:ascii="Calibri" w:hAnsi="Calibri" w:cs="Arial"/>
          <w:sz w:val="24"/>
          <w:szCs w:val="24"/>
        </w:rPr>
        <w:t xml:space="preserve"> Keep their passwords secret, lock their screens and use only the access given to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User Account:</w:t>
      </w:r>
      <w:r>
        <w:rPr>
          <w:rFonts w:ascii="Calibri" w:hAnsi="Calibri" w:cs="Arial"/>
          <w:sz w:val="24"/>
          <w:szCs w:val="24"/>
        </w:rPr>
        <w:t xml:space="preserve"> The personal identity used by an employee to log in to an EMS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Privileged Account:</w:t>
      </w:r>
      <w:r>
        <w:rPr>
          <w:rFonts w:ascii="Calibri" w:hAnsi="Calibri" w:cs="Arial"/>
          <w:sz w:val="24"/>
          <w:szCs w:val="24"/>
        </w:rPr>
        <w:t xml:space="preserve"> An account with administrator rights, such as server, ERP or network administrator accounts.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Access Review:</w:t>
      </w:r>
      <w:r>
        <w:rPr>
          <w:rFonts w:ascii="Calibri" w:hAnsi="Calibri" w:cs="Arial"/>
          <w:sz w:val="24"/>
          <w:szCs w:val="24"/>
        </w:rPr>
        <w:t xml:space="preserve"> The periodic check that each user has only the access needed for his or her current job.</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ACCESS REQUEST AND APPROVAL</w:t>
      </w:r>
    </w:p>
    <w:p>
      <w:pPr>
        <w:pStyle w:val="ListeParagraf"/>
        <w:spacing w:after="80"/>
        <w:ind w:left="709" w:right="0"/>
        <w:jc w:val="both"/>
      </w:pPr>
      <w:r>
        <w:rPr>
          <w:rFonts w:ascii="Calibri" w:hAnsi="Calibri" w:cs="Arial"/>
          <w:sz w:val="24"/>
          <w:szCs w:val="24"/>
        </w:rPr>
        <w:t xml:space="preserve">1.1. For a new employee or a change of job, the Department Manager fills in the User Access Request Form, stating the systems and access level needed.</w:t>
      </w:r>
    </w:p>
    <w:p>
      <w:pPr>
        <w:pStyle w:val="ListeParagraf"/>
        <w:spacing w:after="80"/>
        <w:ind w:left="709" w:right="0"/>
        <w:jc w:val="both"/>
      </w:pPr>
      <w:r>
        <w:rPr>
          <w:rFonts w:ascii="Calibri" w:hAnsi="Calibri" w:cs="Arial"/>
          <w:sz w:val="24"/>
          <w:szCs w:val="24"/>
        </w:rPr>
        <w:t xml:space="preserve">1.2. The IT Manager checks the request against the job role; access to payroll, personnel files and customer technical files also requires approval of the data owner department.</w:t>
      </w:r>
    </w:p>
    <w:p>
      <w:pPr>
        <w:pStyle w:val="ListeParagraf"/>
        <w:spacing w:after="80"/>
        <w:ind w:left="709" w:right="0"/>
        <w:jc w:val="both"/>
      </w:pPr>
      <w:r>
        <w:rPr>
          <w:rFonts w:ascii="Calibri" w:hAnsi="Calibri" w:cs="Arial"/>
          <w:sz w:val="24"/>
          <w:szCs w:val="24"/>
        </w:rPr>
        <w:t xml:space="preserve">1.3. Each user receives a personal account; shared or group accounts are not allowed, except for controlled production terminals.</w:t>
      </w:r>
    </w:p>
    <w:p>
      <w:pPr>
        <w:pStyle w:val="ListeParagraf"/>
        <w:spacing w:after="80"/>
        <w:ind w:left="709" w:right="0"/>
        <w:jc w:val="both"/>
      </w:pPr>
      <w:r>
        <w:rPr>
          <w:rFonts w:ascii="Calibri" w:hAnsi="Calibri" w:cs="Arial"/>
          <w:sz w:val="24"/>
          <w:szCs w:val="24"/>
        </w:rPr>
        <w:t xml:space="preserve">1.4. The user signs the confidentiality and acceptable use statement before the account is activated.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PASSWORD RULES</w:t>
      </w:r>
    </w:p>
    <w:p>
      <w:pPr>
        <w:pStyle w:val="ListeParagraf"/>
        <w:spacing w:after="80"/>
        <w:ind w:left="709" w:right="0"/>
        <w:jc w:val="both"/>
      </w:pPr>
      <w:r>
        <w:rPr>
          <w:rFonts w:ascii="Calibri" w:hAnsi="Calibri" w:cs="Arial"/>
          <w:sz w:val="24"/>
          <w:szCs w:val="24"/>
        </w:rPr>
        <w:t xml:space="preserve">2.1. All users must follow these password rules:</w:t>
      </w:r>
    </w:p>
    <w:p>
      <w:pPr>
        <w:pStyle w:val="ListeParagraf"/>
        <w:numPr>
          <w:ilvl w:val="0"/>
          <w:numId w:val="1"/>
        </w:numPr>
        <w:spacing w:after="60"/>
        <w:jc w:val="both"/>
      </w:pPr>
      <w:r>
        <w:rPr>
          <w:rFonts w:ascii="Calibri" w:hAnsi="Calibri" w:cs="Arial"/>
          <w:sz w:val="24"/>
          <w:szCs w:val="24"/>
        </w:rPr>
        <w:t xml:space="preserve">At least 10 characters, containing upper and lower case letters, numbers and symbols,</w:t>
      </w:r>
    </w:p>
    <w:p>
      <w:pPr>
        <w:pStyle w:val="ListeParagraf"/>
        <w:numPr>
          <w:ilvl w:val="0"/>
          <w:numId w:val="1"/>
        </w:numPr>
        <w:spacing w:after="60"/>
        <w:jc w:val="both"/>
      </w:pPr>
      <w:r>
        <w:rPr>
          <w:rFonts w:ascii="Calibri" w:hAnsi="Calibri" w:cs="Arial"/>
          <w:sz w:val="24"/>
          <w:szCs w:val="24"/>
        </w:rPr>
        <w:t xml:space="preserve">Changed at least every 90 days and not reusing the last five passwords,</w:t>
      </w:r>
    </w:p>
    <w:p>
      <w:pPr>
        <w:pStyle w:val="ListeParagraf"/>
        <w:numPr>
          <w:ilvl w:val="0"/>
          <w:numId w:val="1"/>
        </w:numPr>
        <w:spacing w:after="60"/>
        <w:jc w:val="both"/>
      </w:pPr>
      <w:r>
        <w:rPr>
          <w:rFonts w:ascii="Calibri" w:hAnsi="Calibri" w:cs="Arial"/>
          <w:sz w:val="24"/>
          <w:szCs w:val="24"/>
        </w:rPr>
        <w:t xml:space="preserve">Never written down, shared or sent by e-mail or messaging applications,</w:t>
      </w:r>
    </w:p>
    <w:p>
      <w:pPr>
        <w:pStyle w:val="ListeParagraf"/>
        <w:numPr>
          <w:ilvl w:val="0"/>
          <w:numId w:val="1"/>
        </w:numPr>
        <w:spacing w:after="60"/>
        <w:jc w:val="both"/>
      </w:pPr>
      <w:r>
        <w:rPr>
          <w:rFonts w:ascii="Calibri" w:hAnsi="Calibri" w:cs="Arial"/>
          <w:sz w:val="24"/>
          <w:szCs w:val="24"/>
        </w:rPr>
        <w:t xml:space="preserve">The account is locked after five failed login attempts.</w:t>
      </w:r>
    </w:p>
    <w:p>
      <w:pPr>
        <w:pStyle w:val="ListeParagraf"/>
        <w:spacing w:after="80"/>
        <w:ind w:left="709" w:right="0"/>
        <w:jc w:val="both"/>
      </w:pPr>
      <w:r>
        <w:rPr>
          <w:rFonts w:ascii="Calibri" w:hAnsi="Calibri" w:cs="Arial"/>
          <w:sz w:val="24"/>
          <w:szCs w:val="24"/>
        </w:rPr>
        <w:t xml:space="preserve">2.2. Initial passwords given by IT must be changed at first login.</w:t>
      </w:r>
    </w:p>
    <w:p>
      <w:pPr>
        <w:pStyle w:val="ListeParagraf"/>
        <w:spacing w:after="80"/>
        <w:ind w:left="709" w:right="0"/>
        <w:jc w:val="both"/>
      </w:pPr>
      <w:r>
        <w:rPr>
          <w:rFonts w:ascii="Calibri" w:hAnsi="Calibri" w:cs="Arial"/>
          <w:sz w:val="24"/>
          <w:szCs w:val="24"/>
        </w:rPr>
        <w:t xml:space="preserve">2.3. Privileged accounts use stronger passwords and, where the system allows, two-factor authentication.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WORKSTATION AND PHYSICAL ACCESS</w:t>
      </w:r>
    </w:p>
    <w:p>
      <w:pPr>
        <w:pStyle w:val="ListeParagraf"/>
        <w:spacing w:after="80"/>
        <w:ind w:left="709" w:right="0"/>
        <w:jc w:val="both"/>
      </w:pPr>
      <w:r>
        <w:rPr>
          <w:rFonts w:ascii="Calibri" w:hAnsi="Calibri" w:cs="Arial"/>
          <w:sz w:val="24"/>
          <w:szCs w:val="24"/>
        </w:rPr>
        <w:t xml:space="preserve">3.1. Computers lock automatically after 10 minutes of inactivity; users lock their screens when leaving their desk.</w:t>
      </w:r>
    </w:p>
    <w:p>
      <w:pPr>
        <w:pStyle w:val="ListeParagraf"/>
        <w:spacing w:after="80"/>
        <w:ind w:left="709" w:right="0"/>
        <w:jc w:val="both"/>
      </w:pPr>
      <w:r>
        <w:rPr>
          <w:rFonts w:ascii="Calibri" w:hAnsi="Calibri" w:cs="Arial"/>
          <w:sz w:val="24"/>
          <w:szCs w:val="24"/>
        </w:rPr>
        <w:t xml:space="preserve">3.2. The server room is kept locked; entry is limited to authorised IT staff and recorded for visitors and contractors.</w:t>
      </w:r>
    </w:p>
    <w:p>
      <w:pPr>
        <w:pStyle w:val="ListeParagraf"/>
        <w:spacing w:after="80"/>
        <w:ind w:left="709" w:right="0"/>
        <w:jc w:val="both"/>
      </w:pPr>
      <w:r>
        <w:rPr>
          <w:rFonts w:ascii="Calibri" w:hAnsi="Calibri" w:cs="Arial"/>
          <w:sz w:val="24"/>
          <w:szCs w:val="24"/>
        </w:rPr>
        <w:t xml:space="preserve">3.3. USB storage devices are blocked by default and enabled only with IT Manager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CHANGE AND REMOVAL OF ACCESS</w:t>
      </w:r>
    </w:p>
    <w:p>
      <w:pPr>
        <w:pStyle w:val="ListeParagraf"/>
        <w:spacing w:after="80"/>
        <w:ind w:left="709" w:right="0"/>
        <w:jc w:val="both"/>
      </w:pPr>
      <w:r>
        <w:rPr>
          <w:rFonts w:ascii="Calibri" w:hAnsi="Calibri" w:cs="Arial"/>
          <w:sz w:val="24"/>
          <w:szCs w:val="24"/>
        </w:rPr>
        <w:t xml:space="preserve">4.1. HR informs IT of every termination; the account is disabled on the last working day at the latest.</w:t>
      </w:r>
    </w:p>
    <w:p>
      <w:pPr>
        <w:pStyle w:val="ListeParagraf"/>
        <w:spacing w:after="80"/>
        <w:ind w:left="709" w:right="0"/>
        <w:jc w:val="both"/>
      </w:pPr>
      <w:r>
        <w:rPr>
          <w:rFonts w:ascii="Calibri" w:hAnsi="Calibri" w:cs="Arial"/>
          <w:sz w:val="24"/>
          <w:szCs w:val="24"/>
        </w:rPr>
        <w:t xml:space="preserve">4.2. On job transfer, access no longer needed is removed and new access is given according to section 1.</w:t>
      </w:r>
    </w:p>
    <w:p>
      <w:pPr>
        <w:pStyle w:val="ListeParagraf"/>
        <w:spacing w:after="80"/>
        <w:ind w:left="709" w:right="0"/>
        <w:jc w:val="both"/>
      </w:pPr>
      <w:r>
        <w:rPr>
          <w:rFonts w:ascii="Calibri" w:hAnsi="Calibri" w:cs="Arial"/>
          <w:sz w:val="24"/>
          <w:szCs w:val="24"/>
        </w:rPr>
        <w:t xml:space="preserve">4.3. Accounts of external service providers are opened only for the contract period and closed immediately after.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ACCESS REVIEW AND MONITORING</w:t>
      </w:r>
    </w:p>
    <w:p>
      <w:pPr>
        <w:pStyle w:val="ListeParagraf"/>
        <w:spacing w:after="80"/>
        <w:ind w:left="709" w:right="0"/>
        <w:jc w:val="both"/>
      </w:pPr>
      <w:r>
        <w:rPr>
          <w:rFonts w:ascii="Calibri" w:hAnsi="Calibri" w:cs="Arial"/>
          <w:sz w:val="24"/>
          <w:szCs w:val="24"/>
        </w:rPr>
        <w:t xml:space="preserve">5.1. Every six months the IT Manager sends the list of users and access rights to Department Managers for confirmation.</w:t>
      </w:r>
    </w:p>
    <w:p>
      <w:pPr>
        <w:pStyle w:val="ListeParagraf"/>
        <w:spacing w:after="80"/>
        <w:ind w:left="709" w:right="0"/>
        <w:jc w:val="both"/>
      </w:pPr>
      <w:r>
        <w:rPr>
          <w:rFonts w:ascii="Calibri" w:hAnsi="Calibri" w:cs="Arial"/>
          <w:sz w:val="24"/>
          <w:szCs w:val="24"/>
        </w:rPr>
        <w:t xml:space="preserve">5.2. The IT Manager monitors the following indicators and reports them in the management review:</w:t>
      </w:r>
    </w:p>
    <w:p>
      <w:pPr>
        <w:pStyle w:val="ListeParagraf"/>
        <w:numPr>
          <w:ilvl w:val="0"/>
          <w:numId w:val="1"/>
        </w:numPr>
        <w:spacing w:after="60"/>
        <w:jc w:val="both"/>
      </w:pPr>
      <w:r>
        <w:rPr>
          <w:rFonts w:ascii="Calibri" w:hAnsi="Calibri" w:cs="Arial"/>
          <w:sz w:val="24"/>
          <w:szCs w:val="24"/>
        </w:rPr>
        <w:t xml:space="preserve">Percentage of leavers whose accounts are disabled on time,</w:t>
      </w:r>
    </w:p>
    <w:p>
      <w:pPr>
        <w:pStyle w:val="ListeParagraf"/>
        <w:numPr>
          <w:ilvl w:val="0"/>
          <w:numId w:val="1"/>
        </w:numPr>
        <w:spacing w:after="60"/>
        <w:jc w:val="both"/>
      </w:pPr>
      <w:r>
        <w:rPr>
          <w:rFonts w:ascii="Calibri" w:hAnsi="Calibri" w:cs="Arial"/>
          <w:sz w:val="24"/>
          <w:szCs w:val="24"/>
        </w:rPr>
        <w:t xml:space="preserve">Number of inactive or unauthorised accounts found in access reviews,</w:t>
      </w:r>
    </w:p>
    <w:p>
      <w:pPr>
        <w:pStyle w:val="ListeParagraf"/>
        <w:numPr>
          <w:ilvl w:val="0"/>
          <w:numId w:val="1"/>
        </w:numPr>
        <w:spacing w:after="60"/>
        <w:jc w:val="both"/>
      </w:pPr>
      <w:r>
        <w:rPr>
          <w:rFonts w:ascii="Calibri" w:hAnsi="Calibri" w:cs="Arial"/>
          <w:sz w:val="24"/>
          <w:szCs w:val="24"/>
        </w:rPr>
        <w:t xml:space="preserve">Number of incidents related to password misuse or unauthorised access.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User Access Request Forms</w:t>
      </w:r>
    </w:p>
    <w:p>
      <w:pPr>
        <w:pStyle w:val="ListeParagraf"/>
        <w:numPr>
          <w:ilvl w:val="0"/>
          <w:numId w:val="1"/>
        </w:numPr>
        <w:spacing w:after="60"/>
        <w:jc w:val="both"/>
      </w:pPr>
      <w:r>
        <w:rPr>
          <w:rFonts w:ascii="Calibri" w:hAnsi="Calibri" w:cs="Arial"/>
          <w:sz w:val="24"/>
          <w:szCs w:val="24"/>
        </w:rPr>
        <w:t xml:space="preserve">Confidentiality and Acceptable Use Statements</w:t>
      </w:r>
    </w:p>
    <w:p>
      <w:pPr>
        <w:pStyle w:val="ListeParagraf"/>
        <w:numPr>
          <w:ilvl w:val="0"/>
          <w:numId w:val="1"/>
        </w:numPr>
        <w:spacing w:after="60"/>
        <w:jc w:val="both"/>
      </w:pPr>
      <w:r>
        <w:rPr>
          <w:rFonts w:ascii="Calibri" w:hAnsi="Calibri" w:cs="Arial"/>
          <w:sz w:val="24"/>
          <w:szCs w:val="24"/>
        </w:rPr>
        <w:t xml:space="preserve">Access Review Records</w:t>
      </w:r>
    </w:p>
    <w:p>
      <w:pPr>
        <w:pStyle w:val="ListeParagraf"/>
        <w:numPr>
          <w:ilvl w:val="0"/>
          <w:numId w:val="1"/>
        </w:numPr>
        <w:spacing w:after="60"/>
        <w:jc w:val="both"/>
      </w:pPr>
      <w:r>
        <w:rPr>
          <w:rFonts w:ascii="Calibri" w:hAnsi="Calibri" w:cs="Arial"/>
          <w:sz w:val="24"/>
          <w:szCs w:val="24"/>
        </w:rPr>
        <w:t xml:space="preserve">Server Room Access Log</w:t>
      </w:r>
    </w:p>
    <w:p>
      <w:pPr>
        <w:pStyle w:val="ListeParagraf"/>
        <w:numPr>
          <w:ilvl w:val="0"/>
          <w:numId w:val="1"/>
        </w:numPr>
        <w:spacing w:after="60"/>
        <w:jc w:val="both"/>
      </w:pPr>
      <w:r>
        <w:rPr>
          <w:rFonts w:ascii="Calibri" w:hAnsi="Calibri" w:cs="Arial"/>
          <w:sz w:val="24"/>
          <w:szCs w:val="24"/>
        </w:rPr>
        <w:t xml:space="preserve">EMS.BG.PRO.15.02. Data Backup and Information Security Incident Procedure</w:t>
      </w:r>
    </w:p>
    <w:p>
      <w:pPr>
        <w:pStyle w:val="ListeParagraf"/>
        <w:numPr>
          <w:ilvl w:val="0"/>
          <w:numId w:val="1"/>
        </w:numPr>
        <w:spacing w:after="60"/>
        <w:jc w:val="both"/>
      </w:pPr>
      <w:r>
        <w:rPr>
          <w:rFonts w:ascii="Calibri" w:hAnsi="Calibri" w:cs="Arial"/>
          <w:sz w:val="24"/>
          <w:szCs w:val="24"/>
        </w:rPr>
        <w:t xml:space="preserve">EMS.İK.PRO.01.08. Recruitment and Termination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This procedure is reviewed every year by the IT Manager. Access review results, incidents and user suggestions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طلب حسابات المستخدمين وصلاحيات الوصول إلى أنظمة معلومات EMS ومنحها ومراجعتها وإلغائها، وقواعد كلمات المرور الواجب اتباعها في شركة إيروغلو للتريكو (EMS)، وذلك لمنع الوصول غير المصرح به إلى المعلومات.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حسابات المستخدمين على أجهزة الحاسوب والخوادم ونظام ERP والبريد الإلكتروني والمجلدات المشتركة وشبكة Wi-Fi وأنظمة كاميرات المراقبة والحضور بالبصمة في EMS، بالإضافة إلى الدخول الفعلي إلى غرفة الخوادم.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تقنية المعلومات:</w:t>
      </w:r>
      <w:r>
        <w:rPr>
          <w:rFonts w:ascii="Calibri" w:hAnsi="Calibri" w:cs="Arial"/>
          <w:rtl/>
          <w:sz w:val="24"/>
          <w:szCs w:val="24"/>
        </w:rPr>
        <w:t xml:space="preserve"> ينشئ حسابات المستخدمين ويعدلها ويغلقها، ويطبق قواعد كلمات المرور، ويجري مراجعات الوصول.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يطلبون صلاحيات الوصول لموظفيهم، ويعتمدون مستوى الوصول، ويبلغون قسم تقنية المعلومات بحالات النقل وترك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الموارد البشرية:</w:t>
      </w:r>
      <w:r>
        <w:rPr>
          <w:rFonts w:ascii="Calibri" w:hAnsi="Calibri" w:cs="Arial"/>
          <w:rtl/>
          <w:sz w:val="24"/>
          <w:szCs w:val="24"/>
        </w:rPr>
        <w:t xml:space="preserve"> يبلغ قسم تقنية المعلومات بالموظفين الجدد وحالات النقل وإنهاء الخدمة في اليوم نفسه.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المستخدمون:</w:t>
      </w:r>
      <w:r>
        <w:rPr>
          <w:rFonts w:ascii="Calibri" w:hAnsi="Calibri" w:cs="Arial"/>
          <w:rtl/>
          <w:sz w:val="24"/>
          <w:szCs w:val="24"/>
        </w:rPr>
        <w:t xml:space="preserve"> يحافظون على سرية كلمات المرور، ويقفلون شاشاتهم، ولا يستخدمون إلا الصلاحيات الممنوحة لهم.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حساب المستخدم:</w:t>
      </w:r>
      <w:r>
        <w:rPr>
          <w:rFonts w:ascii="Calibri" w:hAnsi="Calibri" w:cs="Arial"/>
          <w:rtl/>
          <w:sz w:val="24"/>
          <w:szCs w:val="24"/>
        </w:rPr>
        <w:t xml:space="preserve"> الهوية الشخصية التي يستخدمها الموظف لتسجيل الدخول إلى أحد أنظمة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الحساب المميز:</w:t>
      </w:r>
      <w:r>
        <w:rPr>
          <w:rFonts w:ascii="Calibri" w:hAnsi="Calibri" w:cs="Arial"/>
          <w:rtl/>
          <w:sz w:val="24"/>
          <w:szCs w:val="24"/>
        </w:rPr>
        <w:t xml:space="preserve"> حساب يتمتع بصلاحيات المسؤول، مثل حسابات مسؤول الخوادم أو نظام ERP أو الشبكة.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مراجعة الوصول:</w:t>
      </w:r>
      <w:r>
        <w:rPr>
          <w:rFonts w:ascii="Calibri" w:hAnsi="Calibri" w:cs="Arial"/>
          <w:rtl/>
          <w:sz w:val="24"/>
          <w:szCs w:val="24"/>
        </w:rPr>
        <w:t xml:space="preserve"> الفحص الدوري للتأكد من أن كل مستخدم يملك فقط صلاحيات الوصول اللازمة لعمله الحالي.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طلب الوصول واعتماده</w:t>
      </w:r>
    </w:p>
    <w:p>
      <w:pPr>
        <w:pStyle w:val="ListeParagraf"/>
        <w:bidi/>
        <w:spacing w:after="80"/>
        <w:ind w:left="0" w:right="709"/>
        <w:jc w:val="both"/>
      </w:pPr>
      <w:r>
        <w:rPr>
          <w:rFonts w:ascii="Calibri" w:hAnsi="Calibri" w:cs="Arial"/>
          <w:rtl/>
          <w:sz w:val="24"/>
          <w:szCs w:val="24"/>
        </w:rPr>
        <w:t xml:space="preserve">1.1. عند تعيين موظف جديد أو تغيير الوظيفة، يملأ مدير القسم نموذج طلب وصول المستخدم موضحًا الأنظمة ومستوى الوصول المطلوب.</w:t>
      </w:r>
    </w:p>
    <w:p>
      <w:pPr>
        <w:pStyle w:val="ListeParagraf"/>
        <w:bidi/>
        <w:spacing w:after="80"/>
        <w:ind w:left="0" w:right="709"/>
        <w:jc w:val="both"/>
      </w:pPr>
      <w:r>
        <w:rPr>
          <w:rFonts w:ascii="Calibri" w:hAnsi="Calibri" w:cs="Arial"/>
          <w:rtl/>
          <w:sz w:val="24"/>
          <w:szCs w:val="24"/>
        </w:rPr>
        <w:t xml:space="preserve">1.2. يراجع مدير تقنية المعلومات الطلب وفقًا للدور الوظيفي، ويتطلب الوصول إلى الرواتب وملفات الموظفين والملفات الفنية للعملاء أيضًا موافقة القسم المالك للبيانات.</w:t>
      </w:r>
    </w:p>
    <w:p>
      <w:pPr>
        <w:pStyle w:val="ListeParagraf"/>
        <w:bidi/>
        <w:spacing w:after="80"/>
        <w:ind w:left="0" w:right="709"/>
        <w:jc w:val="both"/>
      </w:pPr>
      <w:r>
        <w:rPr>
          <w:rFonts w:ascii="Calibri" w:hAnsi="Calibri" w:cs="Arial"/>
          <w:rtl/>
          <w:sz w:val="24"/>
          <w:szCs w:val="24"/>
        </w:rPr>
        <w:t xml:space="preserve">1.3. يحصل كل مستخدم على حساب شخصي، ولا يُسمح بالحسابات المشتركة أو الجماعية إلا لأجهزة الإنتاج الطرفية الخاضعة للرقابة.</w:t>
      </w:r>
    </w:p>
    <w:p>
      <w:pPr>
        <w:pStyle w:val="ListeParagraf"/>
        <w:bidi/>
        <w:spacing w:after="80"/>
        <w:ind w:left="0" w:right="709"/>
        <w:jc w:val="both"/>
      </w:pPr>
      <w:r>
        <w:rPr>
          <w:rFonts w:ascii="Calibri" w:hAnsi="Calibri" w:cs="Arial"/>
          <w:rtl/>
          <w:sz w:val="24"/>
          <w:szCs w:val="24"/>
        </w:rPr>
        <w:t xml:space="preserve">1.4. يوقع المستخدم على إقرار السرية والاستخدام المقبول قبل تفعيل الحساب.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قواعد كلمات المرور</w:t>
      </w:r>
    </w:p>
    <w:p>
      <w:pPr>
        <w:pStyle w:val="ListeParagraf"/>
        <w:bidi/>
        <w:spacing w:after="80"/>
        <w:ind w:left="0" w:right="709"/>
        <w:jc w:val="both"/>
      </w:pPr>
      <w:r>
        <w:rPr>
          <w:rFonts w:ascii="Calibri" w:hAnsi="Calibri" w:cs="Arial"/>
          <w:rtl/>
          <w:sz w:val="24"/>
          <w:szCs w:val="24"/>
        </w:rPr>
        <w:t xml:space="preserve">2.1. يجب على جميع المستخدمين اتباع قواعد كلمات المرور التالية:</w:t>
      </w:r>
    </w:p>
    <w:p>
      <w:pPr>
        <w:pStyle w:val="ListeParagraf"/>
        <w:numPr>
          <w:ilvl w:val="0"/>
          <w:numId w:val="1"/>
        </w:numPr>
        <w:bidi/>
        <w:spacing w:after="60"/>
        <w:jc w:val="both"/>
      </w:pPr>
      <w:r>
        <w:rPr>
          <w:rFonts w:ascii="Calibri" w:hAnsi="Calibri" w:cs="Arial"/>
          <w:rtl/>
          <w:sz w:val="24"/>
          <w:szCs w:val="24"/>
        </w:rPr>
        <w:t xml:space="preserve">ألا تقل عن 10 أحرف، وأن تحتوي على أحرف كبيرة وصغيرة وأرقام ورموز،</w:t>
      </w:r>
    </w:p>
    <w:p>
      <w:pPr>
        <w:pStyle w:val="ListeParagraf"/>
        <w:numPr>
          <w:ilvl w:val="0"/>
          <w:numId w:val="1"/>
        </w:numPr>
        <w:bidi/>
        <w:spacing w:after="60"/>
        <w:jc w:val="both"/>
      </w:pPr>
      <w:r>
        <w:rPr>
          <w:rFonts w:ascii="Calibri" w:hAnsi="Calibri" w:cs="Arial"/>
          <w:rtl/>
          <w:sz w:val="24"/>
          <w:szCs w:val="24"/>
        </w:rPr>
        <w:t xml:space="preserve">أن تُغير كل 90 يومًا على الأقل، وألا تُكرر آخر خمس كلمات مرور،</w:t>
      </w:r>
    </w:p>
    <w:p>
      <w:pPr>
        <w:pStyle w:val="ListeParagraf"/>
        <w:numPr>
          <w:ilvl w:val="0"/>
          <w:numId w:val="1"/>
        </w:numPr>
        <w:bidi/>
        <w:spacing w:after="60"/>
        <w:jc w:val="both"/>
      </w:pPr>
      <w:r>
        <w:rPr>
          <w:rFonts w:ascii="Calibri" w:hAnsi="Calibri" w:cs="Arial"/>
          <w:rtl/>
          <w:sz w:val="24"/>
          <w:szCs w:val="24"/>
        </w:rPr>
        <w:t xml:space="preserve">ألا تُكتب أو تُشارك أو تُرسل أبدًا عبر البريد الإلكتروني أو تطبيقات المراسلة،</w:t>
      </w:r>
    </w:p>
    <w:p>
      <w:pPr>
        <w:pStyle w:val="ListeParagraf"/>
        <w:numPr>
          <w:ilvl w:val="0"/>
          <w:numId w:val="1"/>
        </w:numPr>
        <w:bidi/>
        <w:spacing w:after="60"/>
        <w:jc w:val="both"/>
      </w:pPr>
      <w:r>
        <w:rPr>
          <w:rFonts w:ascii="Calibri" w:hAnsi="Calibri" w:cs="Arial"/>
          <w:rtl/>
          <w:sz w:val="24"/>
          <w:szCs w:val="24"/>
        </w:rPr>
        <w:t xml:space="preserve">يُقفل الحساب بعد خمس محاولات دخول فاشلة.</w:t>
      </w:r>
    </w:p>
    <w:p>
      <w:pPr>
        <w:pStyle w:val="ListeParagraf"/>
        <w:bidi/>
        <w:spacing w:after="80"/>
        <w:ind w:left="0" w:right="709"/>
        <w:jc w:val="both"/>
      </w:pPr>
      <w:r>
        <w:rPr>
          <w:rFonts w:ascii="Calibri" w:hAnsi="Calibri" w:cs="Arial"/>
          <w:rtl/>
          <w:sz w:val="24"/>
          <w:szCs w:val="24"/>
        </w:rPr>
        <w:t xml:space="preserve">2.2. يجب تغيير كلمات المرور الأولية التي يمنحها قسم تقنية المعلومات عند أول تسجيل دخول.</w:t>
      </w:r>
    </w:p>
    <w:p>
      <w:pPr>
        <w:pStyle w:val="ListeParagraf"/>
        <w:bidi/>
        <w:spacing w:after="80"/>
        <w:ind w:left="0" w:right="709"/>
        <w:jc w:val="both"/>
      </w:pPr>
      <w:r>
        <w:rPr>
          <w:rFonts w:ascii="Calibri" w:hAnsi="Calibri" w:cs="Arial"/>
          <w:rtl/>
          <w:sz w:val="24"/>
          <w:szCs w:val="24"/>
        </w:rPr>
        <w:t xml:space="preserve">2.3. تستخدم الحسابات المميزة كلمات مرور أقوى، والتحقق الثنائي حيثما يسمح النظام بذلك.</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محطات العمل والدخول الفعلي</w:t>
      </w:r>
    </w:p>
    <w:p>
      <w:pPr>
        <w:pStyle w:val="ListeParagraf"/>
        <w:bidi/>
        <w:spacing w:after="80"/>
        <w:ind w:left="0" w:right="709"/>
        <w:jc w:val="both"/>
      </w:pPr>
      <w:r>
        <w:rPr>
          <w:rFonts w:ascii="Calibri" w:hAnsi="Calibri" w:cs="Arial"/>
          <w:rtl/>
          <w:sz w:val="24"/>
          <w:szCs w:val="24"/>
        </w:rPr>
        <w:t xml:space="preserve">3.1. تُقفل أجهزة الحاسوب تلقائيًا بعد 10 دقائق من عدم النشاط، ويقفل المستخدمون شاشاتهم عند مغادرة مكاتبهم.</w:t>
      </w:r>
    </w:p>
    <w:p>
      <w:pPr>
        <w:pStyle w:val="ListeParagraf"/>
        <w:bidi/>
        <w:spacing w:after="80"/>
        <w:ind w:left="0" w:right="709"/>
        <w:jc w:val="both"/>
      </w:pPr>
      <w:r>
        <w:rPr>
          <w:rFonts w:ascii="Calibri" w:hAnsi="Calibri" w:cs="Arial"/>
          <w:rtl/>
          <w:sz w:val="24"/>
          <w:szCs w:val="24"/>
        </w:rPr>
        <w:t xml:space="preserve">3.2. تبقى غرفة الخوادم مقفلة، ويقتصر الدخول إليها على موظفي تقنية المعلومات المفوضين، ويُسجل دخول الزوار والمقاولين.</w:t>
      </w:r>
    </w:p>
    <w:p>
      <w:pPr>
        <w:pStyle w:val="ListeParagraf"/>
        <w:bidi/>
        <w:spacing w:after="80"/>
        <w:ind w:left="0" w:right="709"/>
        <w:jc w:val="both"/>
      </w:pPr>
      <w:r>
        <w:rPr>
          <w:rFonts w:ascii="Calibri" w:hAnsi="Calibri" w:cs="Arial"/>
          <w:rtl/>
          <w:sz w:val="24"/>
          <w:szCs w:val="24"/>
        </w:rPr>
        <w:t xml:space="preserve">3.3. تُحظر أجهزة التخزين USB افتراضيًا، ولا تُفعّل إلا بموافقة مدير تقنية المعلومات.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تعديل الوصول وإلغاؤه</w:t>
      </w:r>
    </w:p>
    <w:p>
      <w:pPr>
        <w:pStyle w:val="ListeParagraf"/>
        <w:bidi/>
        <w:spacing w:after="80"/>
        <w:ind w:left="0" w:right="709"/>
        <w:jc w:val="both"/>
      </w:pPr>
      <w:r>
        <w:rPr>
          <w:rFonts w:ascii="Calibri" w:hAnsi="Calibri" w:cs="Arial"/>
          <w:rtl/>
          <w:sz w:val="24"/>
          <w:szCs w:val="24"/>
        </w:rPr>
        <w:t xml:space="preserve">4.1. يبلغ قسم الموارد البشرية قسم تقنية المعلومات بكل حالة إنهاء خدمة، ويُعطل الحساب في آخر يوم عمل على أقصى تقدير.</w:t>
      </w:r>
    </w:p>
    <w:p>
      <w:pPr>
        <w:pStyle w:val="ListeParagraf"/>
        <w:bidi/>
        <w:spacing w:after="80"/>
        <w:ind w:left="0" w:right="709"/>
        <w:jc w:val="both"/>
      </w:pPr>
      <w:r>
        <w:rPr>
          <w:rFonts w:ascii="Calibri" w:hAnsi="Calibri" w:cs="Arial"/>
          <w:rtl/>
          <w:sz w:val="24"/>
          <w:szCs w:val="24"/>
        </w:rPr>
        <w:t xml:space="preserve">4.2. عند نقل الموظف تُلغى الصلاحيات التي لم يعد بحاجة إليها، وتُمنح صلاحيات جديدة وفق البند 1.</w:t>
      </w:r>
    </w:p>
    <w:p>
      <w:pPr>
        <w:pStyle w:val="ListeParagraf"/>
        <w:bidi/>
        <w:spacing w:after="80"/>
        <w:ind w:left="0" w:right="709"/>
        <w:jc w:val="both"/>
      </w:pPr>
      <w:r>
        <w:rPr>
          <w:rFonts w:ascii="Calibri" w:hAnsi="Calibri" w:cs="Arial"/>
          <w:rtl/>
          <w:sz w:val="24"/>
          <w:szCs w:val="24"/>
        </w:rPr>
        <w:t xml:space="preserve">4.3. تُفتح حسابات مقدمي الخدمات الخارجيين لمدة العقد فقط وتُغلق فور انتهائها.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مراجعة الوصول والمتابعة</w:t>
      </w:r>
    </w:p>
    <w:p>
      <w:pPr>
        <w:pStyle w:val="ListeParagraf"/>
        <w:bidi/>
        <w:spacing w:after="80"/>
        <w:ind w:left="0" w:right="709"/>
        <w:jc w:val="both"/>
      </w:pPr>
      <w:r>
        <w:rPr>
          <w:rFonts w:ascii="Calibri" w:hAnsi="Calibri" w:cs="Arial"/>
          <w:rtl/>
          <w:sz w:val="24"/>
          <w:szCs w:val="24"/>
        </w:rPr>
        <w:t xml:space="preserve">5.1. كل ستة أشهر يرسل مدير تقنية المعلومات قائمة المستخدمين وصلاحيات الوصول إلى مديري الأقسام لتأكيدها.</w:t>
      </w:r>
    </w:p>
    <w:p>
      <w:pPr>
        <w:pStyle w:val="ListeParagraf"/>
        <w:bidi/>
        <w:spacing w:after="80"/>
        <w:ind w:left="0" w:right="709"/>
        <w:jc w:val="both"/>
      </w:pPr>
      <w:r>
        <w:rPr>
          <w:rFonts w:ascii="Calibri" w:hAnsi="Calibri" w:cs="Arial"/>
          <w:rtl/>
          <w:sz w:val="24"/>
          <w:szCs w:val="24"/>
        </w:rPr>
        <w:t xml:space="preserve">5.2. يتابع مدير تقنية المعلومات المؤشرات التالية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الموظفين التاركين للعمل الذين عُطلت حساباتهم في الوقت المحدد،</w:t>
      </w:r>
    </w:p>
    <w:p>
      <w:pPr>
        <w:pStyle w:val="ListeParagraf"/>
        <w:numPr>
          <w:ilvl w:val="0"/>
          <w:numId w:val="1"/>
        </w:numPr>
        <w:bidi/>
        <w:spacing w:after="60"/>
        <w:jc w:val="both"/>
      </w:pPr>
      <w:r>
        <w:rPr>
          <w:rFonts w:ascii="Calibri" w:hAnsi="Calibri" w:cs="Arial"/>
          <w:rtl/>
          <w:sz w:val="24"/>
          <w:szCs w:val="24"/>
        </w:rPr>
        <w:t xml:space="preserve">عدد الحسابات غير النشطة أو غير المصرح بها المكتشفة في مراجعات الوصول،</w:t>
      </w:r>
    </w:p>
    <w:p>
      <w:pPr>
        <w:pStyle w:val="ListeParagraf"/>
        <w:numPr>
          <w:ilvl w:val="0"/>
          <w:numId w:val="1"/>
        </w:numPr>
        <w:bidi/>
        <w:spacing w:after="60"/>
        <w:jc w:val="both"/>
      </w:pPr>
      <w:r>
        <w:rPr>
          <w:rFonts w:ascii="Calibri" w:hAnsi="Calibri" w:cs="Arial"/>
          <w:rtl/>
          <w:sz w:val="24"/>
          <w:szCs w:val="24"/>
        </w:rPr>
        <w:t xml:space="preserve">عدد الحوادث المتعلقة بسوء استخدام كلمات المرور أو الوصول غير المصرح به.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نماذج طلب وصول المستخدم</w:t>
      </w:r>
    </w:p>
    <w:p>
      <w:pPr>
        <w:pStyle w:val="ListeParagraf"/>
        <w:numPr>
          <w:ilvl w:val="0"/>
          <w:numId w:val="1"/>
        </w:numPr>
        <w:bidi/>
        <w:spacing w:after="60"/>
        <w:jc w:val="both"/>
      </w:pPr>
      <w:r>
        <w:rPr>
          <w:rFonts w:ascii="Calibri" w:hAnsi="Calibri" w:cs="Arial"/>
          <w:rtl/>
          <w:sz w:val="24"/>
          <w:szCs w:val="24"/>
        </w:rPr>
        <w:t xml:space="preserve">إقرارات السرية والاستخدام المقبول</w:t>
      </w:r>
    </w:p>
    <w:p>
      <w:pPr>
        <w:pStyle w:val="ListeParagraf"/>
        <w:numPr>
          <w:ilvl w:val="0"/>
          <w:numId w:val="1"/>
        </w:numPr>
        <w:bidi/>
        <w:spacing w:after="60"/>
        <w:jc w:val="both"/>
      </w:pPr>
      <w:r>
        <w:rPr>
          <w:rFonts w:ascii="Calibri" w:hAnsi="Calibri" w:cs="Arial"/>
          <w:rtl/>
          <w:sz w:val="24"/>
          <w:szCs w:val="24"/>
        </w:rPr>
        <w:t xml:space="preserve">سجلات مراجعة الوصول</w:t>
      </w:r>
    </w:p>
    <w:p>
      <w:pPr>
        <w:pStyle w:val="ListeParagraf"/>
        <w:numPr>
          <w:ilvl w:val="0"/>
          <w:numId w:val="1"/>
        </w:numPr>
        <w:bidi/>
        <w:spacing w:after="60"/>
        <w:jc w:val="both"/>
      </w:pPr>
      <w:r>
        <w:rPr>
          <w:rFonts w:ascii="Calibri" w:hAnsi="Calibri" w:cs="Arial"/>
          <w:rtl/>
          <w:sz w:val="24"/>
          <w:szCs w:val="24"/>
        </w:rPr>
        <w:t xml:space="preserve">سجل الدخول إلى غرفة الخوادم</w:t>
      </w:r>
    </w:p>
    <w:p>
      <w:pPr>
        <w:pStyle w:val="ListeParagraf"/>
        <w:numPr>
          <w:ilvl w:val="0"/>
          <w:numId w:val="1"/>
        </w:numPr>
        <w:bidi/>
        <w:spacing w:after="60"/>
        <w:jc w:val="both"/>
      </w:pPr>
      <w:r>
        <w:rPr>
          <w:rFonts w:ascii="Calibri" w:hAnsi="Calibri" w:cs="Arial"/>
          <w:rtl/>
          <w:sz w:val="24"/>
          <w:szCs w:val="24"/>
        </w:rPr>
        <w:t xml:space="preserve">EMS.BG.PRO.15.02. إجراء النسخ الاحتياطي للبيانات وحوادث أمن المعلومات</w:t>
      </w:r>
    </w:p>
    <w:p>
      <w:pPr>
        <w:pStyle w:val="ListeParagraf"/>
        <w:numPr>
          <w:ilvl w:val="0"/>
          <w:numId w:val="1"/>
        </w:numPr>
        <w:bidi/>
        <w:spacing w:after="60"/>
        <w:jc w:val="both"/>
      </w:pPr>
      <w:r>
        <w:rPr>
          <w:rFonts w:ascii="Calibri" w:hAnsi="Calibri" w:cs="Arial"/>
          <w:rtl/>
          <w:sz w:val="24"/>
          <w:szCs w:val="24"/>
        </w:rPr>
        <w:t xml:space="preserve">EMS.İK.PRO.01.08. إجراء التوظيف وإنهاء الخدمة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تقنية المعلومات. وتُقيّم نتائج مراجعات الوصول والحوادث واقتراحات المستخدمين، ويُعدل الإجراء عند الحاجة.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ACCESS CONTROL AND PASSWORD PROCEDURE</w:t>
          </w:r>
        </w:p>
        <w:p>
          <w:pPr>
            <w:pStyle w:val="GvdeMetni2"/>
            <w:bidi/>
            <w:spacing w:line="276" w:lineRule="auto"/>
            <w:jc w:val="center"/>
          </w:pPr>
          <w:r>
            <w:rPr>
              <w:rFonts w:asciiTheme="minorHAnsi" w:hAnsiTheme="minorHAnsi" w:cs="Arial"/>
              <w:b/>
              <w:bCs/>
              <w:color w:val="000000" w:themeColor="text1"/>
              <w:sz w:val="22"/>
              <w:szCs w:val="22"/>
              <w:rtl/>
            </w:rPr>
            <w:t>إجراء التحكم في الوصول وكلمات المرور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EMS.BG.PRO.15.01.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EMS.BG.PRO.15.01. ACCESS CONTROL AND PASSWORD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