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dye and finish fabrics and garments right first time, to the approved shade and quality, using safe chemicals and the minimum amount of water, energy and chemicals, while protecting employees and the environment.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The dyehouse laboratory, recipe preparation and lab dip approval,</w:t>
      </w:r>
    </w:p>
    <w:p>
      <w:pPr>
        <w:pStyle w:val="ListeParagraf"/>
        <w:spacing w:after="80"/>
        <w:ind w:left="709" w:right="0"/>
        <w:jc w:val="both"/>
      </w:pPr>
      <w:r>
        <w:rPr>
          <w:rFonts w:ascii="Calibri" w:hAnsi="Calibri" w:cs="Arial"/>
          <w:sz w:val="24"/>
          <w:szCs w:val="24"/>
        </w:rPr>
        <w:t xml:space="preserve">• Pretreatment, dyeing, washing, drying, compacting, stentering and other finishing processes of knitted fabrics and garments,</w:t>
      </w:r>
    </w:p>
    <w:p>
      <w:pPr>
        <w:pStyle w:val="ListeParagraf"/>
        <w:spacing w:after="80"/>
        <w:ind w:left="709" w:right="0"/>
        <w:jc w:val="both"/>
      </w:pPr>
      <w:r>
        <w:rPr>
          <w:rFonts w:ascii="Calibri" w:hAnsi="Calibri" w:cs="Arial"/>
          <w:sz w:val="24"/>
          <w:szCs w:val="24"/>
        </w:rPr>
        <w:t xml:space="preserve">• Chemical and dyestuff use, wastewater discharge and boiler steam used in these processes.</w:t>
      </w:r>
    </w:p>
    <w:p>
      <w:pPr>
        <w:pStyle w:val="ListeParagraf"/>
        <w:spacing w:after="80"/>
        <w:ind w:left="709" w:right="0"/>
        <w:jc w:val="both"/>
      </w:pPr>
      <w:r>
        <w:rPr>
          <w:rFonts w:ascii="Calibri" w:hAnsi="Calibri" w:cs="Arial"/>
          <w:sz w:val="24"/>
          <w:szCs w:val="24"/>
        </w:rPr>
        <w:t xml:space="preserve">It applies to all EMS employees working in the dyehouse and laboratory and to suppliers and contractors providing dyes, chemicals and services to the dyehouse.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and provides the resources (laboratory, machines, chemicals, wastewater treatment, budget) needed.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Implements the policy, ensures right-first-time production and reports dyehouse performance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Prepares recipes and lab dips and controls colour and fastness quality.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Manager / Environmental Officer:</w:t>
      </w:r>
      <w:r>
        <w:rPr>
          <w:rFonts w:ascii="Calibri" w:hAnsi="Calibri" w:cs="Arial"/>
          <w:sz w:val="24"/>
          <w:szCs w:val="24"/>
        </w:rPr>
        <w:t xml:space="preserve"> Ensures that only approved chemicals are used and that wastewater meets the required limits.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Follow recipes, process cards and safety rules, use the required PPE and report any problem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 Dip:</w:t>
      </w:r>
      <w:r>
        <w:rPr>
          <w:rFonts w:ascii="Calibri" w:hAnsi="Calibri" w:cs="Arial"/>
          <w:sz w:val="24"/>
          <w:szCs w:val="24"/>
        </w:rPr>
        <w:t xml:space="preserve"> A small dyed sample prepared in the laboratory to match the customer colour standard.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Right First Time (RFT):</w:t>
      </w:r>
      <w:r>
        <w:rPr>
          <w:rFonts w:ascii="Calibri" w:hAnsi="Calibri" w:cs="Arial"/>
          <w:sz w:val="24"/>
          <w:szCs w:val="24"/>
        </w:rPr>
        <w:t xml:space="preserve"> A batch that reaches the approved shade and quality without any addition, re-dyeing or stripping.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ZDHC MRSL:</w:t>
      </w:r>
      <w:r>
        <w:rPr>
          <w:rFonts w:ascii="Calibri" w:hAnsi="Calibri" w:cs="Arial"/>
          <w:sz w:val="24"/>
          <w:szCs w:val="24"/>
        </w:rPr>
        <w:t xml:space="preserve"> The Manufacturing Restricted Substances List of the ZDHC programme that defines chemicals not allowed in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Meet the customer colour, fastness and quality requirements and continually increase the right-first-time rate.</w:t>
      </w:r>
    </w:p>
    <w:p>
      <w:pPr>
        <w:pStyle w:val="ListeParagraf"/>
        <w:numPr>
          <w:ilvl w:val="0"/>
          <w:numId w:val="1"/>
        </w:numPr>
        <w:spacing w:after="60"/>
        <w:jc w:val="both"/>
      </w:pPr>
      <w:r>
        <w:rPr>
          <w:rFonts w:ascii="Calibri" w:hAnsi="Calibri" w:cs="Arial"/>
          <w:sz w:val="24"/>
          <w:szCs w:val="24"/>
        </w:rPr>
        <w:t xml:space="preserve">Use only dyes and chemicals that are approved, listed in the chemical inventory and conform to ZDHC MRSL and customer RSL requirements.</w:t>
      </w:r>
    </w:p>
    <w:p>
      <w:pPr>
        <w:pStyle w:val="ListeParagraf"/>
        <w:numPr>
          <w:ilvl w:val="0"/>
          <w:numId w:val="1"/>
        </w:numPr>
        <w:spacing w:after="60"/>
        <w:jc w:val="both"/>
      </w:pPr>
      <w:r>
        <w:rPr>
          <w:rFonts w:ascii="Calibri" w:hAnsi="Calibri" w:cs="Arial"/>
          <w:sz w:val="24"/>
          <w:szCs w:val="24"/>
        </w:rPr>
        <w:t xml:space="preserve">Reduce water, energy, steam and chemical consumption per kilogram of fabric through low liquor ratio processes, recipe optimisation and process control.</w:t>
      </w:r>
    </w:p>
    <w:p>
      <w:pPr>
        <w:pStyle w:val="ListeParagraf"/>
        <w:numPr>
          <w:ilvl w:val="0"/>
          <w:numId w:val="1"/>
        </w:numPr>
        <w:spacing w:after="60"/>
        <w:jc w:val="both"/>
      </w:pPr>
      <w:r>
        <w:rPr>
          <w:rFonts w:ascii="Calibri" w:hAnsi="Calibri" w:cs="Arial"/>
          <w:sz w:val="24"/>
          <w:szCs w:val="24"/>
        </w:rPr>
        <w:t xml:space="preserve">Treat all wastewater and comply with applicable Egyptian legislation and ZDHC wastewater guidelines before discharge.</w:t>
      </w:r>
    </w:p>
    <w:p>
      <w:pPr>
        <w:pStyle w:val="ListeParagraf"/>
        <w:numPr>
          <w:ilvl w:val="0"/>
          <w:numId w:val="1"/>
        </w:numPr>
        <w:spacing w:after="60"/>
        <w:jc w:val="both"/>
      </w:pPr>
      <w:r>
        <w:rPr>
          <w:rFonts w:ascii="Calibri" w:hAnsi="Calibri" w:cs="Arial"/>
          <w:sz w:val="24"/>
          <w:szCs w:val="24"/>
        </w:rPr>
        <w:t xml:space="preserve">Protect employees through safe chemical handling, safety data sheets, PPE, ventilation and emergency equipment in line with ISO 45001.</w:t>
      </w:r>
    </w:p>
    <w:p>
      <w:pPr>
        <w:pStyle w:val="ListeParagraf"/>
        <w:numPr>
          <w:ilvl w:val="0"/>
          <w:numId w:val="1"/>
        </w:numPr>
        <w:spacing w:after="60"/>
        <w:jc w:val="both"/>
      </w:pPr>
      <w:r>
        <w:rPr>
          <w:rFonts w:ascii="Calibri" w:hAnsi="Calibri" w:cs="Arial"/>
          <w:sz w:val="24"/>
          <w:szCs w:val="24"/>
        </w:rPr>
        <w:t xml:space="preserve">Keep full traceability of each batch from greige fabric to finished fabric, including GRS/RCS and OCS materials where applicable.</w:t>
      </w:r>
    </w:p>
    <w:p>
      <w:pPr>
        <w:pStyle w:val="ListeParagraf"/>
        <w:numPr>
          <w:ilvl w:val="0"/>
          <w:numId w:val="1"/>
        </w:numPr>
        <w:spacing w:after="60"/>
        <w:jc w:val="both"/>
      </w:pPr>
      <w:r>
        <w:rPr>
          <w:rFonts w:ascii="Calibri" w:hAnsi="Calibri" w:cs="Arial"/>
          <w:sz w:val="24"/>
          <w:szCs w:val="24"/>
        </w:rPr>
        <w:t xml:space="preserve">Train dyehouse and laboratory staff and use process data and Higg FEM results for continual improvement.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a significant change occurs. It is communicated to all employees and displayed in the dyehouse and laboratory.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بصباغة الأقمشة والملابس وتجهيزها بشكل صحيح من المرة الأولى، وبدرجة اللون والجودة المعتمدة، باستخدام مواد كيميائية آمنة وبأقل كمية من المياه والطاقة والمواد الكيميائية، مع حماية الموظفين والبيئة.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مختبر المصبغة وإعداد الوصفات واعتماد عينات الصبغة المعملية،</w:t>
      </w:r>
    </w:p>
    <w:p>
      <w:pPr>
        <w:pStyle w:val="ListeParagraf"/>
        <w:bidi/>
        <w:spacing w:after="80"/>
        <w:ind w:left="0" w:right="709"/>
        <w:jc w:val="both"/>
      </w:pPr>
      <w:r>
        <w:rPr>
          <w:rFonts w:ascii="Calibri" w:hAnsi="Calibri" w:cs="Arial"/>
          <w:rtl/>
          <w:sz w:val="24"/>
          <w:szCs w:val="24"/>
        </w:rPr>
        <w:t xml:space="preserve">• عمليات المعالجة المسبقة والصباغة والغسيل والتجفيف والكبس (compacting) والرام (stenter) وغيرها من عمليات تجهيز الأقمشة والملابس التريكو،</w:t>
      </w:r>
    </w:p>
    <w:p>
      <w:pPr>
        <w:pStyle w:val="ListeParagraf"/>
        <w:bidi/>
        <w:spacing w:after="80"/>
        <w:ind w:left="0" w:right="709"/>
        <w:jc w:val="both"/>
      </w:pPr>
      <w:r>
        <w:rPr>
          <w:rFonts w:ascii="Calibri" w:hAnsi="Calibri" w:cs="Arial"/>
          <w:rtl/>
          <w:sz w:val="24"/>
          <w:szCs w:val="24"/>
        </w:rPr>
        <w:t xml:space="preserve">• استخدام المواد الكيميائية والأصباغ وتصريف مياه الصرف وبخار الغلايات المستخدم في هذه العمليات.</w:t>
      </w:r>
    </w:p>
    <w:p>
      <w:pPr>
        <w:pStyle w:val="ListeParagraf"/>
        <w:bidi/>
        <w:spacing w:after="80"/>
        <w:ind w:left="0" w:right="709"/>
        <w:jc w:val="both"/>
      </w:pPr>
      <w:r>
        <w:rPr>
          <w:rFonts w:ascii="Calibri" w:hAnsi="Calibri" w:cs="Arial"/>
          <w:rtl/>
          <w:sz w:val="24"/>
          <w:szCs w:val="24"/>
        </w:rPr>
        <w:t xml:space="preserve">وتنطبق على جميع موظفي EMS العاملين في المصبغة والمختبر وعلى الموردين والمقاولين الذين يوفرون الأصباغ والمواد الكيميائية والخدمات للمصبغة.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ويوفر الموارد اللازمة (المختبر والآلات والمواد الكيميائية ومعالجة مياه الصرف والميزانية).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المصبغة:</w:t>
      </w:r>
      <w:r>
        <w:rPr>
          <w:rFonts w:ascii="Calibri" w:hAnsi="Calibri" w:cs="Arial"/>
          <w:rtl/>
          <w:sz w:val="24"/>
          <w:szCs w:val="24"/>
        </w:rPr>
        <w:t xml:space="preserve"> ينفذ السياسة ويضمن الإنتاج الصحيح من المرة الأولى ويرفع تقارير أداء المصبغة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يعد الوصفات وعينات الصبغة المعملية ويتحكم في جودة اللون والثبات.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الكيماويات / مسؤول البيئة:</w:t>
      </w:r>
      <w:r>
        <w:rPr>
          <w:rFonts w:ascii="Calibri" w:hAnsi="Calibri" w:cs="Arial"/>
          <w:rtl/>
          <w:sz w:val="24"/>
          <w:szCs w:val="24"/>
        </w:rPr>
        <w:t xml:space="preserve"> يضمن استخدام المواد الكيميائية المعتمدة فقط ومطابقة مياه الصرف للحدود المطلوبة.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يتبعون الوصفات وبطاقات التشغيل وقواعد السلامة، ويستخدمون معدات الوقاية الشخصية المطلوبة، ويبلغون عن أي مشكلة فورًا.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عينة الصبغة المعملية (Lab Dip):</w:t>
      </w:r>
      <w:r>
        <w:rPr>
          <w:rFonts w:ascii="Calibri" w:hAnsi="Calibri" w:cs="Arial"/>
          <w:rtl/>
          <w:sz w:val="24"/>
          <w:szCs w:val="24"/>
        </w:rPr>
        <w:t xml:space="preserve"> عينة صغيرة مصبوغة تُعد في المختبر لمطابقة معيار اللون الخاص بالعميل.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الصحيح من المرة الأولى (RFT):</w:t>
      </w:r>
      <w:r>
        <w:rPr>
          <w:rFonts w:ascii="Calibri" w:hAnsi="Calibri" w:cs="Arial"/>
          <w:rtl/>
          <w:sz w:val="24"/>
          <w:szCs w:val="24"/>
        </w:rPr>
        <w:t xml:space="preserve"> الدفعة التي تصل إلى درجة اللون والجودة المعتمدة دون أي إضافة أو إعادة صباغة أو تقشير للون.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ZDHC MRSL:</w:t>
      </w:r>
      <w:r>
        <w:rPr>
          <w:rFonts w:ascii="Calibri" w:hAnsi="Calibri" w:cs="Arial"/>
          <w:rtl/>
          <w:sz w:val="24"/>
          <w:szCs w:val="24"/>
        </w:rPr>
        <w:t xml:space="preserve"> قائمة المواد المقيدة في التصنيع ضمن برنامج ZDHC، والتي تحدد المواد الكيميائية غير المسموح بها في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تلبية متطلبات العميل من حيث اللون والثبات والجودة وزيادة نسبة الصحيح من المرة الأولى باستمرار.</w:t>
      </w:r>
    </w:p>
    <w:p>
      <w:pPr>
        <w:pStyle w:val="ListeParagraf"/>
        <w:numPr>
          <w:ilvl w:val="0"/>
          <w:numId w:val="1"/>
        </w:numPr>
        <w:bidi/>
        <w:spacing w:after="60"/>
        <w:jc w:val="both"/>
      </w:pPr>
      <w:r>
        <w:rPr>
          <w:rFonts w:ascii="Calibri" w:hAnsi="Calibri" w:cs="Arial"/>
          <w:rtl/>
          <w:sz w:val="24"/>
          <w:szCs w:val="24"/>
        </w:rPr>
        <w:t xml:space="preserve">استخدام الأصباغ والمواد الكيميائية المعتمدة فقط والمدرجة في قائمة جرد المواد الكيميائية والمطابقة لمتطلبات ZDHC MRSL وقوائم RSL الخاصة بالعملاء.</w:t>
      </w:r>
    </w:p>
    <w:p>
      <w:pPr>
        <w:pStyle w:val="ListeParagraf"/>
        <w:numPr>
          <w:ilvl w:val="0"/>
          <w:numId w:val="1"/>
        </w:numPr>
        <w:bidi/>
        <w:spacing w:after="60"/>
        <w:jc w:val="both"/>
      </w:pPr>
      <w:r>
        <w:rPr>
          <w:rFonts w:ascii="Calibri" w:hAnsi="Calibri" w:cs="Arial"/>
          <w:rtl/>
          <w:sz w:val="24"/>
          <w:szCs w:val="24"/>
        </w:rPr>
        <w:t xml:space="preserve">تقليل استهلاك المياه والطاقة والبخار والمواد الكيميائية لكل كيلوغرام من القماش من خلال عمليات بنسبة حمام منخفضة وتحسين الوصفات والتحكم في العمليات.</w:t>
      </w:r>
    </w:p>
    <w:p>
      <w:pPr>
        <w:pStyle w:val="ListeParagraf"/>
        <w:numPr>
          <w:ilvl w:val="0"/>
          <w:numId w:val="1"/>
        </w:numPr>
        <w:bidi/>
        <w:spacing w:after="60"/>
        <w:jc w:val="both"/>
      </w:pPr>
      <w:r>
        <w:rPr>
          <w:rFonts w:ascii="Calibri" w:hAnsi="Calibri" w:cs="Arial"/>
          <w:rtl/>
          <w:sz w:val="24"/>
          <w:szCs w:val="24"/>
        </w:rPr>
        <w:t xml:space="preserve">معالجة جميع مياه الصرف والالتزام بالتشريعات المصرية المعمول بها وإرشادات ZDHC لمياه الصرف قبل التصريف.</w:t>
      </w:r>
    </w:p>
    <w:p>
      <w:pPr>
        <w:pStyle w:val="ListeParagraf"/>
        <w:numPr>
          <w:ilvl w:val="0"/>
          <w:numId w:val="1"/>
        </w:numPr>
        <w:bidi/>
        <w:spacing w:after="60"/>
        <w:jc w:val="both"/>
      </w:pPr>
      <w:r>
        <w:rPr>
          <w:rFonts w:ascii="Calibri" w:hAnsi="Calibri" w:cs="Arial"/>
          <w:rtl/>
          <w:sz w:val="24"/>
          <w:szCs w:val="24"/>
        </w:rPr>
        <w:t xml:space="preserve">حماية الموظفين من خلال التداول الآمن للمواد الكيميائية وصحائف بيانات السلامة ومعدات الوقاية الشخصية والتهوية ومعدات الطوارئ بما يتوافق مع ISO 45001.</w:t>
      </w:r>
    </w:p>
    <w:p>
      <w:pPr>
        <w:pStyle w:val="ListeParagraf"/>
        <w:numPr>
          <w:ilvl w:val="0"/>
          <w:numId w:val="1"/>
        </w:numPr>
        <w:bidi/>
        <w:spacing w:after="60"/>
        <w:jc w:val="both"/>
      </w:pPr>
      <w:r>
        <w:rPr>
          <w:rFonts w:ascii="Calibri" w:hAnsi="Calibri" w:cs="Arial"/>
          <w:rtl/>
          <w:sz w:val="24"/>
          <w:szCs w:val="24"/>
        </w:rPr>
        <w:t xml:space="preserve">الحفاظ على التتبع الكامل لكل دفعة من القماش الخام حتى القماش المجهز، بما في ذلك مواد GRS/RCS وOCS حيثما ينطبق.</w:t>
      </w:r>
    </w:p>
    <w:p>
      <w:pPr>
        <w:pStyle w:val="ListeParagraf"/>
        <w:numPr>
          <w:ilvl w:val="0"/>
          <w:numId w:val="1"/>
        </w:numPr>
        <w:bidi/>
        <w:spacing w:after="60"/>
        <w:jc w:val="both"/>
      </w:pPr>
      <w:r>
        <w:rPr>
          <w:rFonts w:ascii="Calibri" w:hAnsi="Calibri" w:cs="Arial"/>
          <w:rtl/>
          <w:sz w:val="24"/>
          <w:szCs w:val="24"/>
        </w:rPr>
        <w:t xml:space="preserve">تدريب موظفي المصبغة والمختبر واستخدام بيانات العمليات ونتائج Higg FEM في التحسين المستمر.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ويتم إبلاغها لجميع الموظفين وتُعلق في المصبغة والمختبر.</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DYEING AND FINISHING POLICY</w:t>
          </w:r>
        </w:p>
        <w:p>
          <w:pPr>
            <w:pStyle w:val="GvdeMetni2"/>
            <w:bidi/>
            <w:spacing w:line="276" w:lineRule="auto"/>
            <w:jc w:val="center"/>
          </w:pPr>
          <w:r>
            <w:rPr>
              <w:rFonts w:asciiTheme="minorHAnsi" w:hAnsiTheme="minorHAnsi" w:cs="Arial"/>
              <w:b/>
              <w:bCs/>
              <w:color w:val="000000" w:themeColor="text1"/>
              <w:sz w:val="22"/>
              <w:szCs w:val="22"/>
              <w:rtl/>
            </w:rPr>
            <w:t>سياسة الصباغة والتجهيز</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EMS.BY.POL.06.01.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EMS.BY.POL.06.01. DYEING AND FINISHING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