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colour standards are received, how lab dips and dyeing recipes are prepared and approved, and how approved recipes are transferred to bulk production at Eroglu Knitting (EMS), in order to achieve the customer shade right first time.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colour requests for fabrics and garments dyed at EMS, from receipt of the customer colour standard to lab dip approval, bulk recipe release and recipe archiving.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Merchandising:</w:t>
      </w:r>
      <w:r>
        <w:rPr>
          <w:rFonts w:ascii="Calibri" w:hAnsi="Calibri" w:cs="Arial"/>
          <w:sz w:val="24"/>
          <w:szCs w:val="24"/>
        </w:rPr>
        <w:t xml:space="preserve"> Sends the customer colour standard, fabric quality and test requirements to the laboratory and forwards lab dips to the customer.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Manager:</w:t>
      </w:r>
      <w:r>
        <w:rPr>
          <w:rFonts w:ascii="Calibri" w:hAnsi="Calibri" w:cs="Arial"/>
          <w:sz w:val="24"/>
          <w:szCs w:val="24"/>
        </w:rPr>
        <w:t xml:space="preserve"> Plans colour matching, approves lab dips before submission and releases bulk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Technicians (Colourists):</w:t>
      </w:r>
      <w:r>
        <w:rPr>
          <w:rFonts w:ascii="Calibri" w:hAnsi="Calibri" w:cs="Arial"/>
          <w:sz w:val="24"/>
          <w:szCs w:val="24"/>
        </w:rPr>
        <w:t xml:space="preserve"> Prepare lab dips, measure colour with the spectrophotometer and record recipes.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Reviews the recipe for bulk feasibility and confirms the first bulk batch result.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Confirms that all dyes and auxiliaries in the recipe are approved and ZDHC MRSL compliant.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Standard:</w:t>
      </w:r>
      <w:r>
        <w:rPr>
          <w:rFonts w:ascii="Calibri" w:hAnsi="Calibri" w:cs="Arial"/>
          <w:sz w:val="24"/>
          <w:szCs w:val="24"/>
        </w:rPr>
        <w:t xml:space="preserve"> The physical sample or digital reference (for example spectral data) provided by the customer for colour matching.</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Delta E (ΔE):</w:t>
      </w:r>
      <w:r>
        <w:rPr>
          <w:rFonts w:ascii="Calibri" w:hAnsi="Calibri" w:cs="Arial"/>
          <w:sz w:val="24"/>
          <w:szCs w:val="24"/>
        </w:rPr>
        <w:t xml:space="preserve"> The measured colour difference between the sample and the standard, expressed with an agreed formula such as CMC (2:1).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Bulk Recipe:</w:t>
      </w:r>
      <w:r>
        <w:rPr>
          <w:rFonts w:ascii="Calibri" w:hAnsi="Calibri" w:cs="Arial"/>
          <w:sz w:val="24"/>
          <w:szCs w:val="24"/>
        </w:rPr>
        <w:t xml:space="preserve"> The approved recipe adapted for production machines, including dyes, auxiliaries, liquor ratio, temperature and time.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Light Source:</w:t>
      </w:r>
      <w:r>
        <w:rPr>
          <w:rFonts w:ascii="Calibri" w:hAnsi="Calibri" w:cs="Arial"/>
          <w:sz w:val="24"/>
          <w:szCs w:val="24"/>
        </w:rPr>
        <w:t xml:space="preserve"> The standard illumination (for example D65, TL84, A) under which shade is assessed in the light cabinet.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RECEIVING THE COLOUR REQUEST</w:t>
      </w:r>
    </w:p>
    <w:p>
      <w:pPr>
        <w:pStyle w:val="ListeParagraf"/>
        <w:spacing w:after="80"/>
        <w:ind w:left="709" w:right="0"/>
        <w:jc w:val="both"/>
      </w:pPr>
      <w:r>
        <w:rPr>
          <w:rFonts w:ascii="Calibri" w:hAnsi="Calibri" w:cs="Arial"/>
          <w:sz w:val="24"/>
          <w:szCs w:val="24"/>
        </w:rPr>
        <w:t xml:space="preserve">1.1. Merchandising opens a colour request with the colour standard, fabric quality, composition, required light sources, ΔE tolerance, fastness and RSL requirements and target date.</w:t>
      </w:r>
    </w:p>
    <w:p>
      <w:pPr>
        <w:pStyle w:val="ListeParagraf"/>
        <w:spacing w:after="80"/>
        <w:ind w:left="709" w:right="0"/>
        <w:jc w:val="both"/>
      </w:pPr>
      <w:r>
        <w:rPr>
          <w:rFonts w:ascii="Calibri" w:hAnsi="Calibri" w:cs="Arial"/>
          <w:sz w:val="24"/>
          <w:szCs w:val="24"/>
        </w:rPr>
        <w:t xml:space="preserve">1.2. The laboratory registers the request and gives it a colour reference number.</w:t>
      </w:r>
    </w:p>
    <w:p>
      <w:pPr>
        <w:pStyle w:val="ListeParagraf"/>
        <w:spacing w:after="80"/>
        <w:ind w:left="709" w:right="0"/>
        <w:jc w:val="both"/>
      </w:pPr>
      <w:r>
        <w:rPr>
          <w:rFonts w:ascii="Calibri" w:hAnsi="Calibri" w:cs="Arial"/>
          <w:sz w:val="24"/>
          <w:szCs w:val="24"/>
        </w:rPr>
        <w:t xml:space="preserve">1.3. The fabric used for lab dips must be the same quality and pretreatment as the bulk fabric.</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PREPARING THE LAB DIP</w:t>
      </w:r>
    </w:p>
    <w:p>
      <w:pPr>
        <w:pStyle w:val="ListeParagraf"/>
        <w:spacing w:after="80"/>
        <w:ind w:left="709" w:right="0"/>
        <w:jc w:val="both"/>
      </w:pPr>
      <w:r>
        <w:rPr>
          <w:rFonts w:ascii="Calibri" w:hAnsi="Calibri" w:cs="Arial"/>
          <w:sz w:val="24"/>
          <w:szCs w:val="24"/>
        </w:rPr>
        <w:t xml:space="preserve">2.1. The colourist prepares the first recipe using the colour matching software and the recipe archive, selecting only approved dyes and auxiliaries.</w:t>
      </w:r>
    </w:p>
    <w:p>
      <w:pPr>
        <w:pStyle w:val="ListeParagraf"/>
        <w:spacing w:after="80"/>
        <w:ind w:left="709" w:right="0"/>
        <w:jc w:val="both"/>
      </w:pPr>
      <w:r>
        <w:rPr>
          <w:rFonts w:ascii="Calibri" w:hAnsi="Calibri" w:cs="Arial"/>
          <w:sz w:val="24"/>
          <w:szCs w:val="24"/>
        </w:rPr>
        <w:t xml:space="preserve">2.2. Lab dips are dyed in laboratory machines under conditions similar to bulk (liquor ratio, temperature, time).</w:t>
      </w:r>
    </w:p>
    <w:p>
      <w:pPr>
        <w:pStyle w:val="ListeParagraf"/>
        <w:spacing w:after="80"/>
        <w:ind w:left="709" w:right="0"/>
        <w:jc w:val="both"/>
      </w:pPr>
      <w:r>
        <w:rPr>
          <w:rFonts w:ascii="Calibri" w:hAnsi="Calibri" w:cs="Arial"/>
          <w:sz w:val="24"/>
          <w:szCs w:val="24"/>
        </w:rPr>
        <w:t xml:space="preserve">2.3. Each lab dip is measured with the spectrophotometer and checked visually in the light cabinet under the required light sources, including a metamerism check.</w:t>
      </w:r>
    </w:p>
    <w:p>
      <w:pPr>
        <w:pStyle w:val="ListeParagraf"/>
        <w:spacing w:after="80"/>
        <w:ind w:left="709" w:right="0"/>
        <w:jc w:val="both"/>
      </w:pPr>
      <w:r>
        <w:rPr>
          <w:rFonts w:ascii="Calibri" w:hAnsi="Calibri" w:cs="Arial"/>
          <w:sz w:val="24"/>
          <w:szCs w:val="24"/>
        </w:rPr>
        <w:t xml:space="preserve">2.4. Usually two or three options (A, B, C) within tolerance are prepared; the Laboratory Manager checks them before submission.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CUSTOMER SUBMISSION AND APPROVAL</w:t>
      </w:r>
    </w:p>
    <w:p>
      <w:pPr>
        <w:pStyle w:val="ListeParagraf"/>
        <w:spacing w:after="80"/>
        <w:ind w:left="709" w:right="0"/>
        <w:jc w:val="both"/>
      </w:pPr>
      <w:r>
        <w:rPr>
          <w:rFonts w:ascii="Calibri" w:hAnsi="Calibri" w:cs="Arial"/>
          <w:sz w:val="24"/>
          <w:szCs w:val="24"/>
        </w:rPr>
        <w:t xml:space="preserve">3.1. Approved options are mounted on a lab dip card showing the colour reference, recipe number, light source and ΔE values and sent to the customer through Merchandising.</w:t>
      </w:r>
    </w:p>
    <w:p>
      <w:pPr>
        <w:pStyle w:val="ListeParagraf"/>
        <w:spacing w:after="80"/>
        <w:ind w:left="709" w:right="0"/>
        <w:jc w:val="both"/>
      </w:pPr>
      <w:r>
        <w:rPr>
          <w:rFonts w:ascii="Calibri" w:hAnsi="Calibri" w:cs="Arial"/>
          <w:sz w:val="24"/>
          <w:szCs w:val="24"/>
        </w:rPr>
        <w:t xml:space="preserve">3.2. The customer decision (approved, rejected with comments, or resubmit) is recorded. Rejected lab dips are corrected according to the comments and resubmitted.</w:t>
      </w:r>
    </w:p>
    <w:p>
      <w:pPr>
        <w:pStyle w:val="ListeParagraf"/>
        <w:spacing w:after="80"/>
        <w:ind w:left="709" w:right="0"/>
        <w:jc w:val="both"/>
      </w:pPr>
      <w:r>
        <w:rPr>
          <w:rFonts w:ascii="Calibri" w:hAnsi="Calibri" w:cs="Arial"/>
          <w:sz w:val="24"/>
          <w:szCs w:val="24"/>
        </w:rPr>
        <w:t xml:space="preserve">3.3. The approved lab dip card is kept as the shade standard for bulk production and shade continuity.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TRANSFER TO BULK</w:t>
      </w:r>
    </w:p>
    <w:p>
      <w:pPr>
        <w:pStyle w:val="ListeParagraf"/>
        <w:spacing w:after="80"/>
        <w:ind w:left="709" w:right="0"/>
        <w:jc w:val="both"/>
      </w:pPr>
      <w:r>
        <w:rPr>
          <w:rFonts w:ascii="Calibri" w:hAnsi="Calibri" w:cs="Arial"/>
          <w:sz w:val="24"/>
          <w:szCs w:val="24"/>
        </w:rPr>
        <w:t xml:space="preserve">4.1. The laboratory converts the approved recipe to a bulk recipe according to the machine type, liquor ratio and fabric weight.</w:t>
      </w:r>
    </w:p>
    <w:p>
      <w:pPr>
        <w:pStyle w:val="ListeParagraf"/>
        <w:spacing w:after="80"/>
        <w:ind w:left="709" w:right="0"/>
        <w:jc w:val="both"/>
      </w:pPr>
      <w:r>
        <w:rPr>
          <w:rFonts w:ascii="Calibri" w:hAnsi="Calibri" w:cs="Arial"/>
          <w:sz w:val="24"/>
          <w:szCs w:val="24"/>
        </w:rPr>
        <w:t xml:space="preserve">4.2. For new colours or new fabric qualities, a pre-bulk or first batch is dyed and checked against the approved lab dip before running the full order.</w:t>
      </w:r>
    </w:p>
    <w:p>
      <w:pPr>
        <w:pStyle w:val="ListeParagraf"/>
        <w:spacing w:after="80"/>
        <w:ind w:left="709" w:right="0"/>
        <w:jc w:val="both"/>
      </w:pPr>
      <w:r>
        <w:rPr>
          <w:rFonts w:ascii="Calibri" w:hAnsi="Calibri" w:cs="Arial"/>
          <w:sz w:val="24"/>
          <w:szCs w:val="24"/>
        </w:rPr>
        <w:t xml:space="preserve">4.3. Bulk recipe changes are made only by the laboratory and are recorded with the reason.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FASTNESS AND RSL REQUIREMENTS</w:t>
      </w:r>
    </w:p>
    <w:p>
      <w:pPr>
        <w:pStyle w:val="ListeParagraf"/>
        <w:spacing w:after="80"/>
        <w:ind w:left="709" w:right="0"/>
        <w:jc w:val="both"/>
      </w:pPr>
      <w:r>
        <w:rPr>
          <w:rFonts w:ascii="Calibri" w:hAnsi="Calibri" w:cs="Arial"/>
          <w:sz w:val="24"/>
          <w:szCs w:val="24"/>
        </w:rPr>
        <w:t xml:space="preserve">5.1. Where required by the customer, fastness tests (washing, rubbing, perspiration, light) are made on lab dips or first batches before bulk approval.</w:t>
      </w:r>
    </w:p>
    <w:p>
      <w:pPr>
        <w:pStyle w:val="ListeParagraf"/>
        <w:spacing w:after="80"/>
        <w:ind w:left="709" w:right="0"/>
        <w:jc w:val="both"/>
      </w:pPr>
      <w:r>
        <w:rPr>
          <w:rFonts w:ascii="Calibri" w:hAnsi="Calibri" w:cs="Arial"/>
          <w:sz w:val="24"/>
          <w:szCs w:val="24"/>
        </w:rPr>
        <w:t xml:space="preserve">5.2. Chemical compliance of the recipe is confirmed against the chemical inventory and customer RSL (EMS.MG.PRO.13.02.).</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Laboratory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Lab dip first submission approval rate (%),</w:t>
      </w:r>
    </w:p>
    <w:p>
      <w:pPr>
        <w:pStyle w:val="ListeParagraf"/>
        <w:numPr>
          <w:ilvl w:val="0"/>
          <w:numId w:val="1"/>
        </w:numPr>
        <w:spacing w:after="60"/>
        <w:jc w:val="both"/>
      </w:pPr>
      <w:r>
        <w:rPr>
          <w:rFonts w:ascii="Calibri" w:hAnsi="Calibri" w:cs="Arial"/>
          <w:sz w:val="24"/>
          <w:szCs w:val="24"/>
        </w:rPr>
        <w:t xml:space="preserve">Average lab dip lead time (days),</w:t>
      </w:r>
    </w:p>
    <w:p>
      <w:pPr>
        <w:pStyle w:val="ListeParagraf"/>
        <w:numPr>
          <w:ilvl w:val="0"/>
          <w:numId w:val="1"/>
        </w:numPr>
        <w:spacing w:after="60"/>
        <w:jc w:val="both"/>
      </w:pPr>
      <w:r>
        <w:rPr>
          <w:rFonts w:ascii="Calibri" w:hAnsi="Calibri" w:cs="Arial"/>
          <w:sz w:val="24"/>
          <w:szCs w:val="24"/>
        </w:rPr>
        <w:t xml:space="preserve">Lab-to-bulk right-first-time rate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Colour Request Forms and Colour Standards</w:t>
      </w:r>
    </w:p>
    <w:p>
      <w:pPr>
        <w:pStyle w:val="ListeParagraf"/>
        <w:numPr>
          <w:ilvl w:val="0"/>
          <w:numId w:val="1"/>
        </w:numPr>
        <w:spacing w:after="60"/>
        <w:jc w:val="both"/>
      </w:pPr>
      <w:r>
        <w:rPr>
          <w:rFonts w:ascii="Calibri" w:hAnsi="Calibri" w:cs="Arial"/>
          <w:sz w:val="24"/>
          <w:szCs w:val="24"/>
        </w:rPr>
        <w:t xml:space="preserve">Lab Dip Cards and Customer Approval Records</w:t>
      </w:r>
    </w:p>
    <w:p>
      <w:pPr>
        <w:pStyle w:val="ListeParagraf"/>
        <w:numPr>
          <w:ilvl w:val="0"/>
          <w:numId w:val="1"/>
        </w:numPr>
        <w:spacing w:after="60"/>
        <w:jc w:val="both"/>
      </w:pPr>
      <w:r>
        <w:rPr>
          <w:rFonts w:ascii="Calibri" w:hAnsi="Calibri" w:cs="Arial"/>
          <w:sz w:val="24"/>
          <w:szCs w:val="24"/>
        </w:rPr>
        <w:t xml:space="preserve">Spectrophotometer Measurement Records</w:t>
      </w:r>
    </w:p>
    <w:p>
      <w:pPr>
        <w:pStyle w:val="ListeParagraf"/>
        <w:numPr>
          <w:ilvl w:val="0"/>
          <w:numId w:val="1"/>
        </w:numPr>
        <w:spacing w:after="60"/>
        <w:jc w:val="both"/>
      </w:pPr>
      <w:r>
        <w:rPr>
          <w:rFonts w:ascii="Calibri" w:hAnsi="Calibri" w:cs="Arial"/>
          <w:sz w:val="24"/>
          <w:szCs w:val="24"/>
        </w:rPr>
        <w:t xml:space="preserve">Recipe Archive and Bulk Recipe Cards</w:t>
      </w:r>
    </w:p>
    <w:p>
      <w:pPr>
        <w:pStyle w:val="ListeParagraf"/>
        <w:numPr>
          <w:ilvl w:val="0"/>
          <w:numId w:val="1"/>
        </w:numPr>
        <w:spacing w:after="60"/>
        <w:jc w:val="both"/>
      </w:pPr>
      <w:r>
        <w:rPr>
          <w:rFonts w:ascii="Calibri" w:hAnsi="Calibri" w:cs="Arial"/>
          <w:sz w:val="24"/>
          <w:szCs w:val="24"/>
        </w:rPr>
        <w:t xml:space="preserve">EMS.BY.PRO.06.02. Dyeing and Finishing Process Control Procedure</w:t>
      </w:r>
    </w:p>
    <w:p>
      <w:pPr>
        <w:pStyle w:val="ListeParagraf"/>
        <w:numPr>
          <w:ilvl w:val="0"/>
          <w:numId w:val="1"/>
        </w:numPr>
        <w:spacing w:after="60"/>
        <w:jc w:val="both"/>
      </w:pPr>
      <w:r>
        <w:rPr>
          <w:rFonts w:ascii="Calibri" w:hAnsi="Calibri" w:cs="Arial"/>
          <w:sz w:val="24"/>
          <w:szCs w:val="24"/>
        </w:rPr>
        <w:t xml:space="preserve">EMS.LB.PRO.09.02. Calibration of Measuring Equipment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Laboratory Manager. Customer comments, lab-to-bulk results and shade complaints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استلام معايير الألوان، وكيفية إعداد عينات الصبغة المعملية ووصفات الصباغة واعتمادها، وكيفية نقل الوصفات المعتمدة إلى الإنتاج الكمي في شركة إيروغلو للتريكو (EMS)، وذلك لتحقيق درجة لون العميل من المرة الأولى.</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طلبات الألوان للأقمشة والملابس المصبوغة في EMS، بدءًا من استلام معيار اللون من العميل حتى اعتماد عينة الصبغة المعملية وإصدار الوصفة الكمية وأرشفة الوصفات.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التسويق:</w:t>
      </w:r>
      <w:r>
        <w:rPr>
          <w:rFonts w:ascii="Calibri" w:hAnsi="Calibri" w:cs="Arial"/>
          <w:rtl/>
          <w:sz w:val="24"/>
          <w:szCs w:val="24"/>
        </w:rPr>
        <w:t xml:space="preserve"> يرسل معيار لون العميل ونوع القماش ومتطلبات الاختبار إلى المختبر، ويرسل عينات الصبغة المعملية إلى العميل.</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المختبر:</w:t>
      </w:r>
      <w:r>
        <w:rPr>
          <w:rFonts w:ascii="Calibri" w:hAnsi="Calibri" w:cs="Arial"/>
          <w:rtl/>
          <w:sz w:val="24"/>
          <w:szCs w:val="24"/>
        </w:rPr>
        <w:t xml:space="preserve"> يخطط لمطابقة الألوان، ويعتمد عينات الصبغة المعملية قبل إرسالها، ويصدر الوصفات الكمية.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المختبر (خبراء الألوان):</w:t>
      </w:r>
      <w:r>
        <w:rPr>
          <w:rFonts w:ascii="Calibri" w:hAnsi="Calibri" w:cs="Arial"/>
          <w:rtl/>
          <w:sz w:val="24"/>
          <w:szCs w:val="24"/>
        </w:rPr>
        <w:t xml:space="preserve"> يعدون عينات الصبغة المعملية، ويقيسون اللون بجهاز المطياف الضوئي، ويسجلون الوصفات.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يراجع إمكانية تطبيق الوصفة في الإنتاج الكمي ويؤكد نتيجة أول دفعة كمية.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يؤكد أن جميع الأصباغ والمواد المساعدة في الوصفة معتمدة ومطابقة لقائمة ZDHC MRSL.</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معيار اللون:</w:t>
      </w:r>
      <w:r>
        <w:rPr>
          <w:rFonts w:ascii="Calibri" w:hAnsi="Calibri" w:cs="Arial"/>
          <w:rtl/>
          <w:sz w:val="24"/>
          <w:szCs w:val="24"/>
        </w:rPr>
        <w:t xml:space="preserve"> العينة المادية أو المرجع الرقمي (مثل البيانات الطيفية) الذي يقدمه العميل لمطابقة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دلتا E (ΔE):</w:t>
      </w:r>
      <w:r>
        <w:rPr>
          <w:rFonts w:ascii="Calibri" w:hAnsi="Calibri" w:cs="Arial"/>
          <w:rtl/>
          <w:sz w:val="24"/>
          <w:szCs w:val="24"/>
        </w:rPr>
        <w:t xml:space="preserve"> الفرق المقاس في اللون بين العينة والمعيار، ويُعبر عنه بمعادلة متفق عليها مثل CMC (2:1).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الوصفة الكمية:</w:t>
      </w:r>
      <w:r>
        <w:rPr>
          <w:rFonts w:ascii="Calibri" w:hAnsi="Calibri" w:cs="Arial"/>
          <w:rtl/>
          <w:sz w:val="24"/>
          <w:szCs w:val="24"/>
        </w:rPr>
        <w:t xml:space="preserve"> الوصفة المعتمدة المعدلة لآلات الإنتاج، وتشمل الأصباغ والمواد المساعدة ونسبة الحمام ودرجة الحرارة والزمن.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مصدر الضوء:</w:t>
      </w:r>
      <w:r>
        <w:rPr>
          <w:rFonts w:ascii="Calibri" w:hAnsi="Calibri" w:cs="Arial"/>
          <w:rtl/>
          <w:sz w:val="24"/>
          <w:szCs w:val="24"/>
        </w:rPr>
        <w:t xml:space="preserve"> الإضاءة القياسية (مثل D65 وTL84 وA) التي تُقيّم تحتها درجة اللون في كابينة الإضاءة.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طلب اللون</w:t>
      </w:r>
    </w:p>
    <w:p>
      <w:pPr>
        <w:pStyle w:val="ListeParagraf"/>
        <w:bidi/>
        <w:spacing w:after="80"/>
        <w:ind w:left="0" w:right="709"/>
        <w:jc w:val="both"/>
      </w:pPr>
      <w:r>
        <w:rPr>
          <w:rFonts w:ascii="Calibri" w:hAnsi="Calibri" w:cs="Arial"/>
          <w:rtl/>
          <w:sz w:val="24"/>
          <w:szCs w:val="24"/>
        </w:rPr>
        <w:t xml:space="preserve">1.1. يفتح قسم التسويق طلب لون يتضمن معيار اللون ونوع القماش وتركيبه ومصادر الضوء المطلوبة وحدود ΔE ومتطلبات الثبات وRSL والموعد المستهدف.</w:t>
      </w:r>
    </w:p>
    <w:p>
      <w:pPr>
        <w:pStyle w:val="ListeParagraf"/>
        <w:bidi/>
        <w:spacing w:after="80"/>
        <w:ind w:left="0" w:right="709"/>
        <w:jc w:val="both"/>
      </w:pPr>
      <w:r>
        <w:rPr>
          <w:rFonts w:ascii="Calibri" w:hAnsi="Calibri" w:cs="Arial"/>
          <w:rtl/>
          <w:sz w:val="24"/>
          <w:szCs w:val="24"/>
        </w:rPr>
        <w:t xml:space="preserve">1.2. يسجل المختبر الطلب ويعطيه رقمًا مرجعيًا للون.</w:t>
      </w:r>
    </w:p>
    <w:p>
      <w:pPr>
        <w:pStyle w:val="ListeParagraf"/>
        <w:bidi/>
        <w:spacing w:after="80"/>
        <w:ind w:left="0" w:right="709"/>
        <w:jc w:val="both"/>
      </w:pPr>
      <w:r>
        <w:rPr>
          <w:rFonts w:ascii="Calibri" w:hAnsi="Calibri" w:cs="Arial"/>
          <w:rtl/>
          <w:sz w:val="24"/>
          <w:szCs w:val="24"/>
        </w:rPr>
        <w:t xml:space="preserve">1.3. يجب أن يكون القماش المستخدم في عينات الصبغة المعملية من نفس نوع القماش الكمي ونفس معالجته المسبقة.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إعداد عينة الصبغة المعملية</w:t>
      </w:r>
    </w:p>
    <w:p>
      <w:pPr>
        <w:pStyle w:val="ListeParagraf"/>
        <w:bidi/>
        <w:spacing w:after="80"/>
        <w:ind w:left="0" w:right="709"/>
        <w:jc w:val="both"/>
      </w:pPr>
      <w:r>
        <w:rPr>
          <w:rFonts w:ascii="Calibri" w:hAnsi="Calibri" w:cs="Arial"/>
          <w:rtl/>
          <w:sz w:val="24"/>
          <w:szCs w:val="24"/>
        </w:rPr>
        <w:t xml:space="preserve">2.1. يعد خبير الألوان الوصفة الأولى باستخدام برنامج مطابقة الألوان وأرشيف الوصفات، مع اختيار الأصباغ والمواد المساعدة المعتمدة فقط.</w:t>
      </w:r>
    </w:p>
    <w:p>
      <w:pPr>
        <w:pStyle w:val="ListeParagraf"/>
        <w:bidi/>
        <w:spacing w:after="80"/>
        <w:ind w:left="0" w:right="709"/>
        <w:jc w:val="both"/>
      </w:pPr>
      <w:r>
        <w:rPr>
          <w:rFonts w:ascii="Calibri" w:hAnsi="Calibri" w:cs="Arial"/>
          <w:rtl/>
          <w:sz w:val="24"/>
          <w:szCs w:val="24"/>
        </w:rPr>
        <w:t xml:space="preserve">2.2. تُصبغ العينات المعملية في آلات المختبر في ظروف مشابهة للإنتاج الكمي (نسبة الحمام ودرجة الحرارة والزمن).</w:t>
      </w:r>
    </w:p>
    <w:p>
      <w:pPr>
        <w:pStyle w:val="ListeParagraf"/>
        <w:bidi/>
        <w:spacing w:after="80"/>
        <w:ind w:left="0" w:right="709"/>
        <w:jc w:val="both"/>
      </w:pPr>
      <w:r>
        <w:rPr>
          <w:rFonts w:ascii="Calibri" w:hAnsi="Calibri" w:cs="Arial"/>
          <w:rtl/>
          <w:sz w:val="24"/>
          <w:szCs w:val="24"/>
        </w:rPr>
        <w:t xml:space="preserve">2.3. تُقاس كل عينة بجهاز المطياف الضوئي وتُفحص بصريًا في كابينة الإضاءة تحت مصادر الضوء المطلوبة، بما في ذلك فحص الميتاميرية (تغير اللون حسب الإضاءة).</w:t>
      </w:r>
    </w:p>
    <w:p>
      <w:pPr>
        <w:pStyle w:val="ListeParagraf"/>
        <w:bidi/>
        <w:spacing w:after="80"/>
        <w:ind w:left="0" w:right="709"/>
        <w:jc w:val="both"/>
      </w:pPr>
      <w:r>
        <w:rPr>
          <w:rFonts w:ascii="Calibri" w:hAnsi="Calibri" w:cs="Arial"/>
          <w:rtl/>
          <w:sz w:val="24"/>
          <w:szCs w:val="24"/>
        </w:rPr>
        <w:t xml:space="preserve">2.4. عادةً تُعد خياران أو ثلاثة خيارات (A وB وC) ضمن الحدود المسموحة، ويفحصها مدير المختبر قبل الإرسال.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الإرسال إلى العميل والاعتماد</w:t>
      </w:r>
    </w:p>
    <w:p>
      <w:pPr>
        <w:pStyle w:val="ListeParagraf"/>
        <w:bidi/>
        <w:spacing w:after="80"/>
        <w:ind w:left="0" w:right="709"/>
        <w:jc w:val="both"/>
      </w:pPr>
      <w:r>
        <w:rPr>
          <w:rFonts w:ascii="Calibri" w:hAnsi="Calibri" w:cs="Arial"/>
          <w:rtl/>
          <w:sz w:val="24"/>
          <w:szCs w:val="24"/>
        </w:rPr>
        <w:t xml:space="preserve">3.1. تُثبت الخيارات المعتمدة على بطاقة عينة صبغة معملية توضح الرقم المرجعي للون ورقم الوصفة ومصدر الضوء وقيم ΔE، وتُرسل إلى العميل عن طريق قسم التسويق.</w:t>
      </w:r>
    </w:p>
    <w:p>
      <w:pPr>
        <w:pStyle w:val="ListeParagraf"/>
        <w:bidi/>
        <w:spacing w:after="80"/>
        <w:ind w:left="0" w:right="709"/>
        <w:jc w:val="both"/>
      </w:pPr>
      <w:r>
        <w:rPr>
          <w:rFonts w:ascii="Calibri" w:hAnsi="Calibri" w:cs="Arial"/>
          <w:rtl/>
          <w:sz w:val="24"/>
          <w:szCs w:val="24"/>
        </w:rPr>
        <w:t xml:space="preserve">3.2. يُسجل قرار العميل (معتمد، أو مرفوض مع ملاحظات، أو إعادة إرسال). وتُصحح العينات المرفوضة وفق الملاحظات ويُعاد إرسالها.</w:t>
      </w:r>
    </w:p>
    <w:p>
      <w:pPr>
        <w:pStyle w:val="ListeParagraf"/>
        <w:bidi/>
        <w:spacing w:after="80"/>
        <w:ind w:left="0" w:right="709"/>
        <w:jc w:val="both"/>
      </w:pPr>
      <w:r>
        <w:rPr>
          <w:rFonts w:ascii="Calibri" w:hAnsi="Calibri" w:cs="Arial"/>
          <w:rtl/>
          <w:sz w:val="24"/>
          <w:szCs w:val="24"/>
        </w:rPr>
        <w:t xml:space="preserve">3.3. تُحفظ بطاقة العينة المعتمدة كمعيار لدرجة اللون في الإنتاج الكمي ولضمان ثبات درجة اللون.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النقل إلى الإنتاج الكمي</w:t>
      </w:r>
    </w:p>
    <w:p>
      <w:pPr>
        <w:pStyle w:val="ListeParagraf"/>
        <w:bidi/>
        <w:spacing w:after="80"/>
        <w:ind w:left="0" w:right="709"/>
        <w:jc w:val="both"/>
      </w:pPr>
      <w:r>
        <w:rPr>
          <w:rFonts w:ascii="Calibri" w:hAnsi="Calibri" w:cs="Arial"/>
          <w:rtl/>
          <w:sz w:val="24"/>
          <w:szCs w:val="24"/>
        </w:rPr>
        <w:t xml:space="preserve">4.1. يحول المختبر الوصفة المعتمدة إلى وصفة كمية وفق نوع الآلة ونسبة الحمام ووزن القماش.</w:t>
      </w:r>
    </w:p>
    <w:p>
      <w:pPr>
        <w:pStyle w:val="ListeParagraf"/>
        <w:bidi/>
        <w:spacing w:after="80"/>
        <w:ind w:left="0" w:right="709"/>
        <w:jc w:val="both"/>
      </w:pPr>
      <w:r>
        <w:rPr>
          <w:rFonts w:ascii="Calibri" w:hAnsi="Calibri" w:cs="Arial"/>
          <w:rtl/>
          <w:sz w:val="24"/>
          <w:szCs w:val="24"/>
        </w:rPr>
        <w:t xml:space="preserve">4.2. بالنسبة للألوان الجديدة أو أنواع الأقمشة الجديدة، تُصبغ دفعة تجريبية أو دفعة أولى وتُفحص مقارنة بالعينة المعتمدة قبل تشغيل الطلبية بالكامل.</w:t>
      </w:r>
    </w:p>
    <w:p>
      <w:pPr>
        <w:pStyle w:val="ListeParagraf"/>
        <w:bidi/>
        <w:spacing w:after="80"/>
        <w:ind w:left="0" w:right="709"/>
        <w:jc w:val="both"/>
      </w:pPr>
      <w:r>
        <w:rPr>
          <w:rFonts w:ascii="Calibri" w:hAnsi="Calibri" w:cs="Arial"/>
          <w:rtl/>
          <w:sz w:val="24"/>
          <w:szCs w:val="24"/>
        </w:rPr>
        <w:t xml:space="preserve">4.3. لا يُجري تعديلات الوصفات الكمية إلا المختبر، وتُسجل مع سبب التعديل.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متطلبات الثبات وRSL</w:t>
      </w:r>
    </w:p>
    <w:p>
      <w:pPr>
        <w:pStyle w:val="ListeParagraf"/>
        <w:bidi/>
        <w:spacing w:after="80"/>
        <w:ind w:left="0" w:right="709"/>
        <w:jc w:val="both"/>
      </w:pPr>
      <w:r>
        <w:rPr>
          <w:rFonts w:ascii="Calibri" w:hAnsi="Calibri" w:cs="Arial"/>
          <w:rtl/>
          <w:sz w:val="24"/>
          <w:szCs w:val="24"/>
        </w:rPr>
        <w:t xml:space="preserve">5.1. عندما يطلب العميل ذلك، تُجرى اختبارات الثبات (للغسيل والاحتكاك والعرق والضوء) على العينات المعملية أو الدفعات الأولى قبل الاعتماد الكمي.</w:t>
      </w:r>
    </w:p>
    <w:p>
      <w:pPr>
        <w:pStyle w:val="ListeParagraf"/>
        <w:bidi/>
        <w:spacing w:after="80"/>
        <w:ind w:left="0" w:right="709"/>
        <w:jc w:val="both"/>
      </w:pPr>
      <w:r>
        <w:rPr>
          <w:rFonts w:ascii="Calibri" w:hAnsi="Calibri" w:cs="Arial"/>
          <w:rtl/>
          <w:sz w:val="24"/>
          <w:szCs w:val="24"/>
        </w:rPr>
        <w:t xml:space="preserve">5.2. يُؤكد الامتثال الكيميائي للوصفة مقارنة بقائمة جرد المواد الكيميائية وقائمة RSL الخاصة بالعميل (EMS.MG.PRO.13.02.).</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المختبر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اعتماد عينات الصبغة المعملية من الإرسال الأول (%)،</w:t>
      </w:r>
    </w:p>
    <w:p>
      <w:pPr>
        <w:pStyle w:val="ListeParagraf"/>
        <w:numPr>
          <w:ilvl w:val="0"/>
          <w:numId w:val="1"/>
        </w:numPr>
        <w:bidi/>
        <w:spacing w:after="60"/>
        <w:jc w:val="both"/>
      </w:pPr>
      <w:r>
        <w:rPr>
          <w:rFonts w:ascii="Calibri" w:hAnsi="Calibri" w:cs="Arial"/>
          <w:rtl/>
          <w:sz w:val="24"/>
          <w:szCs w:val="24"/>
        </w:rPr>
        <w:t xml:space="preserve">متوسط مدة إعداد عينة الصبغة المعملية (بالأيام)،</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عند الانتقال من المختبر إلى الإنتاج الكمي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نماذج طلبات الألوان ومعايير الألوان</w:t>
      </w:r>
    </w:p>
    <w:p>
      <w:pPr>
        <w:pStyle w:val="ListeParagraf"/>
        <w:numPr>
          <w:ilvl w:val="0"/>
          <w:numId w:val="1"/>
        </w:numPr>
        <w:bidi/>
        <w:spacing w:after="60"/>
        <w:jc w:val="both"/>
      </w:pPr>
      <w:r>
        <w:rPr>
          <w:rFonts w:ascii="Calibri" w:hAnsi="Calibri" w:cs="Arial"/>
          <w:rtl/>
          <w:sz w:val="24"/>
          <w:szCs w:val="24"/>
        </w:rPr>
        <w:t xml:space="preserve">بطاقات عينات الصبغة المعملية وسجلات اعتماد العملاء</w:t>
      </w:r>
    </w:p>
    <w:p>
      <w:pPr>
        <w:pStyle w:val="ListeParagraf"/>
        <w:numPr>
          <w:ilvl w:val="0"/>
          <w:numId w:val="1"/>
        </w:numPr>
        <w:bidi/>
        <w:spacing w:after="60"/>
        <w:jc w:val="both"/>
      </w:pPr>
      <w:r>
        <w:rPr>
          <w:rFonts w:ascii="Calibri" w:hAnsi="Calibri" w:cs="Arial"/>
          <w:rtl/>
          <w:sz w:val="24"/>
          <w:szCs w:val="24"/>
        </w:rPr>
        <w:t xml:space="preserve">سجلات قياس المطياف الضوئي</w:t>
      </w:r>
    </w:p>
    <w:p>
      <w:pPr>
        <w:pStyle w:val="ListeParagraf"/>
        <w:numPr>
          <w:ilvl w:val="0"/>
          <w:numId w:val="1"/>
        </w:numPr>
        <w:bidi/>
        <w:spacing w:after="60"/>
        <w:jc w:val="both"/>
      </w:pPr>
      <w:r>
        <w:rPr>
          <w:rFonts w:ascii="Calibri" w:hAnsi="Calibri" w:cs="Arial"/>
          <w:rtl/>
          <w:sz w:val="24"/>
          <w:szCs w:val="24"/>
        </w:rPr>
        <w:t xml:space="preserve">أرشيف الوصفات وبطاقات الوصفات الكمية</w:t>
      </w:r>
    </w:p>
    <w:p>
      <w:pPr>
        <w:pStyle w:val="ListeParagraf"/>
        <w:numPr>
          <w:ilvl w:val="0"/>
          <w:numId w:val="1"/>
        </w:numPr>
        <w:bidi/>
        <w:spacing w:after="60"/>
        <w:jc w:val="both"/>
      </w:pPr>
      <w:r>
        <w:rPr>
          <w:rFonts w:ascii="Calibri" w:hAnsi="Calibri" w:cs="Arial"/>
          <w:rtl/>
          <w:sz w:val="24"/>
          <w:szCs w:val="24"/>
        </w:rPr>
        <w:t xml:space="preserve">EMS.BY.PRO.06.02. إجراء التحكم في عمليات الصباغة والتجهيز</w:t>
      </w:r>
    </w:p>
    <w:p>
      <w:pPr>
        <w:pStyle w:val="ListeParagraf"/>
        <w:numPr>
          <w:ilvl w:val="0"/>
          <w:numId w:val="1"/>
        </w:numPr>
        <w:bidi/>
        <w:spacing w:after="60"/>
        <w:jc w:val="both"/>
      </w:pPr>
      <w:r>
        <w:rPr>
          <w:rFonts w:ascii="Calibri" w:hAnsi="Calibri" w:cs="Arial"/>
          <w:rtl/>
          <w:sz w:val="24"/>
          <w:szCs w:val="24"/>
        </w:rPr>
        <w:t xml:space="preserve">EMS.LB.PRO.09.02. إجراء معايرة أجهزة القياس</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المختبر. وتُقيّم ملاحظات العملاء ونتائج الانتقال من المختبر إلى الإنتاج وشكاوى درجات اللون،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RECIPE PREPARATION AND LAB DIP APPROVAL PROCEDURE</w:t>
          </w:r>
        </w:p>
        <w:p>
          <w:pPr>
            <w:pStyle w:val="GvdeMetni2"/>
            <w:bidi/>
            <w:spacing w:line="276" w:lineRule="auto"/>
            <w:jc w:val="center"/>
          </w:pPr>
          <w:r>
            <w:rPr>
              <w:rFonts w:asciiTheme="minorHAnsi" w:hAnsiTheme="minorHAnsi" w:cs="Arial"/>
              <w:b/>
              <w:bCs/>
              <w:color w:val="000000" w:themeColor="text1"/>
              <w:sz w:val="22"/>
              <w:szCs w:val="22"/>
              <w:rtl/>
            </w:rPr>
            <w:t>إجراء إعداد الوصفات واعتماد عينات الصبغة المعملية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EMS.BY.PRO.06.01. RECIPE PREPARATION AND LAB DIP APPROVAL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