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process, label and sell products containing recycled materials in full compliance with the Global Recycled Standard (GRS) and the Recycled Claim Standard (RCS), so that every recycled content claim made by the Company is accurate, verifiable and traceable.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recycled yarns, fabrics, trims and accessories received, processed, stored and shipped by EMS,</w:t>
      </w:r>
    </w:p>
    <w:p>
      <w:pPr>
        <w:pStyle w:val="ListeParagraf"/>
        <w:spacing w:after="80"/>
        <w:ind w:left="709" w:right="0"/>
        <w:jc w:val="both"/>
      </w:pPr>
      <w:r>
        <w:rPr>
          <w:rFonts w:ascii="Calibri" w:hAnsi="Calibri" w:cs="Arial"/>
          <w:sz w:val="24"/>
          <w:szCs w:val="24"/>
        </w:rPr>
        <w:t xml:space="preserve">• All production stages handling certified material: knitting, dyeing and finishing, cutting, sewing, printing, embroidery and packing,</w:t>
      </w:r>
    </w:p>
    <w:p>
      <w:pPr>
        <w:pStyle w:val="ListeParagraf"/>
        <w:spacing w:after="80"/>
        <w:ind w:left="709" w:right="0"/>
        <w:jc w:val="both"/>
      </w:pPr>
      <w:r>
        <w:rPr>
          <w:rFonts w:ascii="Calibri" w:hAnsi="Calibri" w:cs="Arial"/>
          <w:sz w:val="24"/>
          <w:szCs w:val="24"/>
        </w:rPr>
        <w:t xml:space="preserve">• All subcontractors and suppliers involved in the production of GRS/RCS certified orders.</w:t>
      </w:r>
    </w:p>
    <w:p>
      <w:pPr>
        <w:pStyle w:val="ListeParagraf"/>
        <w:spacing w:after="80"/>
        <w:ind w:left="709" w:right="0"/>
        <w:jc w:val="both"/>
      </w:pPr>
      <w:r>
        <w:rPr>
          <w:rFonts w:ascii="Calibri" w:hAnsi="Calibri" w:cs="Arial"/>
          <w:sz w:val="24"/>
          <w:szCs w:val="24"/>
        </w:rPr>
        <w:t xml:space="preserve">It applies to all EMS employees and to all external parties working on certified products.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needed to maintain GRS/RCS certification.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GRS/RCS Coordinator:</w:t>
      </w:r>
      <w:r>
        <w:rPr>
          <w:rFonts w:ascii="Calibri" w:hAnsi="Calibri" w:cs="Arial"/>
          <w:sz w:val="24"/>
          <w:szCs w:val="24"/>
        </w:rPr>
        <w:t xml:space="preserve"> Manages the certified system, keeps the scope certificate valid, controls mass balance and transaction certificates and reports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certified material is identified, segregated and recorded correctly in their areas.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segregation and labelling rules and report any mixing or loss of identity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Recycled Material:</w:t>
      </w:r>
      <w:r>
        <w:rPr>
          <w:rFonts w:ascii="Calibri" w:hAnsi="Calibri" w:cs="Arial"/>
          <w:sz w:val="24"/>
          <w:szCs w:val="24"/>
        </w:rPr>
        <w:t xml:space="preserve"> Material that has been reprocessed from pre-consumer or post-consumer waste into a new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Scope Certificate (SC):</w:t>
      </w:r>
      <w:r>
        <w:rPr>
          <w:rFonts w:ascii="Calibri" w:hAnsi="Calibri" w:cs="Arial"/>
          <w:sz w:val="24"/>
          <w:szCs w:val="24"/>
        </w:rPr>
        <w:t xml:space="preserve"> The certificate confirming that a site is certified to process and sell products under GRS or RCS.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Transaction Certificate (TC):</w:t>
      </w:r>
      <w:r>
        <w:rPr>
          <w:rFonts w:ascii="Calibri" w:hAnsi="Calibri" w:cs="Arial"/>
          <w:sz w:val="24"/>
          <w:szCs w:val="24"/>
        </w:rPr>
        <w:t xml:space="preserve"> The certificate issued for a specific shipment, confirming the recycled content and traceability of the goods.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Mass Balance:</w:t>
      </w:r>
      <w:r>
        <w:rPr>
          <w:rFonts w:ascii="Calibri" w:hAnsi="Calibri" w:cs="Arial"/>
          <w:sz w:val="24"/>
          <w:szCs w:val="24"/>
        </w:rPr>
        <w:t xml:space="preserve"> The reconciliation of certified input quantities with certified output quantities, taking into account process losses.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Purchase recycled materials only from suppliers holding a valid GRS or RCS scope certificate and accept them only with a valid transaction certificate.</w:t>
      </w:r>
    </w:p>
    <w:p>
      <w:pPr>
        <w:pStyle w:val="ListeParagraf"/>
        <w:numPr>
          <w:ilvl w:val="0"/>
          <w:numId w:val="1"/>
        </w:numPr>
        <w:spacing w:after="60"/>
        <w:jc w:val="both"/>
      </w:pPr>
      <w:r>
        <w:rPr>
          <w:rFonts w:ascii="Calibri" w:hAnsi="Calibri" w:cs="Arial"/>
          <w:sz w:val="24"/>
          <w:szCs w:val="24"/>
        </w:rPr>
        <w:t xml:space="preserve">Keep certified material clearly identified and physically segregated from non-certified material at every stage.</w:t>
      </w:r>
    </w:p>
    <w:p>
      <w:pPr>
        <w:pStyle w:val="ListeParagraf"/>
        <w:numPr>
          <w:ilvl w:val="0"/>
          <w:numId w:val="1"/>
        </w:numPr>
        <w:spacing w:after="60"/>
        <w:jc w:val="both"/>
      </w:pPr>
      <w:r>
        <w:rPr>
          <w:rFonts w:ascii="Calibri" w:hAnsi="Calibri" w:cs="Arial"/>
          <w:sz w:val="24"/>
          <w:szCs w:val="24"/>
        </w:rPr>
        <w:t xml:space="preserve">Maintain accurate mass balance records and never sell more certified product than the certified input allows.</w:t>
      </w:r>
    </w:p>
    <w:p>
      <w:pPr>
        <w:pStyle w:val="ListeParagraf"/>
        <w:numPr>
          <w:ilvl w:val="0"/>
          <w:numId w:val="1"/>
        </w:numPr>
        <w:spacing w:after="60"/>
        <w:jc w:val="both"/>
      </w:pPr>
      <w:r>
        <w:rPr>
          <w:rFonts w:ascii="Calibri" w:hAnsi="Calibri" w:cs="Arial"/>
          <w:sz w:val="24"/>
          <w:szCs w:val="24"/>
        </w:rPr>
        <w:t xml:space="preserve">Make recycled content claims and use labels only as permitted by the standard and approved by the certification body.</w:t>
      </w:r>
    </w:p>
    <w:p>
      <w:pPr>
        <w:pStyle w:val="ListeParagraf"/>
        <w:numPr>
          <w:ilvl w:val="0"/>
          <w:numId w:val="1"/>
        </w:numPr>
        <w:spacing w:after="60"/>
        <w:jc w:val="both"/>
      </w:pPr>
      <w:r>
        <w:rPr>
          <w:rFonts w:ascii="Calibri" w:hAnsi="Calibri" w:cs="Arial"/>
          <w:sz w:val="24"/>
          <w:szCs w:val="24"/>
        </w:rPr>
        <w:t xml:space="preserve">Meet the GRS social, environmental and chemical requirements, including compliance with ZDHC MRSL and the EMS chemical management system.</w:t>
      </w:r>
    </w:p>
    <w:p>
      <w:pPr>
        <w:pStyle w:val="ListeParagraf"/>
        <w:numPr>
          <w:ilvl w:val="0"/>
          <w:numId w:val="1"/>
        </w:numPr>
        <w:spacing w:after="60"/>
        <w:jc w:val="both"/>
      </w:pPr>
      <w:r>
        <w:rPr>
          <w:rFonts w:ascii="Calibri" w:hAnsi="Calibri" w:cs="Arial"/>
          <w:sz w:val="24"/>
          <w:szCs w:val="24"/>
        </w:rPr>
        <w:t xml:space="preserve">Comply with applicable Egyptian legislation, customer requirements and the ISO 9001 and ISO 14001 standards.</w:t>
      </w:r>
    </w:p>
    <w:p>
      <w:pPr>
        <w:pStyle w:val="ListeParagraf"/>
        <w:numPr>
          <w:ilvl w:val="0"/>
          <w:numId w:val="1"/>
        </w:numPr>
        <w:spacing w:after="60"/>
        <w:jc w:val="both"/>
      </w:pPr>
      <w:r>
        <w:rPr>
          <w:rFonts w:ascii="Calibri" w:hAnsi="Calibri" w:cs="Arial"/>
          <w:sz w:val="24"/>
          <w:szCs w:val="24"/>
        </w:rPr>
        <w:t xml:space="preserve">Train all relevant employees and subcontractors on GRS/RCS requirements.</w:t>
      </w:r>
    </w:p>
    <w:p>
      <w:pPr>
        <w:pStyle w:val="ListeParagraf"/>
        <w:numPr>
          <w:ilvl w:val="0"/>
          <w:numId w:val="1"/>
        </w:numPr>
        <w:spacing w:after="60"/>
        <w:jc w:val="both"/>
      </w:pPr>
      <w:r>
        <w:rPr>
          <w:rFonts w:ascii="Calibri" w:hAnsi="Calibri" w:cs="Arial"/>
          <w:sz w:val="24"/>
          <w:szCs w:val="24"/>
        </w:rPr>
        <w:t xml:space="preserve">Keep complete records and use audit results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the standard or a customer requirement changes. It is communicated to all employees and displayed in the certified material storage areas.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بمعالجة المنتجات المحتوية على مواد معاد تدويرها ووسمها وبيعها بما يتوافق تمامًا مع المعيار العالمي لإعادة التدوير (GRS) ومعيار ادعاء إعادة التدوير (RCS)، بحيث يكون كل ادعاء بمحتوى معاد تدويره تصدره الشركة دقيقًا وقابلًا للتحقق والتتبع.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الغزول والأقمشة والإكسسوارات والملحقات المعاد تدويرها التي تستلمها EMS وتعالجها وتخزنها وتشحنها،</w:t>
      </w:r>
    </w:p>
    <w:p>
      <w:pPr>
        <w:pStyle w:val="ListeParagraf"/>
        <w:bidi/>
        <w:spacing w:after="80"/>
        <w:ind w:left="0" w:right="709"/>
        <w:jc w:val="both"/>
      </w:pPr>
      <w:r>
        <w:rPr>
          <w:rFonts w:ascii="Calibri" w:hAnsi="Calibri" w:cs="Arial"/>
          <w:rtl/>
          <w:sz w:val="24"/>
          <w:szCs w:val="24"/>
        </w:rPr>
        <w:t xml:space="preserve">• جميع مراحل الإنتاج التي تتعامل مع المواد المعتمدة: التريكو والصباغة والتجهيز والقص والخياطة والطباعة والتطريز والتعبئة،</w:t>
      </w:r>
    </w:p>
    <w:p>
      <w:pPr>
        <w:pStyle w:val="ListeParagraf"/>
        <w:bidi/>
        <w:spacing w:after="80"/>
        <w:ind w:left="0" w:right="709"/>
        <w:jc w:val="both"/>
      </w:pPr>
      <w:r>
        <w:rPr>
          <w:rFonts w:ascii="Calibri" w:hAnsi="Calibri" w:cs="Arial"/>
          <w:rtl/>
          <w:sz w:val="24"/>
          <w:szCs w:val="24"/>
        </w:rPr>
        <w:t xml:space="preserve">• جميع المقاولين من الباطن والموردين المشاركين في إنتاج الطلبيات المعتمدة وفق GRS/RCS.</w:t>
      </w:r>
    </w:p>
    <w:p>
      <w:pPr>
        <w:pStyle w:val="ListeParagraf"/>
        <w:bidi/>
        <w:spacing w:after="80"/>
        <w:ind w:left="0" w:right="709"/>
        <w:jc w:val="both"/>
      </w:pPr>
      <w:r>
        <w:rPr>
          <w:rFonts w:ascii="Calibri" w:hAnsi="Calibri" w:cs="Arial"/>
          <w:rtl/>
          <w:sz w:val="24"/>
          <w:szCs w:val="24"/>
        </w:rPr>
        <w:t xml:space="preserve">وتنطبق على جميع موظفي EMS وعلى جميع الأطراف الخارجية العاملة على المنتجات المعتمدة.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للحفاظ على شهادة GRS/RCS.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GRS/RCS:</w:t>
      </w:r>
      <w:r>
        <w:rPr>
          <w:rFonts w:ascii="Calibri" w:hAnsi="Calibri" w:cs="Arial"/>
          <w:rtl/>
          <w:sz w:val="24"/>
          <w:szCs w:val="24"/>
        </w:rPr>
        <w:t xml:space="preserve"> يدير النظام المعتمد، ويحافظ على سريان شهادة النطاق، ويراقب توازن الكتلة وشهادات المعاملات، ويرفع التقارير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تعريف المواد المعتمدة وفصلها وتسجيلها بشكل صحيح في مناطقهم.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يلتزمون بقواعد الفصل والوسم ويبلغون فورًا عن أي خلط أو فقدان لهوية المواد.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المعاد تدويرها:</w:t>
      </w:r>
      <w:r>
        <w:rPr>
          <w:rFonts w:ascii="Calibri" w:hAnsi="Calibri" w:cs="Arial"/>
          <w:rtl/>
          <w:sz w:val="24"/>
          <w:szCs w:val="24"/>
        </w:rPr>
        <w:t xml:space="preserve"> مادة أُعيدت معالجتها من نفايات ما قبل الاستهلاك أو ما بعد الاستهلاك لتصبح مادة جديدة.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شهادة النطاق (SC):</w:t>
      </w:r>
      <w:r>
        <w:rPr>
          <w:rFonts w:ascii="Calibri" w:hAnsi="Calibri" w:cs="Arial"/>
          <w:rtl/>
          <w:sz w:val="24"/>
          <w:szCs w:val="24"/>
        </w:rPr>
        <w:t xml:space="preserve"> الشهادة التي تؤكد أن الموقع معتمد لمعالجة المنتجات وبيعها وفق GRS أو RCS.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شهادة المعاملة (TC):</w:t>
      </w:r>
      <w:r>
        <w:rPr>
          <w:rFonts w:ascii="Calibri" w:hAnsi="Calibri" w:cs="Arial"/>
          <w:rtl/>
          <w:sz w:val="24"/>
          <w:szCs w:val="24"/>
        </w:rPr>
        <w:t xml:space="preserve"> الشهادة الصادرة لشحنة محددة، والتي تؤكد المحتوى المعاد تدويره للبضائع وإمكانية تتبعها.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توازن الكتلة:</w:t>
      </w:r>
      <w:r>
        <w:rPr>
          <w:rFonts w:ascii="Calibri" w:hAnsi="Calibri" w:cs="Arial"/>
          <w:rtl/>
          <w:sz w:val="24"/>
          <w:szCs w:val="24"/>
        </w:rPr>
        <w:t xml:space="preserve"> مطابقة كميات المدخلات المعتمدة مع كميات المخرجات المعتمدة مع مراعاة فواقد العملية.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شراء المواد المعاد تدويرها فقط من موردين يحملون شهادة نطاق GRS أو RCS سارية، وعدم قبولها إلا مع شهادة معاملة سارية.</w:t>
      </w:r>
    </w:p>
    <w:p>
      <w:pPr>
        <w:pStyle w:val="ListeParagraf"/>
        <w:numPr>
          <w:ilvl w:val="0"/>
          <w:numId w:val="1"/>
        </w:numPr>
        <w:bidi/>
        <w:spacing w:after="60"/>
        <w:jc w:val="both"/>
      </w:pPr>
      <w:r>
        <w:rPr>
          <w:rFonts w:ascii="Calibri" w:hAnsi="Calibri" w:cs="Arial"/>
          <w:rtl/>
          <w:sz w:val="24"/>
          <w:szCs w:val="24"/>
        </w:rPr>
        <w:t xml:space="preserve">الحفاظ على تعريف المواد المعتمدة بوضوح وفصلها فعليًا عن المواد غير المعتمدة في كل مرحلة.</w:t>
      </w:r>
    </w:p>
    <w:p>
      <w:pPr>
        <w:pStyle w:val="ListeParagraf"/>
        <w:numPr>
          <w:ilvl w:val="0"/>
          <w:numId w:val="1"/>
        </w:numPr>
        <w:bidi/>
        <w:spacing w:after="60"/>
        <w:jc w:val="both"/>
      </w:pPr>
      <w:r>
        <w:rPr>
          <w:rFonts w:ascii="Calibri" w:hAnsi="Calibri" w:cs="Arial"/>
          <w:rtl/>
          <w:sz w:val="24"/>
          <w:szCs w:val="24"/>
        </w:rPr>
        <w:t xml:space="preserve">الاحتفاظ بسجلات دقيقة لتوازن الكتلة، وعدم بيع منتجات معتمدة بكمية تتجاوز ما تسمح به المدخلات المعتمدة.</w:t>
      </w:r>
    </w:p>
    <w:p>
      <w:pPr>
        <w:pStyle w:val="ListeParagraf"/>
        <w:numPr>
          <w:ilvl w:val="0"/>
          <w:numId w:val="1"/>
        </w:numPr>
        <w:bidi/>
        <w:spacing w:after="60"/>
        <w:jc w:val="both"/>
      </w:pPr>
      <w:r>
        <w:rPr>
          <w:rFonts w:ascii="Calibri" w:hAnsi="Calibri" w:cs="Arial"/>
          <w:rtl/>
          <w:sz w:val="24"/>
          <w:szCs w:val="24"/>
        </w:rPr>
        <w:t xml:space="preserve">إصدار ادعاءات المحتوى المعاد تدويره واستخدام الملصقات فقط بالشكل الذي يسمح به المعيار وتوافق عليه جهة إصدار الشهادة.</w:t>
      </w:r>
    </w:p>
    <w:p>
      <w:pPr>
        <w:pStyle w:val="ListeParagraf"/>
        <w:numPr>
          <w:ilvl w:val="0"/>
          <w:numId w:val="1"/>
        </w:numPr>
        <w:bidi/>
        <w:spacing w:after="60"/>
        <w:jc w:val="both"/>
      </w:pPr>
      <w:r>
        <w:rPr>
          <w:rFonts w:ascii="Calibri" w:hAnsi="Calibri" w:cs="Arial"/>
          <w:rtl/>
          <w:sz w:val="24"/>
          <w:szCs w:val="24"/>
        </w:rPr>
        <w:t xml:space="preserve">الوفاء بالمتطلبات الاجتماعية والبيئية والكيميائية لمعيار GRS، بما في ذلك الالتزام بقائمة ZDHC MRSL ونظام إدارة المواد الكيميائية في EMS.</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ومتطلبات العملاء ومعياري ISO 9001 وISO 14001.</w:t>
      </w:r>
    </w:p>
    <w:p>
      <w:pPr>
        <w:pStyle w:val="ListeParagraf"/>
        <w:numPr>
          <w:ilvl w:val="0"/>
          <w:numId w:val="1"/>
        </w:numPr>
        <w:bidi/>
        <w:spacing w:after="60"/>
        <w:jc w:val="both"/>
      </w:pPr>
      <w:r>
        <w:rPr>
          <w:rFonts w:ascii="Calibri" w:hAnsi="Calibri" w:cs="Arial"/>
          <w:rtl/>
          <w:sz w:val="24"/>
          <w:szCs w:val="24"/>
        </w:rPr>
        <w:t xml:space="preserve">تدريب جميع الموظفين والمقاولين من الباطن المعنيين على متطلبات GRS/RCS.</w:t>
      </w:r>
    </w:p>
    <w:p>
      <w:pPr>
        <w:pStyle w:val="ListeParagraf"/>
        <w:numPr>
          <w:ilvl w:val="0"/>
          <w:numId w:val="1"/>
        </w:numPr>
        <w:bidi/>
        <w:spacing w:after="60"/>
        <w:jc w:val="both"/>
      </w:pPr>
      <w:r>
        <w:rPr>
          <w:rFonts w:ascii="Calibri" w:hAnsi="Calibri" w:cs="Arial"/>
          <w:rtl/>
          <w:sz w:val="24"/>
          <w:szCs w:val="24"/>
        </w:rPr>
        <w:t xml:space="preserve">الاحتفاظ بسجلات كاملة واستخدام نتائج التدقيق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تغير المعيار أو أحد متطلبات العملاء. ويتم إبلاغها لجميع الموظفين وتُعلق في مناطق تخزين المواد المعتمدة.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RECYCLED CONTENT POLICY</w:t>
          </w:r>
        </w:p>
        <w:p>
          <w:pPr>
            <w:pStyle w:val="GvdeMetni2"/>
            <w:bidi/>
            <w:spacing w:line="276" w:lineRule="auto"/>
            <w:jc w:val="center"/>
          </w:pPr>
          <w:r>
            <w:rPr>
              <w:rFonts w:asciiTheme="minorHAnsi" w:hAnsiTheme="minorHAnsi" w:cs="Arial"/>
              <w:b/>
              <w:bCs/>
              <w:color w:val="000000" w:themeColor="text1"/>
              <w:sz w:val="22"/>
              <w:szCs w:val="22"/>
              <w:rtl/>
            </w:rPr>
            <w:t>سياسة المحتوى المعاد تدويره</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EMS.GR.POL.14.01.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EMS.GR.POL.14.01. RECYCLED CONTENT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