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procedure defines how sustainability targets are set and followed, and how environmental data is collected, checked, reported in the Higg FEM and prepared for verification at Eroglu Knitting (EMS), so that reported data is complete, accurate and traceable.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procedure covers all environmental data of the EMS facility (energy, GHG emissions, water, wastewater, air emissions, waste and chemicals), the annual Higg FEM self-assessment and verification, and data shared with customers on sustainability platforms.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General Manager:</w:t>
      </w:r>
      <w:r>
        <w:rPr>
          <w:rFonts w:ascii="Calibri" w:hAnsi="Calibri" w:cs="Arial"/>
          <w:sz w:val="24"/>
          <w:szCs w:val="24"/>
        </w:rPr>
        <w:t xml:space="preserve"> Approves the annual sustainability targets and the Higg FEM submission.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Sustainability (CSR) Manager:</w:t>
      </w:r>
      <w:r>
        <w:rPr>
          <w:rFonts w:ascii="Calibri" w:hAnsi="Calibri" w:cs="Arial"/>
          <w:sz w:val="24"/>
          <w:szCs w:val="24"/>
        </w:rPr>
        <w:t xml:space="preserve"> Sets draft targets, coordinates data collection, completes the Higg FEM module, manages verification and reports performance.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Maintenance, Dyehouse, Warehouse and HSE Managers:</w:t>
      </w:r>
      <w:r>
        <w:rPr>
          <w:rFonts w:ascii="Calibri" w:hAnsi="Calibri" w:cs="Arial"/>
          <w:sz w:val="24"/>
          <w:szCs w:val="24"/>
        </w:rPr>
        <w:t xml:space="preserve"> Provide monthly meter readings, consumption, waste and chemical data with supporting evidence.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Finance Department:</w:t>
      </w:r>
      <w:r>
        <w:rPr>
          <w:rFonts w:ascii="Calibri" w:hAnsi="Calibri" w:cs="Arial"/>
          <w:sz w:val="24"/>
          <w:szCs w:val="24"/>
        </w:rPr>
        <w:t xml:space="preserve"> Provides invoices for electricity, fuel, gas and water to confirm the reported data.</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Higg FEM Self-Assessment:</w:t>
      </w:r>
      <w:r>
        <w:rPr>
          <w:rFonts w:ascii="Calibri" w:hAnsi="Calibri" w:cs="Arial"/>
          <w:sz w:val="24"/>
          <w:szCs w:val="24"/>
        </w:rPr>
        <w:t xml:space="preserve"> The annual module completed by the facility on the Higg platform for the previous calendar year.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Verification (vFEM):</w:t>
      </w:r>
      <w:r>
        <w:rPr>
          <w:rFonts w:ascii="Calibri" w:hAnsi="Calibri" w:cs="Arial"/>
          <w:sz w:val="24"/>
          <w:szCs w:val="24"/>
        </w:rPr>
        <w:t xml:space="preserve"> The check of the self-assessment and its evidence by an approved independent verifier.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Normalised Data:</w:t>
      </w:r>
      <w:r>
        <w:rPr>
          <w:rFonts w:ascii="Calibri" w:hAnsi="Calibri" w:cs="Arial"/>
          <w:sz w:val="24"/>
          <w:szCs w:val="24"/>
        </w:rPr>
        <w:t xml:space="preserve"> Consumption or emissions divided by a production unit, for example kWh per kg of fabric or litres of water per kg.</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Baseline:</w:t>
      </w:r>
      <w:r>
        <w:rPr>
          <w:rFonts w:ascii="Calibri" w:hAnsi="Calibri" w:cs="Arial"/>
          <w:sz w:val="24"/>
          <w:szCs w:val="24"/>
        </w:rPr>
        <w:t xml:space="preserve"> The reference year used to measure improvement against targets.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MAIN AND SUB PROCESSES</w:t>
      </w:r>
    </w:p>
    <w:p>
      <w:pPr>
        <w:pStyle w:val="ListeParagraf"/>
        <w:spacing w:before="120" w:after="60"/>
        <w:ind w:left="709" w:right="0"/>
      </w:pPr>
      <w:r>
        <w:rPr>
          <w:rFonts w:ascii="Calibri" w:hAnsi="Calibri" w:cs="Arial"/>
          <w:b/>
          <w:bCs/>
          <w:sz w:val="24"/>
          <w:szCs w:val="24"/>
        </w:rPr>
        <w:t xml:space="preserve">1. SETTING TARGETS</w:t>
      </w:r>
    </w:p>
    <w:p>
      <w:pPr>
        <w:pStyle w:val="ListeParagraf"/>
        <w:spacing w:after="80"/>
        <w:ind w:left="709" w:right="0"/>
        <w:jc w:val="both"/>
      </w:pPr>
      <w:r>
        <w:rPr>
          <w:rFonts w:ascii="Calibri" w:hAnsi="Calibri" w:cs="Arial"/>
          <w:sz w:val="24"/>
          <w:szCs w:val="24"/>
        </w:rPr>
        <w:t xml:space="preserve">1.1. Every year in January, the Sustainability Manager reviews the previous year’s performance, the Higg FEM results, legal changes and customer requirements.</w:t>
      </w:r>
    </w:p>
    <w:p>
      <w:pPr>
        <w:pStyle w:val="ListeParagraf"/>
        <w:spacing w:after="80"/>
        <w:ind w:left="709" w:right="0"/>
        <w:jc w:val="both"/>
      </w:pPr>
      <w:r>
        <w:rPr>
          <w:rFonts w:ascii="Calibri" w:hAnsi="Calibri" w:cs="Arial"/>
          <w:sz w:val="24"/>
          <w:szCs w:val="24"/>
        </w:rPr>
        <w:t xml:space="preserve">1.2. Draft targets are prepared for each impact area, for example:</w:t>
      </w:r>
    </w:p>
    <w:p>
      <w:pPr>
        <w:pStyle w:val="ListeParagraf"/>
        <w:numPr>
          <w:ilvl w:val="0"/>
          <w:numId w:val="1"/>
        </w:numPr>
        <w:spacing w:after="60"/>
        <w:jc w:val="both"/>
      </w:pPr>
      <w:r>
        <w:rPr>
          <w:rFonts w:ascii="Calibri" w:hAnsi="Calibri" w:cs="Arial"/>
          <w:sz w:val="24"/>
          <w:szCs w:val="24"/>
        </w:rPr>
        <w:t xml:space="preserve">Energy and GHG emissions per kg of product,</w:t>
      </w:r>
    </w:p>
    <w:p>
      <w:pPr>
        <w:pStyle w:val="ListeParagraf"/>
        <w:numPr>
          <w:ilvl w:val="0"/>
          <w:numId w:val="1"/>
        </w:numPr>
        <w:spacing w:after="60"/>
        <w:jc w:val="both"/>
      </w:pPr>
      <w:r>
        <w:rPr>
          <w:rFonts w:ascii="Calibri" w:hAnsi="Calibri" w:cs="Arial"/>
          <w:sz w:val="24"/>
          <w:szCs w:val="24"/>
        </w:rPr>
        <w:t xml:space="preserve">Fresh water consumption per kg of product and water reuse rate,</w:t>
      </w:r>
    </w:p>
    <w:p>
      <w:pPr>
        <w:pStyle w:val="ListeParagraf"/>
        <w:numPr>
          <w:ilvl w:val="0"/>
          <w:numId w:val="1"/>
        </w:numPr>
        <w:spacing w:after="60"/>
        <w:jc w:val="both"/>
      </w:pPr>
      <w:r>
        <w:rPr>
          <w:rFonts w:ascii="Calibri" w:hAnsi="Calibri" w:cs="Arial"/>
          <w:sz w:val="24"/>
          <w:szCs w:val="24"/>
        </w:rPr>
        <w:t xml:space="preserve">Waste sent to landfill and waste recycling rate,</w:t>
      </w:r>
    </w:p>
    <w:p>
      <w:pPr>
        <w:pStyle w:val="ListeParagraf"/>
        <w:numPr>
          <w:ilvl w:val="0"/>
          <w:numId w:val="1"/>
        </w:numPr>
        <w:spacing w:after="60"/>
        <w:jc w:val="both"/>
      </w:pPr>
      <w:r>
        <w:rPr>
          <w:rFonts w:ascii="Calibri" w:hAnsi="Calibri" w:cs="Arial"/>
          <w:sz w:val="24"/>
          <w:szCs w:val="24"/>
        </w:rPr>
        <w:t xml:space="preserve">ZDHC MRSL conformance of chemical inventory and wastewater test results.</w:t>
      </w:r>
    </w:p>
    <w:p>
      <w:pPr>
        <w:pStyle w:val="ListeParagraf"/>
        <w:spacing w:after="80"/>
        <w:ind w:left="709" w:right="0"/>
        <w:jc w:val="both"/>
      </w:pPr>
      <w:r>
        <w:rPr>
          <w:rFonts w:ascii="Calibri" w:hAnsi="Calibri" w:cs="Arial"/>
          <w:sz w:val="24"/>
          <w:szCs w:val="24"/>
        </w:rPr>
        <w:t xml:space="preserve">1.3. For each target an action plan is prepared, stating the project, responsible person, deadline and budget. Targets and action plans are approved in the management review.</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DATA COLLECTION</w:t>
      </w:r>
    </w:p>
    <w:p>
      <w:pPr>
        <w:pStyle w:val="ListeParagraf"/>
        <w:spacing w:after="80"/>
        <w:ind w:left="709" w:right="0"/>
        <w:jc w:val="both"/>
      </w:pPr>
      <w:r>
        <w:rPr>
          <w:rFonts w:ascii="Calibri" w:hAnsi="Calibri" w:cs="Arial"/>
          <w:sz w:val="24"/>
          <w:szCs w:val="24"/>
        </w:rPr>
        <w:t xml:space="preserve">2.1. Meters for electricity, natural gas, diesel, steam and water are read and recorded monthly according to the water and energy reading instruction.</w:t>
      </w:r>
    </w:p>
    <w:p>
      <w:pPr>
        <w:pStyle w:val="ListeParagraf"/>
        <w:spacing w:after="80"/>
        <w:ind w:left="709" w:right="0"/>
        <w:jc w:val="both"/>
      </w:pPr>
      <w:r>
        <w:rPr>
          <w:rFonts w:ascii="Calibri" w:hAnsi="Calibri" w:cs="Arial"/>
          <w:sz w:val="24"/>
          <w:szCs w:val="24"/>
        </w:rPr>
        <w:t xml:space="preserve">2.2. Waste quantities are taken from weighing records and waste disposal manifests; chemical data is taken from the chemical inventory.</w:t>
      </w:r>
    </w:p>
    <w:p>
      <w:pPr>
        <w:pStyle w:val="ListeParagraf"/>
        <w:spacing w:after="80"/>
        <w:ind w:left="709" w:right="0"/>
        <w:jc w:val="both"/>
      </w:pPr>
      <w:r>
        <w:rPr>
          <w:rFonts w:ascii="Calibri" w:hAnsi="Calibri" w:cs="Arial"/>
          <w:sz w:val="24"/>
          <w:szCs w:val="24"/>
        </w:rPr>
        <w:t xml:space="preserve">2.3. Monthly production quantities (kg) are obtained from the production department to calculate normalised data.</w:t>
      </w:r>
    </w:p>
    <w:p>
      <w:pPr>
        <w:pStyle w:val="ListeParagraf"/>
        <w:spacing w:after="80"/>
        <w:ind w:left="709" w:right="0"/>
        <w:jc w:val="both"/>
      </w:pPr>
      <w:r>
        <w:rPr>
          <w:rFonts w:ascii="Calibri" w:hAnsi="Calibri" w:cs="Arial"/>
          <w:sz w:val="24"/>
          <w:szCs w:val="24"/>
        </w:rPr>
        <w:t xml:space="preserve">2.4. All data is entered into the Sustainability Data File by the 10th of the following month, together with copies of invoices, test reports and manifests.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DATA CHECK</w:t>
      </w:r>
    </w:p>
    <w:p>
      <w:pPr>
        <w:pStyle w:val="ListeParagraf"/>
        <w:spacing w:after="80"/>
        <w:ind w:left="709" w:right="0"/>
        <w:jc w:val="both"/>
      </w:pPr>
      <w:r>
        <w:rPr>
          <w:rFonts w:ascii="Calibri" w:hAnsi="Calibri" w:cs="Arial"/>
          <w:sz w:val="24"/>
          <w:szCs w:val="24"/>
        </w:rPr>
        <w:t xml:space="preserve">3.1. The Sustainability Manager compares meter readings with invoices and checks for missing months, unusual increases or calculation errors.</w:t>
      </w:r>
    </w:p>
    <w:p>
      <w:pPr>
        <w:pStyle w:val="ListeParagraf"/>
        <w:spacing w:after="80"/>
        <w:ind w:left="709" w:right="0"/>
        <w:jc w:val="both"/>
      </w:pPr>
      <w:r>
        <w:rPr>
          <w:rFonts w:ascii="Calibri" w:hAnsi="Calibri" w:cs="Arial"/>
          <w:sz w:val="24"/>
          <w:szCs w:val="24"/>
        </w:rPr>
        <w:t xml:space="preserve">3.2. Differences of more than 10% compared with the same month of the previous year are investigated with the responsible department and explained in writing.</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HIGG FEM REPORTING AND VERIFICATION</w:t>
      </w:r>
    </w:p>
    <w:p>
      <w:pPr>
        <w:pStyle w:val="ListeParagraf"/>
        <w:spacing w:after="80"/>
        <w:ind w:left="709" w:right="0"/>
        <w:jc w:val="both"/>
      </w:pPr>
      <w:r>
        <w:rPr>
          <w:rFonts w:ascii="Calibri" w:hAnsi="Calibri" w:cs="Arial"/>
          <w:sz w:val="24"/>
          <w:szCs w:val="24"/>
        </w:rPr>
        <w:t xml:space="preserve">4.1. The Higg FEM self-assessment is completed and posted within the period announced on the platform, using only checked data and with evidence uploaded for each answer.</w:t>
      </w:r>
    </w:p>
    <w:p>
      <w:pPr>
        <w:pStyle w:val="ListeParagraf"/>
        <w:spacing w:after="80"/>
        <w:ind w:left="709" w:right="0"/>
        <w:jc w:val="both"/>
      </w:pPr>
      <w:r>
        <w:rPr>
          <w:rFonts w:ascii="Calibri" w:hAnsi="Calibri" w:cs="Arial"/>
          <w:sz w:val="24"/>
          <w:szCs w:val="24"/>
        </w:rPr>
        <w:t xml:space="preserve">4.2. The verification visit is planned with the approved verifier. All evidence, meters and records are made available to the verifier.</w:t>
      </w:r>
    </w:p>
    <w:p>
      <w:pPr>
        <w:pStyle w:val="ListeParagraf"/>
        <w:spacing w:after="80"/>
        <w:ind w:left="709" w:right="0"/>
        <w:jc w:val="both"/>
      </w:pPr>
      <w:r>
        <w:rPr>
          <w:rFonts w:ascii="Calibri" w:hAnsi="Calibri" w:cs="Arial"/>
          <w:sz w:val="24"/>
          <w:szCs w:val="24"/>
        </w:rPr>
        <w:t xml:space="preserve">4.3. Findings from verification are recorded and corrected within the agreed time; the verified module is shared with customers on request.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MONITORING AND PERFORMANCE</w:t>
      </w:r>
    </w:p>
    <w:p>
      <w:pPr>
        <w:pStyle w:val="ListeParagraf"/>
        <w:spacing w:after="80"/>
        <w:ind w:left="709" w:right="0"/>
        <w:jc w:val="both"/>
      </w:pPr>
      <w:r>
        <w:rPr>
          <w:rFonts w:ascii="Calibri" w:hAnsi="Calibri" w:cs="Arial"/>
          <w:sz w:val="24"/>
          <w:szCs w:val="24"/>
        </w:rPr>
        <w:t xml:space="preserve">5.1. The Sustainability Manager reports the following indicators to management every quarter:</w:t>
      </w:r>
    </w:p>
    <w:p>
      <w:pPr>
        <w:pStyle w:val="ListeParagraf"/>
        <w:numPr>
          <w:ilvl w:val="0"/>
          <w:numId w:val="1"/>
        </w:numPr>
        <w:spacing w:after="60"/>
        <w:jc w:val="both"/>
      </w:pPr>
      <w:r>
        <w:rPr>
          <w:rFonts w:ascii="Calibri" w:hAnsi="Calibri" w:cs="Arial"/>
          <w:sz w:val="24"/>
          <w:szCs w:val="24"/>
        </w:rPr>
        <w:t xml:space="preserve">Progress against each annual target (%),</w:t>
      </w:r>
    </w:p>
    <w:p>
      <w:pPr>
        <w:pStyle w:val="ListeParagraf"/>
        <w:numPr>
          <w:ilvl w:val="0"/>
          <w:numId w:val="1"/>
        </w:numPr>
        <w:spacing w:after="60"/>
        <w:jc w:val="both"/>
      </w:pPr>
      <w:r>
        <w:rPr>
          <w:rFonts w:ascii="Calibri" w:hAnsi="Calibri" w:cs="Arial"/>
          <w:sz w:val="24"/>
          <w:szCs w:val="24"/>
        </w:rPr>
        <w:t xml:space="preserve">Energy, water and GHG intensity per kg of product,</w:t>
      </w:r>
    </w:p>
    <w:p>
      <w:pPr>
        <w:pStyle w:val="ListeParagraf"/>
        <w:numPr>
          <w:ilvl w:val="0"/>
          <w:numId w:val="1"/>
        </w:numPr>
        <w:spacing w:after="60"/>
        <w:jc w:val="both"/>
      </w:pPr>
      <w:r>
        <w:rPr>
          <w:rFonts w:ascii="Calibri" w:hAnsi="Calibri" w:cs="Arial"/>
          <w:sz w:val="24"/>
          <w:szCs w:val="24"/>
        </w:rPr>
        <w:t xml:space="preserve">Higg FEM self-assessment and verified scores,</w:t>
      </w:r>
    </w:p>
    <w:p>
      <w:pPr>
        <w:pStyle w:val="ListeParagraf"/>
        <w:numPr>
          <w:ilvl w:val="0"/>
          <w:numId w:val="1"/>
        </w:numPr>
        <w:spacing w:after="60"/>
        <w:jc w:val="both"/>
      </w:pPr>
      <w:r>
        <w:rPr>
          <w:rFonts w:ascii="Calibri" w:hAnsi="Calibri" w:cs="Arial"/>
          <w:sz w:val="24"/>
          <w:szCs w:val="24"/>
        </w:rPr>
        <w:t xml:space="preserve">Completion rate of sustainability action plans.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RELATED DOCUMENTS AND RECORDS</w:t>
      </w:r>
    </w:p>
    <w:p>
      <w:pPr>
        <w:pStyle w:val="ListeParagraf"/>
        <w:numPr>
          <w:ilvl w:val="0"/>
          <w:numId w:val="1"/>
        </w:numPr>
        <w:spacing w:after="60"/>
        <w:jc w:val="both"/>
      </w:pPr>
      <w:r>
        <w:rPr>
          <w:rFonts w:ascii="Calibri" w:hAnsi="Calibri" w:cs="Arial"/>
          <w:sz w:val="24"/>
          <w:szCs w:val="24"/>
        </w:rPr>
        <w:t xml:space="preserve">Annual Sustainability Targets and Action Plan</w:t>
      </w:r>
    </w:p>
    <w:p>
      <w:pPr>
        <w:pStyle w:val="ListeParagraf"/>
        <w:numPr>
          <w:ilvl w:val="0"/>
          <w:numId w:val="1"/>
        </w:numPr>
        <w:spacing w:after="60"/>
        <w:jc w:val="both"/>
      </w:pPr>
      <w:r>
        <w:rPr>
          <w:rFonts w:ascii="Calibri" w:hAnsi="Calibri" w:cs="Arial"/>
          <w:sz w:val="24"/>
          <w:szCs w:val="24"/>
        </w:rPr>
        <w:t xml:space="preserve">Sustainability Data File and monthly meter reading records</w:t>
      </w:r>
    </w:p>
    <w:p>
      <w:pPr>
        <w:pStyle w:val="ListeParagraf"/>
        <w:numPr>
          <w:ilvl w:val="0"/>
          <w:numId w:val="1"/>
        </w:numPr>
        <w:spacing w:after="60"/>
        <w:jc w:val="both"/>
      </w:pPr>
      <w:r>
        <w:rPr>
          <w:rFonts w:ascii="Calibri" w:hAnsi="Calibri" w:cs="Arial"/>
          <w:sz w:val="24"/>
          <w:szCs w:val="24"/>
        </w:rPr>
        <w:t xml:space="preserve">Higg FEM self-assessment and verification reports</w:t>
      </w:r>
    </w:p>
    <w:p>
      <w:pPr>
        <w:pStyle w:val="ListeParagraf"/>
        <w:numPr>
          <w:ilvl w:val="0"/>
          <w:numId w:val="1"/>
        </w:numPr>
        <w:spacing w:after="60"/>
        <w:jc w:val="both"/>
      </w:pPr>
      <w:r>
        <w:rPr>
          <w:rFonts w:ascii="Calibri" w:hAnsi="Calibri" w:cs="Arial"/>
          <w:sz w:val="24"/>
          <w:szCs w:val="24"/>
        </w:rPr>
        <w:t xml:space="preserve">EMS.SR.POL.16.01. Sustainability Policy</w:t>
      </w:r>
    </w:p>
    <w:p>
      <w:pPr>
        <w:pStyle w:val="ListeParagraf"/>
        <w:numPr>
          <w:ilvl w:val="0"/>
          <w:numId w:val="1"/>
        </w:numPr>
        <w:spacing w:after="60"/>
        <w:jc w:val="both"/>
      </w:pPr>
      <w:r>
        <w:rPr>
          <w:rFonts w:ascii="Calibri" w:hAnsi="Calibri" w:cs="Arial"/>
          <w:sz w:val="24"/>
          <w:szCs w:val="24"/>
        </w:rPr>
        <w:t xml:space="preserve">EMS.SR.PRO.16.02. Energy and Greenhouse Gas Management Procedure</w:t>
      </w:r>
    </w:p>
    <w:p>
      <w:pPr>
        <w:pStyle w:val="ListeParagraf"/>
        <w:numPr>
          <w:ilvl w:val="0"/>
          <w:numId w:val="1"/>
        </w:numPr>
        <w:spacing w:after="60"/>
        <w:jc w:val="both"/>
      </w:pPr>
      <w:r>
        <w:rPr>
          <w:rFonts w:ascii="Calibri" w:hAnsi="Calibri" w:cs="Arial"/>
          <w:sz w:val="24"/>
          <w:szCs w:val="24"/>
        </w:rPr>
        <w:t xml:space="preserve">Environmental procedures: Waste Management, Water and Energy Reading, Water Reduction Plan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FEEDBACK AND MONITORING</w:t>
      </w:r>
    </w:p>
    <w:p>
      <w:pPr>
        <w:pStyle w:val="ListeParagraf"/>
        <w:spacing w:after="80"/>
        <w:ind w:left="709" w:right="0"/>
        <w:jc w:val="both"/>
      </w:pPr>
      <w:r>
        <w:rPr>
          <w:rFonts w:ascii="Calibri" w:hAnsi="Calibri" w:cs="Arial"/>
          <w:sz w:val="24"/>
          <w:szCs w:val="24"/>
        </w:rPr>
        <w:t xml:space="preserve">This procedure is reviewed every year by the Sustainability Manager after the Higg FEM verification. Verifier comments, customer feedback and employee suggestions are evaluated and the procedure is revised when necessary.</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يحدد هذا الإجراء كيفية وضع أهداف الاستدامة ومتابعتها، وكيفية جمع البيانات البيئية والتحقق منها والإبلاغ عنها في Higg FEM وإعدادها للتحقق في شركة إيروغلو للتريكو (EMS)، بحيث تكون البيانات المبلغ عنها كاملة ودقيقة وقابلة للتتبع.</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يشمل هذا الإجراء جميع البيانات البيئية لمنشأة EMS (الطاقة وانبعاثات GHG والمياه ومياه الصرف والانبعاثات الهوائية والنفايات والكيماويات)، والتقييم الذاتي السنوي لـ Higg FEM والتحقق منه، والبيانات التي تُشارك مع العملاء على منصات الاستدامة.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المدير العام:</w:t>
      </w:r>
      <w:r>
        <w:rPr>
          <w:rFonts w:ascii="Calibri" w:hAnsi="Calibri" w:cs="Arial"/>
          <w:rtl/>
          <w:sz w:val="24"/>
          <w:szCs w:val="24"/>
        </w:rPr>
        <w:t xml:space="preserve"> يعتمد أهداف الاستدامة السنوية وتقديم Higg FEM.</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الاستدامة (المسؤولية الاجتماعية):</w:t>
      </w:r>
      <w:r>
        <w:rPr>
          <w:rFonts w:ascii="Calibri" w:hAnsi="Calibri" w:cs="Arial"/>
          <w:rtl/>
          <w:sz w:val="24"/>
          <w:szCs w:val="24"/>
        </w:rPr>
        <w:t xml:space="preserve"> يعد مسودة الأهداف، وينسق جمع البيانات، ويستكمل وحدة Higg FEM، ويدير عملية التحقق، ويرفع تقارير الأداء.</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مديرو الصيانة والصباغة والمخازن والسلامة والصحة والبيئة:</w:t>
      </w:r>
      <w:r>
        <w:rPr>
          <w:rFonts w:ascii="Calibri" w:hAnsi="Calibri" w:cs="Arial"/>
          <w:rtl/>
          <w:sz w:val="24"/>
          <w:szCs w:val="24"/>
        </w:rPr>
        <w:t xml:space="preserve"> يقدمون قراءات العدادات الشهرية وبيانات الاستهلاك والنفايات والكيماويات مع الأدلة الداعمة.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الإدارة المالية:</w:t>
      </w:r>
      <w:r>
        <w:rPr>
          <w:rFonts w:ascii="Calibri" w:hAnsi="Calibri" w:cs="Arial"/>
          <w:rtl/>
          <w:sz w:val="24"/>
          <w:szCs w:val="24"/>
        </w:rPr>
        <w:t xml:space="preserve"> تقدم فواتير الكهرباء والوقود والغاز والمياه لتأكيد البيانات المبلغ عنها.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التقييم الذاتي لـ Higg FEM:</w:t>
      </w:r>
      <w:r>
        <w:rPr>
          <w:rFonts w:ascii="Calibri" w:hAnsi="Calibri" w:cs="Arial"/>
          <w:rtl/>
          <w:sz w:val="24"/>
          <w:szCs w:val="24"/>
        </w:rPr>
        <w:t xml:space="preserve"> الوحدة السنوية التي تستكملها المنشأة على منصة Higg عن السنة الميلادية السابقة.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التحقق (vFEM):</w:t>
      </w:r>
      <w:r>
        <w:rPr>
          <w:rFonts w:ascii="Calibri" w:hAnsi="Calibri" w:cs="Arial"/>
          <w:rtl/>
          <w:sz w:val="24"/>
          <w:szCs w:val="24"/>
        </w:rPr>
        <w:t xml:space="preserve"> مراجعة التقييم الذاتي وأدلته من قبل جهة تحقق مستقلة معتمدة.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البيانات المعيارية:</w:t>
      </w:r>
      <w:r>
        <w:rPr>
          <w:rFonts w:ascii="Calibri" w:hAnsi="Calibri" w:cs="Arial"/>
          <w:rtl/>
          <w:sz w:val="24"/>
          <w:szCs w:val="24"/>
        </w:rPr>
        <w:t xml:space="preserve"> الاستهلاك أو الانبعاثات مقسومة على وحدة إنتاج، مثل الكيلوواط ساعة لكل كيلوغرام من القماش أو لترات المياه لكل كيلوغرام.</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سنة الأساس:</w:t>
      </w:r>
      <w:r>
        <w:rPr>
          <w:rFonts w:ascii="Calibri" w:hAnsi="Calibri" w:cs="Arial"/>
          <w:rtl/>
          <w:sz w:val="24"/>
          <w:szCs w:val="24"/>
        </w:rPr>
        <w:t xml:space="preserve"> السنة المرجعية المستخدمة لقياس التحسن مقارنة بالأهداف.</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العمليات الرئيسية والفرعية</w:t>
      </w:r>
    </w:p>
    <w:p>
      <w:pPr>
        <w:pStyle w:val="ListeParagraf"/>
        <w:bidi/>
        <w:spacing w:before="120" w:after="60"/>
        <w:ind w:left="0" w:right="709"/>
      </w:pPr>
      <w:r>
        <w:rPr>
          <w:rFonts w:ascii="Calibri" w:hAnsi="Calibri" w:cs="Arial"/>
          <w:b/>
          <w:bCs/>
          <w:rtl/>
          <w:sz w:val="24"/>
          <w:szCs w:val="24"/>
        </w:rPr>
        <w:t xml:space="preserve">1. وضع الأهداف</w:t>
      </w:r>
    </w:p>
    <w:p>
      <w:pPr>
        <w:pStyle w:val="ListeParagraf"/>
        <w:bidi/>
        <w:spacing w:after="80"/>
        <w:ind w:left="0" w:right="709"/>
        <w:jc w:val="both"/>
      </w:pPr>
      <w:r>
        <w:rPr>
          <w:rFonts w:ascii="Calibri" w:hAnsi="Calibri" w:cs="Arial"/>
          <w:rtl/>
          <w:sz w:val="24"/>
          <w:szCs w:val="24"/>
        </w:rPr>
        <w:t xml:space="preserve">1.1. في شهر يناير من كل عام يراجع مدير الاستدامة أداء السنة السابقة ونتائج Higg FEM والتغييرات القانونية ومتطلبات العملاء.</w:t>
      </w:r>
    </w:p>
    <w:p>
      <w:pPr>
        <w:pStyle w:val="ListeParagraf"/>
        <w:bidi/>
        <w:spacing w:after="80"/>
        <w:ind w:left="0" w:right="709"/>
        <w:jc w:val="both"/>
      </w:pPr>
      <w:r>
        <w:rPr>
          <w:rFonts w:ascii="Calibri" w:hAnsi="Calibri" w:cs="Arial"/>
          <w:rtl/>
          <w:sz w:val="24"/>
          <w:szCs w:val="24"/>
        </w:rPr>
        <w:t xml:space="preserve">1.2. تُعد مسودة أهداف لكل مجال من مجالات التأثير، على سبيل المثال:</w:t>
      </w:r>
    </w:p>
    <w:p>
      <w:pPr>
        <w:pStyle w:val="ListeParagraf"/>
        <w:numPr>
          <w:ilvl w:val="0"/>
          <w:numId w:val="1"/>
        </w:numPr>
        <w:bidi/>
        <w:spacing w:after="60"/>
        <w:jc w:val="both"/>
      </w:pPr>
      <w:r>
        <w:rPr>
          <w:rFonts w:ascii="Calibri" w:hAnsi="Calibri" w:cs="Arial"/>
          <w:rtl/>
          <w:sz w:val="24"/>
          <w:szCs w:val="24"/>
        </w:rPr>
        <w:t xml:space="preserve">الطاقة وانبعاثات GHG لكل كيلوغرام من المنتج،</w:t>
      </w:r>
    </w:p>
    <w:p>
      <w:pPr>
        <w:pStyle w:val="ListeParagraf"/>
        <w:numPr>
          <w:ilvl w:val="0"/>
          <w:numId w:val="1"/>
        </w:numPr>
        <w:bidi/>
        <w:spacing w:after="60"/>
        <w:jc w:val="both"/>
      </w:pPr>
      <w:r>
        <w:rPr>
          <w:rFonts w:ascii="Calibri" w:hAnsi="Calibri" w:cs="Arial"/>
          <w:rtl/>
          <w:sz w:val="24"/>
          <w:szCs w:val="24"/>
        </w:rPr>
        <w:t xml:space="preserve">استهلاك المياه العذبة لكل كيلوغرام من المنتج ونسبة إعادة استخدام المياه،</w:t>
      </w:r>
    </w:p>
    <w:p>
      <w:pPr>
        <w:pStyle w:val="ListeParagraf"/>
        <w:numPr>
          <w:ilvl w:val="0"/>
          <w:numId w:val="1"/>
        </w:numPr>
        <w:bidi/>
        <w:spacing w:after="60"/>
        <w:jc w:val="both"/>
      </w:pPr>
      <w:r>
        <w:rPr>
          <w:rFonts w:ascii="Calibri" w:hAnsi="Calibri" w:cs="Arial"/>
          <w:rtl/>
          <w:sz w:val="24"/>
          <w:szCs w:val="24"/>
        </w:rPr>
        <w:t xml:space="preserve">النفايات المرسلة إلى المدافن ونسبة إعادة تدوير النفايات،</w:t>
      </w:r>
    </w:p>
    <w:p>
      <w:pPr>
        <w:pStyle w:val="ListeParagraf"/>
        <w:numPr>
          <w:ilvl w:val="0"/>
          <w:numId w:val="1"/>
        </w:numPr>
        <w:bidi/>
        <w:spacing w:after="60"/>
        <w:jc w:val="both"/>
      </w:pPr>
      <w:r>
        <w:rPr>
          <w:rFonts w:ascii="Calibri" w:hAnsi="Calibri" w:cs="Arial"/>
          <w:rtl/>
          <w:sz w:val="24"/>
          <w:szCs w:val="24"/>
        </w:rPr>
        <w:t xml:space="preserve">مطابقة مخزون الكيماويات لـ ZDHC MRSL ونتائج اختبارات مياه الصرف.</w:t>
      </w:r>
    </w:p>
    <w:p>
      <w:pPr>
        <w:pStyle w:val="ListeParagraf"/>
        <w:bidi/>
        <w:spacing w:after="80"/>
        <w:ind w:left="0" w:right="709"/>
        <w:jc w:val="both"/>
      </w:pPr>
      <w:r>
        <w:rPr>
          <w:rFonts w:ascii="Calibri" w:hAnsi="Calibri" w:cs="Arial"/>
          <w:rtl/>
          <w:sz w:val="24"/>
          <w:szCs w:val="24"/>
        </w:rPr>
        <w:t xml:space="preserve">1.3. تُعد خطة عمل لكل هدف تحدد المشروع والشخص المسؤول والموعد النهائي والميزانية. وتُعتمد الأهداف وخطط العمل في مراجعة الإدارة.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جمع البيانات</w:t>
      </w:r>
    </w:p>
    <w:p>
      <w:pPr>
        <w:pStyle w:val="ListeParagraf"/>
        <w:bidi/>
        <w:spacing w:after="80"/>
        <w:ind w:left="0" w:right="709"/>
        <w:jc w:val="both"/>
      </w:pPr>
      <w:r>
        <w:rPr>
          <w:rFonts w:ascii="Calibri" w:hAnsi="Calibri" w:cs="Arial"/>
          <w:rtl/>
          <w:sz w:val="24"/>
          <w:szCs w:val="24"/>
        </w:rPr>
        <w:t xml:space="preserve">2.1. تُقرأ عدادات الكهرباء والغاز الطبيعي والديزل والبخار والمياه وتُسجل شهريًا وفق تعليمات قراءة المياه والطاقة.</w:t>
      </w:r>
    </w:p>
    <w:p>
      <w:pPr>
        <w:pStyle w:val="ListeParagraf"/>
        <w:bidi/>
        <w:spacing w:after="80"/>
        <w:ind w:left="0" w:right="709"/>
        <w:jc w:val="both"/>
      </w:pPr>
      <w:r>
        <w:rPr>
          <w:rFonts w:ascii="Calibri" w:hAnsi="Calibri" w:cs="Arial"/>
          <w:rtl/>
          <w:sz w:val="24"/>
          <w:szCs w:val="24"/>
        </w:rPr>
        <w:t xml:space="preserve">2.2. تُؤخذ كميات النفايات من سجلات الوزن وبيانات نقل النفايات والتخلص منها، وتُؤخذ بيانات الكيماويات من مخزون الكيماويات.</w:t>
      </w:r>
    </w:p>
    <w:p>
      <w:pPr>
        <w:pStyle w:val="ListeParagraf"/>
        <w:bidi/>
        <w:spacing w:after="80"/>
        <w:ind w:left="0" w:right="709"/>
        <w:jc w:val="both"/>
      </w:pPr>
      <w:r>
        <w:rPr>
          <w:rFonts w:ascii="Calibri" w:hAnsi="Calibri" w:cs="Arial"/>
          <w:rtl/>
          <w:sz w:val="24"/>
          <w:szCs w:val="24"/>
        </w:rPr>
        <w:t xml:space="preserve">2.3. يُحصل على كميات الإنتاج الشهرية (بالكيلوغرام) من قسم الإنتاج لحساب البيانات المعيارية.</w:t>
      </w:r>
    </w:p>
    <w:p>
      <w:pPr>
        <w:pStyle w:val="ListeParagraf"/>
        <w:bidi/>
        <w:spacing w:after="80"/>
        <w:ind w:left="0" w:right="709"/>
        <w:jc w:val="both"/>
      </w:pPr>
      <w:r>
        <w:rPr>
          <w:rFonts w:ascii="Calibri" w:hAnsi="Calibri" w:cs="Arial"/>
          <w:rtl/>
          <w:sz w:val="24"/>
          <w:szCs w:val="24"/>
        </w:rPr>
        <w:t xml:space="preserve">2.4. تُدخل جميع البيانات في ملف بيانات الاستدامة قبل اليوم العاشر من الشهر التالي، مع نسخ من الفواتير وتقارير الاختبار وبيانات نقل النفايات.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التحقق من البيانات</w:t>
      </w:r>
    </w:p>
    <w:p>
      <w:pPr>
        <w:pStyle w:val="ListeParagraf"/>
        <w:bidi/>
        <w:spacing w:after="80"/>
        <w:ind w:left="0" w:right="709"/>
        <w:jc w:val="both"/>
      </w:pPr>
      <w:r>
        <w:rPr>
          <w:rFonts w:ascii="Calibri" w:hAnsi="Calibri" w:cs="Arial"/>
          <w:rtl/>
          <w:sz w:val="24"/>
          <w:szCs w:val="24"/>
        </w:rPr>
        <w:t xml:space="preserve">3.1. يقارن مدير الاستدامة قراءات العدادات بالفواتير، ويتحقق من الأشهر الناقصة أو الزيادات غير المعتادة أو أخطاء الحساب.</w:t>
      </w:r>
    </w:p>
    <w:p>
      <w:pPr>
        <w:pStyle w:val="ListeParagraf"/>
        <w:bidi/>
        <w:spacing w:after="80"/>
        <w:ind w:left="0" w:right="709"/>
        <w:jc w:val="both"/>
      </w:pPr>
      <w:r>
        <w:rPr>
          <w:rFonts w:ascii="Calibri" w:hAnsi="Calibri" w:cs="Arial"/>
          <w:rtl/>
          <w:sz w:val="24"/>
          <w:szCs w:val="24"/>
        </w:rPr>
        <w:t xml:space="preserve">3.2. يُحقق في الفروق التي تزيد عن 10% مقارنة بالشهر نفسه من السنة السابقة مع القسم المسؤول، ويُوضح سببها كتابيًا.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الإبلاغ والتحقق في Higg FEM</w:t>
      </w:r>
    </w:p>
    <w:p>
      <w:pPr>
        <w:pStyle w:val="ListeParagraf"/>
        <w:bidi/>
        <w:spacing w:after="80"/>
        <w:ind w:left="0" w:right="709"/>
        <w:jc w:val="both"/>
      </w:pPr>
      <w:r>
        <w:rPr>
          <w:rFonts w:ascii="Calibri" w:hAnsi="Calibri" w:cs="Arial"/>
          <w:rtl/>
          <w:sz w:val="24"/>
          <w:szCs w:val="24"/>
        </w:rPr>
        <w:t xml:space="preserve">4.1. يُستكمل التقييم الذاتي لـ Higg FEM ويُنشر خلال الفترة المعلنة على المنصة، باستخدام البيانات المتحقق منها فقط، مع رفع الأدلة لكل إجابة.</w:t>
      </w:r>
    </w:p>
    <w:p>
      <w:pPr>
        <w:pStyle w:val="ListeParagraf"/>
        <w:bidi/>
        <w:spacing w:after="80"/>
        <w:ind w:left="0" w:right="709"/>
        <w:jc w:val="both"/>
      </w:pPr>
      <w:r>
        <w:rPr>
          <w:rFonts w:ascii="Calibri" w:hAnsi="Calibri" w:cs="Arial"/>
          <w:rtl/>
          <w:sz w:val="24"/>
          <w:szCs w:val="24"/>
        </w:rPr>
        <w:t xml:space="preserve">4.2. تُخطط زيارة التحقق مع جهة التحقق المعتمدة، وتُتاح لها جميع الأدلة والعدادات والسجلات.</w:t>
      </w:r>
    </w:p>
    <w:p>
      <w:pPr>
        <w:pStyle w:val="ListeParagraf"/>
        <w:bidi/>
        <w:spacing w:after="80"/>
        <w:ind w:left="0" w:right="709"/>
        <w:jc w:val="both"/>
      </w:pPr>
      <w:r>
        <w:rPr>
          <w:rFonts w:ascii="Calibri" w:hAnsi="Calibri" w:cs="Arial"/>
          <w:rtl/>
          <w:sz w:val="24"/>
          <w:szCs w:val="24"/>
        </w:rPr>
        <w:t xml:space="preserve">4.3. تُسجل ملاحظات التحقق وتُصحح خلال المدة المتفق عليها، وتُشارك الوحدة المتحقق منها مع العملاء عند الطلب.</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المتابعة والأداء</w:t>
      </w:r>
    </w:p>
    <w:p>
      <w:pPr>
        <w:pStyle w:val="ListeParagraf"/>
        <w:bidi/>
        <w:spacing w:after="80"/>
        <w:ind w:left="0" w:right="709"/>
        <w:jc w:val="both"/>
      </w:pPr>
      <w:r>
        <w:rPr>
          <w:rFonts w:ascii="Calibri" w:hAnsi="Calibri" w:cs="Arial"/>
          <w:rtl/>
          <w:sz w:val="24"/>
          <w:szCs w:val="24"/>
        </w:rPr>
        <w:t xml:space="preserve">5.1. يرفع مدير الاستدامة المؤشرات التالية إلى الإدارة كل ربع سنة:</w:t>
      </w:r>
    </w:p>
    <w:p>
      <w:pPr>
        <w:pStyle w:val="ListeParagraf"/>
        <w:numPr>
          <w:ilvl w:val="0"/>
          <w:numId w:val="1"/>
        </w:numPr>
        <w:bidi/>
        <w:spacing w:after="60"/>
        <w:jc w:val="both"/>
      </w:pPr>
      <w:r>
        <w:rPr>
          <w:rFonts w:ascii="Calibri" w:hAnsi="Calibri" w:cs="Arial"/>
          <w:rtl/>
          <w:sz w:val="24"/>
          <w:szCs w:val="24"/>
        </w:rPr>
        <w:t xml:space="preserve">نسبة التقدم في تحقيق كل هدف سنوي (%)،</w:t>
      </w:r>
    </w:p>
    <w:p>
      <w:pPr>
        <w:pStyle w:val="ListeParagraf"/>
        <w:numPr>
          <w:ilvl w:val="0"/>
          <w:numId w:val="1"/>
        </w:numPr>
        <w:bidi/>
        <w:spacing w:after="60"/>
        <w:jc w:val="both"/>
      </w:pPr>
      <w:r>
        <w:rPr>
          <w:rFonts w:ascii="Calibri" w:hAnsi="Calibri" w:cs="Arial"/>
          <w:rtl/>
          <w:sz w:val="24"/>
          <w:szCs w:val="24"/>
        </w:rPr>
        <w:t xml:space="preserve">كثافة استهلاك الطاقة والمياه وانبعاثات GHG لكل كيلوغرام من المنتج،</w:t>
      </w:r>
    </w:p>
    <w:p>
      <w:pPr>
        <w:pStyle w:val="ListeParagraf"/>
        <w:numPr>
          <w:ilvl w:val="0"/>
          <w:numId w:val="1"/>
        </w:numPr>
        <w:bidi/>
        <w:spacing w:after="60"/>
        <w:jc w:val="both"/>
      </w:pPr>
      <w:r>
        <w:rPr>
          <w:rFonts w:ascii="Calibri" w:hAnsi="Calibri" w:cs="Arial"/>
          <w:rtl/>
          <w:sz w:val="24"/>
          <w:szCs w:val="24"/>
        </w:rPr>
        <w:t xml:space="preserve">درجات التقييم الذاتي والتحقق في Higg FEM،</w:t>
      </w:r>
    </w:p>
    <w:p>
      <w:pPr>
        <w:pStyle w:val="ListeParagraf"/>
        <w:numPr>
          <w:ilvl w:val="0"/>
          <w:numId w:val="1"/>
        </w:numPr>
        <w:bidi/>
        <w:spacing w:after="60"/>
        <w:jc w:val="both"/>
      </w:pPr>
      <w:r>
        <w:rPr>
          <w:rFonts w:ascii="Calibri" w:hAnsi="Calibri" w:cs="Arial"/>
          <w:rtl/>
          <w:sz w:val="24"/>
          <w:szCs w:val="24"/>
        </w:rPr>
        <w:t xml:space="preserve">نسبة إنجاز خطط عمل الاستدامة.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أهداف الاستدامة السنوية وخطة العمل</w:t>
      </w:r>
    </w:p>
    <w:p>
      <w:pPr>
        <w:pStyle w:val="ListeParagraf"/>
        <w:numPr>
          <w:ilvl w:val="0"/>
          <w:numId w:val="1"/>
        </w:numPr>
        <w:bidi/>
        <w:spacing w:after="60"/>
        <w:jc w:val="both"/>
      </w:pPr>
      <w:r>
        <w:rPr>
          <w:rFonts w:ascii="Calibri" w:hAnsi="Calibri" w:cs="Arial"/>
          <w:rtl/>
          <w:sz w:val="24"/>
          <w:szCs w:val="24"/>
        </w:rPr>
        <w:t xml:space="preserve">ملف بيانات الاستدامة وسجلات قراءة العدادات الشهرية</w:t>
      </w:r>
    </w:p>
    <w:p>
      <w:pPr>
        <w:pStyle w:val="ListeParagraf"/>
        <w:numPr>
          <w:ilvl w:val="0"/>
          <w:numId w:val="1"/>
        </w:numPr>
        <w:bidi/>
        <w:spacing w:after="60"/>
        <w:jc w:val="both"/>
      </w:pPr>
      <w:r>
        <w:rPr>
          <w:rFonts w:ascii="Calibri" w:hAnsi="Calibri" w:cs="Arial"/>
          <w:rtl/>
          <w:sz w:val="24"/>
          <w:szCs w:val="24"/>
        </w:rPr>
        <w:t xml:space="preserve">تقارير التقييم الذاتي والتحقق في Higg FEM</w:t>
      </w:r>
    </w:p>
    <w:p>
      <w:pPr>
        <w:pStyle w:val="ListeParagraf"/>
        <w:numPr>
          <w:ilvl w:val="0"/>
          <w:numId w:val="1"/>
        </w:numPr>
        <w:bidi/>
        <w:spacing w:after="60"/>
        <w:jc w:val="both"/>
      </w:pPr>
      <w:r>
        <w:rPr>
          <w:rFonts w:ascii="Calibri" w:hAnsi="Calibri" w:cs="Arial"/>
          <w:rtl/>
          <w:sz w:val="24"/>
          <w:szCs w:val="24"/>
        </w:rPr>
        <w:t xml:space="preserve">EMS.SR.POL.16.01. سياسة الاستدامة</w:t>
      </w:r>
    </w:p>
    <w:p>
      <w:pPr>
        <w:pStyle w:val="ListeParagraf"/>
        <w:numPr>
          <w:ilvl w:val="0"/>
          <w:numId w:val="1"/>
        </w:numPr>
        <w:bidi/>
        <w:spacing w:after="60"/>
        <w:jc w:val="both"/>
      </w:pPr>
      <w:r>
        <w:rPr>
          <w:rFonts w:ascii="Calibri" w:hAnsi="Calibri" w:cs="Arial"/>
          <w:rtl/>
          <w:sz w:val="24"/>
          <w:szCs w:val="24"/>
        </w:rPr>
        <w:t xml:space="preserve">EMS.SR.PRO.16.02. إجراء إدارة الطاقة وغازات الاحتباس الحراري</w:t>
      </w:r>
    </w:p>
    <w:p>
      <w:pPr>
        <w:pStyle w:val="ListeParagraf"/>
        <w:numPr>
          <w:ilvl w:val="0"/>
          <w:numId w:val="1"/>
        </w:numPr>
        <w:bidi/>
        <w:spacing w:after="60"/>
        <w:jc w:val="both"/>
      </w:pPr>
      <w:r>
        <w:rPr>
          <w:rFonts w:ascii="Calibri" w:hAnsi="Calibri" w:cs="Arial"/>
          <w:rtl/>
          <w:sz w:val="24"/>
          <w:szCs w:val="24"/>
        </w:rPr>
        <w:t xml:space="preserve">الإجراءات البيئية: إدارة النفايات، قراءة المياه والطاقة، خطة خفض استهلاك المياه</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التغذية الراجعة والمتابعة</w:t>
      </w:r>
    </w:p>
    <w:p>
      <w:pPr>
        <w:pStyle w:val="ListeParagraf"/>
        <w:bidi/>
        <w:spacing w:after="80"/>
        <w:ind w:left="0" w:right="709"/>
        <w:jc w:val="both"/>
      </w:pPr>
      <w:r>
        <w:rPr>
          <w:rFonts w:ascii="Calibri" w:hAnsi="Calibri" w:cs="Arial"/>
          <w:rtl/>
          <w:sz w:val="24"/>
          <w:szCs w:val="24"/>
        </w:rPr>
        <w:t xml:space="preserve">يُراجع هذا الإجراء سنويًا من قبل مدير الاستدامة بعد التحقق من Higg FEM. وتُقيّم ملاحظات جهة التحقق وتعليقات العملاء واقتراحات الموظفين، ويُعدل الإجراء عند الحاجة.</w:t>
      </w:r>
    </w:p>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Pr>
                <w:rFonts w:ascii="Calibri" w:eastAsia="Times New Roman" w:hAnsi="Calibri" w:cs="Calibri"/>
                <w:noProof/>
                <w:color w:val="000000"/>
                <w:lang w:val="en-GB" w:eastAsia="en-GB"/>
              </w:rPr>
              <w:drawing>
                <wp:anchor distT="0" distB="0" distL="114300" distR="114300" simplePos="0" relativeHeight="251658240" behindDoc="0" locked="0" layoutInCell="1" allowOverlap="1" wp14:anchorId="168E1990" wp14:editId="230A926C">
                  <wp:simplePos x="0" y="0"/>
                  <wp:positionH relativeFrom="column">
                    <wp:posOffset>-143510</wp:posOffset>
                  </wp:positionH>
                  <wp:positionV relativeFrom="paragraph">
                    <wp:posOffset>153670</wp:posOffset>
                  </wp:positionV>
                  <wp:extent cx="1569720" cy="1046480"/>
                  <wp:effectExtent l="0" t="0" r="0" b="0"/>
                  <wp:wrapNone/>
                  <wp:docPr id="196847015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470152" name="Resim 196847015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69720" cy="1046480"/>
                          </a:xfrm>
                          <a:prstGeom prst="rect">
                            <a:avLst/>
                          </a:prstGeom>
                        </pic:spPr>
                      </pic:pic>
                    </a:graphicData>
                  </a:graphic>
                  <wp14:sizeRelH relativeFrom="page">
                    <wp14:pctWidth>0</wp14:pctWidth>
                  </wp14:sizeRelH>
                  <wp14:sizeRelV relativeFrom="page">
                    <wp14:pctHeight>0</wp14:pctHeight>
                  </wp14:sizeRelV>
                </wp:anchor>
              </w:drawing>
            </w: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BAYDOGAN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SUSTAINABILITY TARGETS AND HIGG FEM DATA MANAGEMENT PROCEDURE</w:t>
          </w:r>
        </w:p>
        <w:p>
          <w:pPr>
            <w:pStyle w:val="GvdeMetni2"/>
            <w:bidi/>
            <w:spacing w:line="276" w:lineRule="auto"/>
            <w:jc w:val="center"/>
          </w:pPr>
          <w:r>
            <w:rPr>
              <w:rFonts w:asciiTheme="minorHAnsi" w:hAnsiTheme="minorHAnsi" w:cs="Arial"/>
              <w:b/>
              <w:bCs/>
              <w:color w:val="000000" w:themeColor="text1"/>
              <w:sz w:val="22"/>
              <w:szCs w:val="22"/>
              <w:rtl/>
            </w:rPr>
            <w:t>إجراء أهداف الاستدامة وإدارة بيانات Higg FEM</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EMS.SR.PRO.16.01.</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EMS.SR.PRO.16.01. SUSTAINABILITY TARGETS AND HIGG FEM DATA MANAGEMENT PROCEDURE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