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internal audits of the integrated management system are planned and carried out, and how nonconformities from any source are recorded, analysed, corrected and verified at Eroglu Knitting (EMS), in order to ensure the effectiveness of the system and to prevent recurrence.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internal audits against ISO 9001, ISO 14001, ISO 45001 and social compliance requirements, and nonconformities arising from audits (internal, customer, second- and third-party), customer complaints, process and product failures, incidents and legal non-compliance.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audit programme and provides the resources for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w:t>
      </w:r>
      <w:r>
        <w:rPr>
          <w:rFonts w:ascii="Calibri" w:hAnsi="Calibri" w:cs="Arial"/>
          <w:sz w:val="24"/>
          <w:szCs w:val="24"/>
        </w:rPr>
        <w:t xml:space="preserve"> Prepares the audit programme, assigns auditors, keeps the nonconformity and corrective action register and follows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Internal Auditors:</w:t>
      </w:r>
      <w:r>
        <w:rPr>
          <w:rFonts w:ascii="Calibri" w:hAnsi="Calibri" w:cs="Arial"/>
          <w:sz w:val="24"/>
          <w:szCs w:val="24"/>
        </w:rPr>
        <w:t xml:space="preserve"> Plan and conduct audits impartially, record findings with objective evidence and verify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audits, analyse root causes and implement corrective actions in their areas within the agreed dates.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w:t>
      </w:r>
      <w:r>
        <w:rPr>
          <w:rFonts w:ascii="Calibri" w:hAnsi="Calibri" w:cs="Arial"/>
          <w:sz w:val="24"/>
          <w:szCs w:val="24"/>
        </w:rPr>
        <w:t xml:space="preserve"> Non-fulfilment of a requirement (standard, legal, customer or internal).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Correction:</w:t>
      </w:r>
      <w:r>
        <w:rPr>
          <w:rFonts w:ascii="Calibri" w:hAnsi="Calibri" w:cs="Arial"/>
          <w:sz w:val="24"/>
          <w:szCs w:val="24"/>
        </w:rPr>
        <w:t xml:space="preserve"> Immediate action taken to eliminate a detected nonconformity.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Corrective Action:</w:t>
      </w:r>
      <w:r>
        <w:rPr>
          <w:rFonts w:ascii="Calibri" w:hAnsi="Calibri" w:cs="Arial"/>
          <w:sz w:val="24"/>
          <w:szCs w:val="24"/>
        </w:rPr>
        <w:t xml:space="preserve"> Action taken to eliminate the root cause of a nonconformity and to prevent it from happening again.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Observation / Opportunity for Improvement:</w:t>
      </w:r>
      <w:r>
        <w:rPr>
          <w:rFonts w:ascii="Calibri" w:hAnsi="Calibri" w:cs="Arial"/>
          <w:sz w:val="24"/>
          <w:szCs w:val="24"/>
        </w:rPr>
        <w:t xml:space="preserve"> A finding that is not a nonconformity but may become one or may improve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AUDIT PROGRAMME</w:t>
      </w:r>
    </w:p>
    <w:p>
      <w:pPr>
        <w:pStyle w:val="ListeParagraf"/>
        <w:spacing w:after="80"/>
        <w:ind w:left="709" w:right="0"/>
        <w:jc w:val="both"/>
      </w:pPr>
      <w:r>
        <w:rPr>
          <w:rFonts w:ascii="Calibri" w:hAnsi="Calibri" w:cs="Arial"/>
          <w:sz w:val="24"/>
          <w:szCs w:val="24"/>
        </w:rPr>
        <w:t xml:space="preserve">1.1. At the beginning of each year, the Management System Coordinator prepares an annual audit programme so that every process and every shift is audited at least once a year.</w:t>
      </w:r>
    </w:p>
    <w:p>
      <w:pPr>
        <w:pStyle w:val="ListeParagraf"/>
        <w:spacing w:after="80"/>
        <w:ind w:left="709" w:right="0"/>
        <w:jc w:val="both"/>
      </w:pPr>
      <w:r>
        <w:rPr>
          <w:rFonts w:ascii="Calibri" w:hAnsi="Calibri" w:cs="Arial"/>
          <w:sz w:val="24"/>
          <w:szCs w:val="24"/>
        </w:rPr>
        <w:t xml:space="preserve">1.2. Processes with high risk, previous nonconformities or customer complaints are audited more frequently.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AUDITOR COMPETENCE</w:t>
      </w:r>
    </w:p>
    <w:p>
      <w:pPr>
        <w:pStyle w:val="ListeParagraf"/>
        <w:spacing w:after="80"/>
        <w:ind w:left="709" w:right="0"/>
        <w:jc w:val="both"/>
      </w:pPr>
      <w:r>
        <w:rPr>
          <w:rFonts w:ascii="Calibri" w:hAnsi="Calibri" w:cs="Arial"/>
          <w:sz w:val="24"/>
          <w:szCs w:val="24"/>
        </w:rPr>
        <w:t xml:space="preserve">2.1. Internal auditors are trained in ISO 9001, ISO 14001, ISO 45001 and audit techniques, and the list of qualified auditors is kept.</w:t>
      </w:r>
    </w:p>
    <w:p>
      <w:pPr>
        <w:pStyle w:val="ListeParagraf"/>
        <w:spacing w:after="80"/>
        <w:ind w:left="709" w:right="0"/>
        <w:jc w:val="both"/>
      </w:pPr>
      <w:r>
        <w:rPr>
          <w:rFonts w:ascii="Calibri" w:hAnsi="Calibri" w:cs="Arial"/>
          <w:sz w:val="24"/>
          <w:szCs w:val="24"/>
        </w:rPr>
        <w:t xml:space="preserve">2.2. Auditors do not audit their own work or department, to ensure objectivity and impartiality.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AUDIT</w:t>
      </w:r>
    </w:p>
    <w:p>
      <w:pPr>
        <w:pStyle w:val="ListeParagraf"/>
        <w:spacing w:after="80"/>
        <w:ind w:left="709" w:right="0"/>
        <w:jc w:val="both"/>
      </w:pPr>
      <w:r>
        <w:rPr>
          <w:rFonts w:ascii="Calibri" w:hAnsi="Calibri" w:cs="Arial"/>
          <w:sz w:val="24"/>
          <w:szCs w:val="24"/>
        </w:rPr>
        <w:t xml:space="preserve">3.1. The audit plan (date, scope, criteria, auditors) is sent to the audited department at least one week before the audit.</w:t>
      </w:r>
    </w:p>
    <w:p>
      <w:pPr>
        <w:pStyle w:val="ListeParagraf"/>
        <w:spacing w:after="80"/>
        <w:ind w:left="709" w:right="0"/>
        <w:jc w:val="both"/>
      </w:pPr>
      <w:r>
        <w:rPr>
          <w:rFonts w:ascii="Calibri" w:hAnsi="Calibri" w:cs="Arial"/>
          <w:sz w:val="24"/>
          <w:szCs w:val="24"/>
        </w:rPr>
        <w:t xml:space="preserve">3.2. The audit starts with an opening meeting; evidence is collected by interviews, observation and review of records, including on the production floor.</w:t>
      </w:r>
    </w:p>
    <w:p>
      <w:pPr>
        <w:pStyle w:val="ListeParagraf"/>
        <w:spacing w:after="80"/>
        <w:ind w:left="709" w:right="0"/>
        <w:jc w:val="both"/>
      </w:pPr>
      <w:r>
        <w:rPr>
          <w:rFonts w:ascii="Calibri" w:hAnsi="Calibri" w:cs="Arial"/>
          <w:sz w:val="24"/>
          <w:szCs w:val="24"/>
        </w:rPr>
        <w:t xml:space="preserve">3.3. At the closing meeting the findings are explained and classified as major nonconformity, minor nonconformity or observation.</w:t>
      </w:r>
    </w:p>
    <w:p>
      <w:pPr>
        <w:pStyle w:val="ListeParagraf"/>
        <w:spacing w:after="80"/>
        <w:ind w:left="709" w:right="0"/>
        <w:jc w:val="both"/>
      </w:pPr>
      <w:r>
        <w:rPr>
          <w:rFonts w:ascii="Calibri" w:hAnsi="Calibri" w:cs="Arial"/>
          <w:sz w:val="24"/>
          <w:szCs w:val="24"/>
        </w:rPr>
        <w:t xml:space="preserve">3.4. The audit report is issued within 5 working days and the nonconformities are entered in the nonconformity and corrective action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NONCONFORMITY AND CORRECTIVE ACTION</w:t>
      </w:r>
    </w:p>
    <w:p>
      <w:pPr>
        <w:pStyle w:val="ListeParagraf"/>
        <w:spacing w:after="80"/>
        <w:ind w:left="709" w:right="0"/>
        <w:jc w:val="both"/>
      </w:pPr>
      <w:r>
        <w:rPr>
          <w:rFonts w:ascii="Calibri" w:hAnsi="Calibri" w:cs="Arial"/>
          <w:sz w:val="24"/>
          <w:szCs w:val="24"/>
        </w:rPr>
        <w:t xml:space="preserve">4.1. Any employee who detects a nonconformity reports it to their manager; it is recorded on the Nonconformity and Corrective Action Form (product nonconformities are handled according to EMS.QA.PRO.02.06.).</w:t>
      </w:r>
    </w:p>
    <w:p>
      <w:pPr>
        <w:pStyle w:val="ListeParagraf"/>
        <w:spacing w:after="80"/>
        <w:ind w:left="709" w:right="0"/>
        <w:jc w:val="both"/>
      </w:pPr>
      <w:r>
        <w:rPr>
          <w:rFonts w:ascii="Calibri" w:hAnsi="Calibri" w:cs="Arial"/>
          <w:sz w:val="24"/>
          <w:szCs w:val="24"/>
        </w:rPr>
        <w:t xml:space="preserve">4.2. The responsible department takes correction immediately to control the effect.</w:t>
      </w:r>
    </w:p>
    <w:p>
      <w:pPr>
        <w:pStyle w:val="ListeParagraf"/>
        <w:spacing w:after="80"/>
        <w:ind w:left="709" w:right="0"/>
        <w:jc w:val="both"/>
      </w:pPr>
      <w:r>
        <w:rPr>
          <w:rFonts w:ascii="Calibri" w:hAnsi="Calibri" w:cs="Arial"/>
          <w:sz w:val="24"/>
          <w:szCs w:val="24"/>
        </w:rPr>
        <w:t xml:space="preserve">4.3. The root cause is analysed using methods such as 5 Whys or the fishbone diagram, and a corrective action plan with responsible persons and target dates is prepared.</w:t>
      </w:r>
    </w:p>
    <w:p>
      <w:pPr>
        <w:pStyle w:val="ListeParagraf"/>
        <w:spacing w:after="80"/>
        <w:ind w:left="709" w:right="0"/>
        <w:jc w:val="both"/>
      </w:pPr>
      <w:r>
        <w:rPr>
          <w:rFonts w:ascii="Calibri" w:hAnsi="Calibri" w:cs="Arial"/>
          <w:sz w:val="24"/>
          <w:szCs w:val="24"/>
        </w:rPr>
        <w:t xml:space="preserve">4.4. Target dates: major nonconformities within 30 days, minor nonconformities within 60 days, unless the customer or certification requirement sets a shorter period.</w:t>
      </w:r>
    </w:p>
    <w:p>
      <w:pPr>
        <w:pStyle w:val="ListeParagraf"/>
        <w:spacing w:after="80"/>
        <w:ind w:left="709" w:right="0"/>
        <w:jc w:val="both"/>
      </w:pPr>
      <w:r>
        <w:rPr>
          <w:rFonts w:ascii="Calibri" w:hAnsi="Calibri" w:cs="Arial"/>
          <w:sz w:val="24"/>
          <w:szCs w:val="24"/>
        </w:rPr>
        <w:t xml:space="preserve">4.5. Where needed, risk assessments, documents and training are updated as part of the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After the target date, the auditor or the Management System Coordinator checks whether the action has been implemented and is effective.</w:t>
      </w:r>
    </w:p>
    <w:p>
      <w:pPr>
        <w:pStyle w:val="ListeParagraf"/>
        <w:spacing w:after="80"/>
        <w:ind w:left="709" w:right="0"/>
        <w:jc w:val="both"/>
      </w:pPr>
      <w:r>
        <w:rPr>
          <w:rFonts w:ascii="Calibri" w:hAnsi="Calibri" w:cs="Arial"/>
          <w:sz w:val="24"/>
          <w:szCs w:val="24"/>
        </w:rPr>
        <w:t xml:space="preserve">5.2. If the action is not effective, the nonconformity stays open and a new analysis and action plan are made.</w:t>
      </w:r>
    </w:p>
    <w:p>
      <w:pPr>
        <w:pStyle w:val="ListeParagraf"/>
        <w:spacing w:after="80"/>
        <w:ind w:left="709" w:right="0"/>
        <w:jc w:val="both"/>
      </w:pPr>
      <w:r>
        <w:rPr>
          <w:rFonts w:ascii="Calibri" w:hAnsi="Calibri" w:cs="Arial"/>
          <w:sz w:val="24"/>
          <w:szCs w:val="24"/>
        </w:rPr>
        <w:t xml:space="preserve">5.3. The following indicators are reported in the management review: audit programme completion rate (%), number of nonconformities by process, corrective actions closed on time (%) and repeated nonconformities.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Internal Audit Programme and Audit Plans</w:t>
      </w:r>
    </w:p>
    <w:p>
      <w:pPr>
        <w:pStyle w:val="ListeParagraf"/>
        <w:numPr>
          <w:ilvl w:val="0"/>
          <w:numId w:val="1"/>
        </w:numPr>
        <w:spacing w:after="60"/>
        <w:jc w:val="both"/>
      </w:pPr>
      <w:r>
        <w:rPr>
          <w:rFonts w:ascii="Calibri" w:hAnsi="Calibri" w:cs="Arial"/>
          <w:sz w:val="24"/>
          <w:szCs w:val="24"/>
        </w:rPr>
        <w:t xml:space="preserve">Internal Audit Reports and Qualified Auditor List</w:t>
      </w:r>
    </w:p>
    <w:p>
      <w:pPr>
        <w:pStyle w:val="ListeParagraf"/>
        <w:numPr>
          <w:ilvl w:val="0"/>
          <w:numId w:val="1"/>
        </w:numPr>
        <w:spacing w:after="60"/>
        <w:jc w:val="both"/>
      </w:pPr>
      <w:r>
        <w:rPr>
          <w:rFonts w:ascii="Calibri" w:hAnsi="Calibri" w:cs="Arial"/>
          <w:sz w:val="24"/>
          <w:szCs w:val="24"/>
        </w:rPr>
        <w:t xml:space="preserve">Nonconformity and Corrective Action Form and Register</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 OHS SP13 Internal OHS Audit Procedure and SP14 Management Review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Coordinator. Results of external audits, the management review and suggestions from auditors and departments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التدقيق الداخلي لنظام الإدارة المتكامل وتنفيذه، وكيفية تسجيل حالات عدم المطابقة من أي مصدر وتحليلها وتصحيحها والتحقق منها في شركة إيروغلو للتريكو (EMS)، وذلك لضمان فعالية النظام ومنع التكرار.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التدقيق الداخلي وفق ISO 9001 وISO 14001 وISO 45001 ومتطلبات الامتثال الاجتماعي، وحالات عدم المطابقة الناتجة عن التدقيق (الداخلي وتدقيق العملاء والطرف الثاني والطرف الثالث) وشكاوى العملاء وإخفاقات العمليات والمنتجات والحوادث وعدم الامتثال القانوني.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برنامج التدقيق السنوي ويوفر الموارد اللازمة للإجراءات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w:t>
      </w:r>
      <w:r>
        <w:rPr>
          <w:rFonts w:ascii="Calibri" w:hAnsi="Calibri" w:cs="Arial"/>
          <w:rtl/>
          <w:sz w:val="24"/>
          <w:szCs w:val="24"/>
        </w:rPr>
        <w:t xml:space="preserve"> يعد برنامج التدقيق ويكلف المدققين ويحتفظ بسجل عدم المطابقة والإجراءات التصحيحية ويتابع الإجراءات حتى إغلاقها.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المدققون الداخليون:</w:t>
      </w:r>
      <w:r>
        <w:rPr>
          <w:rFonts w:ascii="Calibri" w:hAnsi="Calibri" w:cs="Arial"/>
          <w:rtl/>
          <w:sz w:val="24"/>
          <w:szCs w:val="24"/>
        </w:rPr>
        <w:t xml:space="preserve"> يخططون للتدقيق وينفذونه بحياد، ويسجلون الملاحظات بأدلة موضوعية، ويتحققون من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التدقيق، ويحللون الأسباب الجذرية، وينفذون الإجراءات التصحيحية في مناطقهم في المواعيد المتفق عليها.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w:t>
      </w:r>
      <w:r>
        <w:rPr>
          <w:rFonts w:ascii="Calibri" w:hAnsi="Calibri" w:cs="Arial"/>
          <w:rtl/>
          <w:sz w:val="24"/>
          <w:szCs w:val="24"/>
        </w:rPr>
        <w:t xml:space="preserve"> عدم استيفاء متطلب (معياري أو قانوني أو خاص بالعميل أو 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التصحيح:</w:t>
      </w:r>
      <w:r>
        <w:rPr>
          <w:rFonts w:ascii="Calibri" w:hAnsi="Calibri" w:cs="Arial"/>
          <w:rtl/>
          <w:sz w:val="24"/>
          <w:szCs w:val="24"/>
        </w:rPr>
        <w:t xml:space="preserve"> إجراء فوري يُتخذ لإزالة حالة عدم مطابقة مكتشفة.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w:t>
      </w:r>
      <w:r>
        <w:rPr>
          <w:rFonts w:ascii="Calibri" w:hAnsi="Calibri" w:cs="Arial"/>
          <w:rtl/>
          <w:sz w:val="24"/>
          <w:szCs w:val="24"/>
        </w:rPr>
        <w:t xml:space="preserve"> إجراء يُتخذ لإزالة السبب الجذري لعدم المطابقة ومنع تكرارها.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الملاحظة / فرصة التحسين:</w:t>
      </w:r>
      <w:r>
        <w:rPr>
          <w:rFonts w:ascii="Calibri" w:hAnsi="Calibri" w:cs="Arial"/>
          <w:rtl/>
          <w:sz w:val="24"/>
          <w:szCs w:val="24"/>
        </w:rPr>
        <w:t xml:space="preserve"> نتيجة لا تُعد عدم مطابقة لكنها قد تصبح كذلك أو قد تحسن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برنامج التدقيق</w:t>
      </w:r>
    </w:p>
    <w:p>
      <w:pPr>
        <w:pStyle w:val="ListeParagraf"/>
        <w:bidi/>
        <w:spacing w:after="80"/>
        <w:ind w:left="0" w:right="709"/>
        <w:jc w:val="both"/>
      </w:pPr>
      <w:r>
        <w:rPr>
          <w:rFonts w:ascii="Calibri" w:hAnsi="Calibri" w:cs="Arial"/>
          <w:rtl/>
          <w:sz w:val="24"/>
          <w:szCs w:val="24"/>
        </w:rPr>
        <w:t xml:space="preserve">1.1. في بداية كل عام يعد منسق نظام الإدارة برنامج تدقيق سنويًا بحيث تُدقق كل عملية وكل وردية مرة واحدة سنويًا على الأقل.</w:t>
      </w:r>
    </w:p>
    <w:p>
      <w:pPr>
        <w:pStyle w:val="ListeParagraf"/>
        <w:bidi/>
        <w:spacing w:after="80"/>
        <w:ind w:left="0" w:right="709"/>
        <w:jc w:val="both"/>
      </w:pPr>
      <w:r>
        <w:rPr>
          <w:rFonts w:ascii="Calibri" w:hAnsi="Calibri" w:cs="Arial"/>
          <w:rtl/>
          <w:sz w:val="24"/>
          <w:szCs w:val="24"/>
        </w:rPr>
        <w:t xml:space="preserve">1.2. تُدقق العمليات ذات المخاطر العالية أو التي سبق فيها عدم مطابقة أو شكاوى عملاء بتكرار أكبر.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كفاءة المدققين</w:t>
      </w:r>
    </w:p>
    <w:p>
      <w:pPr>
        <w:pStyle w:val="ListeParagraf"/>
        <w:bidi/>
        <w:spacing w:after="80"/>
        <w:ind w:left="0" w:right="709"/>
        <w:jc w:val="both"/>
      </w:pPr>
      <w:r>
        <w:rPr>
          <w:rFonts w:ascii="Calibri" w:hAnsi="Calibri" w:cs="Arial"/>
          <w:rtl/>
          <w:sz w:val="24"/>
          <w:szCs w:val="24"/>
        </w:rPr>
        <w:t xml:space="preserve">2.1. يُدرب المدققون الداخليون على ISO 9001 وISO 14001 وISO 45001 وأساليب التدقيق، وتُحفظ قائمة المدققين المؤهلين.</w:t>
      </w:r>
    </w:p>
    <w:p>
      <w:pPr>
        <w:pStyle w:val="ListeParagraf"/>
        <w:bidi/>
        <w:spacing w:after="80"/>
        <w:ind w:left="0" w:right="709"/>
        <w:jc w:val="both"/>
      </w:pPr>
      <w:r>
        <w:rPr>
          <w:rFonts w:ascii="Calibri" w:hAnsi="Calibri" w:cs="Arial"/>
          <w:rtl/>
          <w:sz w:val="24"/>
          <w:szCs w:val="24"/>
        </w:rPr>
        <w:t xml:space="preserve">2.2. لا يدقق المدققون عملهم أو أقسامهم، لضمان الموضوعية والحياد.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التدقيق</w:t>
      </w:r>
    </w:p>
    <w:p>
      <w:pPr>
        <w:pStyle w:val="ListeParagraf"/>
        <w:bidi/>
        <w:spacing w:after="80"/>
        <w:ind w:left="0" w:right="709"/>
        <w:jc w:val="both"/>
      </w:pPr>
      <w:r>
        <w:rPr>
          <w:rFonts w:ascii="Calibri" w:hAnsi="Calibri" w:cs="Arial"/>
          <w:rtl/>
          <w:sz w:val="24"/>
          <w:szCs w:val="24"/>
        </w:rPr>
        <w:t xml:space="preserve">3.1. تُرسل خطة التدقيق (التاريخ والنطاق والمعايير والمدققون) إلى القسم الخاضع للتدقيق قبل أسبوع على الأقل من موعد التدقيق.</w:t>
      </w:r>
    </w:p>
    <w:p>
      <w:pPr>
        <w:pStyle w:val="ListeParagraf"/>
        <w:bidi/>
        <w:spacing w:after="80"/>
        <w:ind w:left="0" w:right="709"/>
        <w:jc w:val="both"/>
      </w:pPr>
      <w:r>
        <w:rPr>
          <w:rFonts w:ascii="Calibri" w:hAnsi="Calibri" w:cs="Arial"/>
          <w:rtl/>
          <w:sz w:val="24"/>
          <w:szCs w:val="24"/>
        </w:rPr>
        <w:t xml:space="preserve">3.2. يبدأ التدقيق باجتماع افتتاحي، وتُجمع الأدلة من خلال المقابلات والملاحظة ومراجعة السجلات، بما في ذلك في أرضية الإنتاج.</w:t>
      </w:r>
    </w:p>
    <w:p>
      <w:pPr>
        <w:pStyle w:val="ListeParagraf"/>
        <w:bidi/>
        <w:spacing w:after="80"/>
        <w:ind w:left="0" w:right="709"/>
        <w:jc w:val="both"/>
      </w:pPr>
      <w:r>
        <w:rPr>
          <w:rFonts w:ascii="Calibri" w:hAnsi="Calibri" w:cs="Arial"/>
          <w:rtl/>
          <w:sz w:val="24"/>
          <w:szCs w:val="24"/>
        </w:rPr>
        <w:t xml:space="preserve">3.3. في الاجتماع الختامي تُشرح الملاحظات وتُصنف إلى عدم مطابقة كبرى أو عدم مطابقة صغرى أو ملاحظة.</w:t>
      </w:r>
    </w:p>
    <w:p>
      <w:pPr>
        <w:pStyle w:val="ListeParagraf"/>
        <w:bidi/>
        <w:spacing w:after="80"/>
        <w:ind w:left="0" w:right="709"/>
        <w:jc w:val="both"/>
      </w:pPr>
      <w:r>
        <w:rPr>
          <w:rFonts w:ascii="Calibri" w:hAnsi="Calibri" w:cs="Arial"/>
          <w:rtl/>
          <w:sz w:val="24"/>
          <w:szCs w:val="24"/>
        </w:rPr>
        <w:t xml:space="preserve">3.4. يُصدر تقرير التدقيق خلال 5 أيام عمل، وتُدخل حالات عدم المطابقة في سجل 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عدم المطابقة والإجراء التصحيحي</w:t>
      </w:r>
    </w:p>
    <w:p>
      <w:pPr>
        <w:pStyle w:val="ListeParagraf"/>
        <w:bidi/>
        <w:spacing w:after="80"/>
        <w:ind w:left="0" w:right="709"/>
        <w:jc w:val="both"/>
      </w:pPr>
      <w:r>
        <w:rPr>
          <w:rFonts w:ascii="Calibri" w:hAnsi="Calibri" w:cs="Arial"/>
          <w:rtl/>
          <w:sz w:val="24"/>
          <w:szCs w:val="24"/>
        </w:rPr>
        <w:t xml:space="preserve">4.1. يبلغ أي موظف يكتشف عدم مطابقة مديره، وتُسجل في نموذج عدم المطابقة والإجراء التصحيحي (تُعالج حالات عدم مطابقة المنتج وفق EMS.QA.PRO.02.06.).</w:t>
      </w:r>
    </w:p>
    <w:p>
      <w:pPr>
        <w:pStyle w:val="ListeParagraf"/>
        <w:bidi/>
        <w:spacing w:after="80"/>
        <w:ind w:left="0" w:right="709"/>
        <w:jc w:val="both"/>
      </w:pPr>
      <w:r>
        <w:rPr>
          <w:rFonts w:ascii="Calibri" w:hAnsi="Calibri" w:cs="Arial"/>
          <w:rtl/>
          <w:sz w:val="24"/>
          <w:szCs w:val="24"/>
        </w:rPr>
        <w:t xml:space="preserve">4.2. يتخذ القسم المسؤول التصحيح فورًا للتحكم في الأثر.</w:t>
      </w:r>
    </w:p>
    <w:p>
      <w:pPr>
        <w:pStyle w:val="ListeParagraf"/>
        <w:bidi/>
        <w:spacing w:after="80"/>
        <w:ind w:left="0" w:right="709"/>
        <w:jc w:val="both"/>
      </w:pPr>
      <w:r>
        <w:rPr>
          <w:rFonts w:ascii="Calibri" w:hAnsi="Calibri" w:cs="Arial"/>
          <w:rtl/>
          <w:sz w:val="24"/>
          <w:szCs w:val="24"/>
        </w:rPr>
        <w:t xml:space="preserve">4.3. يُحلل السبب الجذري باستخدام أساليب مثل لماذا الخمس أو مخطط عظم السمكة، وتُعد خطة إجراء تصحيحي تحدد المسؤولين والمواعيد المستهدفة.</w:t>
      </w:r>
    </w:p>
    <w:p>
      <w:pPr>
        <w:pStyle w:val="ListeParagraf"/>
        <w:bidi/>
        <w:spacing w:after="80"/>
        <w:ind w:left="0" w:right="709"/>
        <w:jc w:val="both"/>
      </w:pPr>
      <w:r>
        <w:rPr>
          <w:rFonts w:ascii="Calibri" w:hAnsi="Calibri" w:cs="Arial"/>
          <w:rtl/>
          <w:sz w:val="24"/>
          <w:szCs w:val="24"/>
        </w:rPr>
        <w:t xml:space="preserve">4.4. المواعيد المستهدفة: حالات عدم المطابقة الكبرى خلال 30 يومًا، والصغرى خلال 60 يومًا، ما لم يحدد العميل أو متطلبات الشهادة مدة أقصر.</w:t>
      </w:r>
    </w:p>
    <w:p>
      <w:pPr>
        <w:pStyle w:val="ListeParagraf"/>
        <w:bidi/>
        <w:spacing w:after="80"/>
        <w:ind w:left="0" w:right="709"/>
        <w:jc w:val="both"/>
      </w:pPr>
      <w:r>
        <w:rPr>
          <w:rFonts w:ascii="Calibri" w:hAnsi="Calibri" w:cs="Arial"/>
          <w:rtl/>
          <w:sz w:val="24"/>
          <w:szCs w:val="24"/>
        </w:rPr>
        <w:t xml:space="preserve">4.5. عند الحاجة تُحدث تقييمات المخاطر والوثائق والتدريب كجزء من 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بعد الموعد المستهدف يتحقق المدقق أو منسق نظام الإدارة من تنفيذ الإجراء وفعاليته.</w:t>
      </w:r>
    </w:p>
    <w:p>
      <w:pPr>
        <w:pStyle w:val="ListeParagraf"/>
        <w:bidi/>
        <w:spacing w:after="80"/>
        <w:ind w:left="0" w:right="709"/>
        <w:jc w:val="both"/>
      </w:pPr>
      <w:r>
        <w:rPr>
          <w:rFonts w:ascii="Calibri" w:hAnsi="Calibri" w:cs="Arial"/>
          <w:rtl/>
          <w:sz w:val="24"/>
          <w:szCs w:val="24"/>
        </w:rPr>
        <w:t xml:space="preserve">5.2. إذا لم يكن الإجراء فعالًا تبقى حالة عدم المطابقة مفتوحة، ويُجرى تحليل جديد وتُعد خطة إجراء جديدة.</w:t>
      </w:r>
    </w:p>
    <w:p>
      <w:pPr>
        <w:pStyle w:val="ListeParagraf"/>
        <w:bidi/>
        <w:spacing w:after="80"/>
        <w:ind w:left="0" w:right="709"/>
        <w:jc w:val="both"/>
      </w:pPr>
      <w:r>
        <w:rPr>
          <w:rFonts w:ascii="Calibri" w:hAnsi="Calibri" w:cs="Arial"/>
          <w:rtl/>
          <w:sz w:val="24"/>
          <w:szCs w:val="24"/>
        </w:rPr>
        <w:t xml:space="preserve">5.3. تُعرض المؤشرات التالية في مراجعة الإدارة: نسبة تنفيذ برنامج التدقيق (%)، وعدد حالات عدم المطابقة حسب العملية، ونسبة الإجراءات التصحيحية المغلقة في موعدها (%)، وحالات عدم المطابقة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برنامج التدقيق الداخلي السنوي وخطط التدقيق</w:t>
      </w:r>
    </w:p>
    <w:p>
      <w:pPr>
        <w:pStyle w:val="ListeParagraf"/>
        <w:numPr>
          <w:ilvl w:val="0"/>
          <w:numId w:val="1"/>
        </w:numPr>
        <w:bidi/>
        <w:spacing w:after="60"/>
        <w:jc w:val="both"/>
      </w:pPr>
      <w:r>
        <w:rPr>
          <w:rFonts w:ascii="Calibri" w:hAnsi="Calibri" w:cs="Arial"/>
          <w:rtl/>
          <w:sz w:val="24"/>
          <w:szCs w:val="24"/>
        </w:rPr>
        <w:t xml:space="preserve">تقارير التدقيق الداخلي وقائمة المدققين المؤهلين</w:t>
      </w:r>
    </w:p>
    <w:p>
      <w:pPr>
        <w:pStyle w:val="ListeParagraf"/>
        <w:numPr>
          <w:ilvl w:val="0"/>
          <w:numId w:val="1"/>
        </w:numPr>
        <w:bidi/>
        <w:spacing w:after="60"/>
        <w:jc w:val="both"/>
      </w:pPr>
      <w:r>
        <w:rPr>
          <w:rFonts w:ascii="Calibri" w:hAnsi="Calibri" w:cs="Arial"/>
          <w:rtl/>
          <w:sz w:val="24"/>
          <w:szCs w:val="24"/>
        </w:rPr>
        <w:t xml:space="preserve">نموذج وسجل 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 OHS SP13 إجراء التدقيق الداخلي للسلامة والصحة المهنية وSP14 إجراء مراجعة الإدارة</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نظام الإدارة. وتُقيّم نتائج التدقيق الخارجي ومراجعة الإدارة واقتراحات المدققين والأقسام،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INTERNAL AUDIT, NONCONFORMITY AND CORRECTIVE ACTION PROCEDURE</w:t>
          </w:r>
        </w:p>
        <w:p>
          <w:pPr>
            <w:pStyle w:val="GvdeMetni2"/>
            <w:bidi/>
            <w:spacing w:line="276" w:lineRule="auto"/>
            <w:jc w:val="center"/>
          </w:pPr>
          <w:r>
            <w:rPr>
              <w:rFonts w:asciiTheme="minorHAnsi" w:hAnsiTheme="minorHAnsi" w:cs="Arial"/>
              <w:b/>
              <w:bCs/>
              <w:color w:val="000000" w:themeColor="text1"/>
              <w:sz w:val="22"/>
              <w:szCs w:val="22"/>
              <w:rtl/>
            </w:rPr>
            <w:t>إجراء التدقيق الداخلي وعدم المطابقة والإجراءات التصحيحية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EMS.YS.PRO.11.02. INTERNAL AUDIT, NONCONFORMITY AND CORRECTIVE ACTION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