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jc w:val="both"/>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defines how organic product trolleys, also called transport trolleys, are marked, numbered, used, cleaned and recorded so that organic material is never mixed with conventional material while it moves between areas.</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It applies to all trolleys, carts and pallet trucks used to carry organic material, in all fifteen organic production areas, and to everyone who uses them.</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Area Supervisors:</w:t>
      </w:r>
      <w:r>
        <w:rPr>
          <w:rFonts w:ascii="Calibri" w:hAnsi="Calibri" w:cs="Arial"/>
          <w:sz w:val="24"/>
          <w:szCs w:val="24"/>
        </w:rPr>
        <w:t xml:space="preserve"> Keep the trolleys of their area numbered, tagged and clean, and make sure the traveller card stays with the product.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Coordinator:</w:t>
      </w:r>
      <w:r>
        <w:rPr>
          <w:rFonts w:ascii="Calibri" w:hAnsi="Calibri" w:cs="Arial"/>
          <w:sz w:val="24"/>
          <w:szCs w:val="24"/>
        </w:rPr>
        <w:t xml:space="preserve"> Issues the trolley plates, tags and traveller cards, checks the records and follows up findings.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 and Handlers:</w:t>
      </w:r>
      <w:r>
        <w:rPr>
          <w:rFonts w:ascii="Calibri" w:hAnsi="Calibri" w:cs="Arial"/>
          <w:sz w:val="24"/>
          <w:szCs w:val="24"/>
        </w:rPr>
        <w:t xml:space="preserve"> Use the right trolley, fill in the tag and the traveller card, and report any doubt at once.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Organic product trolley / transport trolley:</w:t>
      </w:r>
      <w:r>
        <w:rPr>
          <w:rFonts w:ascii="Calibri" w:hAnsi="Calibri" w:cs="Arial"/>
          <w:sz w:val="24"/>
          <w:szCs w:val="24"/>
        </w:rPr>
        <w:t xml:space="preserve"> A numbered green trolley used only for GOTS or OCS organic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Trolley tag:</w:t>
      </w:r>
      <w:r>
        <w:rPr>
          <w:rFonts w:ascii="Calibri" w:hAnsi="Calibri" w:cs="Arial"/>
          <w:sz w:val="24"/>
          <w:szCs w:val="24"/>
        </w:rPr>
        <w:t xml:space="preserve"> The hanging card with trolley number, area, order, lot, TC number, date and name.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Traveller card:</w:t>
      </w:r>
      <w:r>
        <w:rPr>
          <w:rFonts w:ascii="Calibri" w:hAnsi="Calibri" w:cs="Arial"/>
          <w:sz w:val="24"/>
          <w:szCs w:val="24"/>
        </w:rPr>
        <w:t xml:space="preserve"> The card that travels with the product through all areas and records entry, exit and loss (EMS.OR.FRM.21.24).</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INSTRUCTIONS</w:t>
      </w:r>
    </w:p>
    <w:p>
      <w:pPr>
        <w:pStyle w:val="ListeParagraf"/>
        <w:spacing w:before="120" w:after="60"/>
        <w:ind w:left="709" w:right="0"/>
        <w:jc w:val="both"/>
      </w:pPr>
      <w:r>
        <w:rPr>
          <w:rFonts w:ascii="Calibri" w:hAnsi="Calibri" w:cs="Arial"/>
          <w:b/>
          <w:bCs/>
          <w:sz w:val="24"/>
          <w:szCs w:val="24"/>
        </w:rPr>
        <w:t xml:space="preserve">1. COLOUR CODE AND NUMBERING</w:t>
      </w:r>
    </w:p>
    <w:p>
      <w:pPr>
        <w:pStyle w:val="ListeParagraf"/>
        <w:spacing w:after="80"/>
        <w:ind w:left="709" w:right="0"/>
        <w:jc w:val="both"/>
      </w:pPr>
      <w:r>
        <w:rPr>
          <w:rFonts w:ascii="Calibri" w:hAnsi="Calibri" w:cs="Arial"/>
          <w:sz w:val="24"/>
          <w:szCs w:val="24"/>
        </w:rPr>
        <w:t xml:space="preserve">1.1. Green trolley plate: organic product trolley / transport trolley, numbered 01 to 30.</w:t>
      </w:r>
    </w:p>
    <w:p>
      <w:pPr>
        <w:pStyle w:val="ListeParagraf"/>
        <w:spacing w:after="80"/>
        <w:ind w:left="709" w:right="0"/>
        <w:jc w:val="both"/>
      </w:pPr>
      <w:r>
        <w:rPr>
          <w:rFonts w:ascii="Calibri" w:hAnsi="Calibri" w:cs="Arial"/>
          <w:sz w:val="24"/>
          <w:szCs w:val="24"/>
        </w:rPr>
        <w:t xml:space="preserve">1.2. Blue plate: conventional trolley. It never enters the organic area.</w:t>
      </w:r>
    </w:p>
    <w:p>
      <w:pPr>
        <w:pStyle w:val="ListeParagraf"/>
        <w:spacing w:after="80"/>
        <w:ind w:left="709" w:right="0"/>
        <w:jc w:val="both"/>
      </w:pPr>
      <w:r>
        <w:rPr>
          <w:rFonts w:ascii="Calibri" w:hAnsi="Calibri" w:cs="Arial"/>
          <w:sz w:val="24"/>
          <w:szCs w:val="24"/>
        </w:rPr>
        <w:t xml:space="preserve">1.3. Yellow plate: holding / quarantine trolley for unlabelled or doubtful material.</w:t>
      </w:r>
    </w:p>
    <w:p>
      <w:pPr>
        <w:pStyle w:val="ListeParagraf"/>
        <w:spacing w:after="80"/>
        <w:ind w:left="709" w:right="0"/>
        <w:jc w:val="both"/>
      </w:pPr>
      <w:r>
        <w:rPr>
          <w:rFonts w:ascii="Calibri" w:hAnsi="Calibri" w:cs="Arial"/>
          <w:sz w:val="24"/>
          <w:szCs w:val="24"/>
        </w:rPr>
        <w:t xml:space="preserve">1.4. Red plate: nonconforming / blocked trolley. Its content is never sold or used as organic.</w:t>
      </w:r>
    </w:p>
    <w:p>
      <w:pPr>
        <w:pStyle w:val="ListeParagraf"/>
        <w:spacing w:before="120" w:after="60"/>
        <w:ind w:left="709" w:right="0"/>
        <w:jc w:val="both"/>
      </w:pPr>
      <w:r>
        <w:rPr>
          <w:rFonts w:ascii="Calibri" w:hAnsi="Calibri" w:cs="Arial"/>
          <w:b/>
          <w:bCs/>
          <w:sz w:val="24"/>
          <w:szCs w:val="24"/>
        </w:rPr>
        <w:t xml:space="preserve">2. BEFORE USE</w:t>
      </w:r>
    </w:p>
    <w:p>
      <w:pPr>
        <w:pStyle w:val="ListeParagraf"/>
        <w:spacing w:after="80"/>
        <w:ind w:left="709" w:right="0"/>
        <w:jc w:val="both"/>
      </w:pPr>
      <w:r>
        <w:rPr>
          <w:rFonts w:ascii="Calibri" w:hAnsi="Calibri" w:cs="Arial"/>
          <w:sz w:val="24"/>
          <w:szCs w:val="24"/>
        </w:rPr>
        <w:t xml:space="preserve">2.1. Check the plate and the number. Do not use a trolley without a plate.</w:t>
      </w:r>
    </w:p>
    <w:p>
      <w:pPr>
        <w:pStyle w:val="ListeParagraf"/>
        <w:spacing w:after="80"/>
        <w:ind w:left="709" w:right="0"/>
        <w:jc w:val="both"/>
      </w:pPr>
      <w:r>
        <w:rPr>
          <w:rFonts w:ascii="Calibri" w:hAnsi="Calibri" w:cs="Arial"/>
          <w:sz w:val="24"/>
          <w:szCs w:val="24"/>
        </w:rPr>
        <w:t xml:space="preserve">2.2. Check that the trolley is empty and clean: no conventional fibre, fabric, label or dust. Clean it if needed and record it on EMS.OR.FRM.21.25.</w:t>
      </w:r>
    </w:p>
    <w:p>
      <w:pPr>
        <w:pStyle w:val="ListeParagraf"/>
        <w:spacing w:after="80"/>
        <w:ind w:left="709" w:right="0"/>
        <w:jc w:val="both"/>
      </w:pPr>
      <w:r>
        <w:rPr>
          <w:rFonts w:ascii="Calibri" w:hAnsi="Calibri" w:cs="Arial"/>
          <w:sz w:val="24"/>
          <w:szCs w:val="24"/>
        </w:rPr>
        <w:t xml:space="preserve">2.3. Fill in the trolley tag: trolley number, area, order and customer, organic lot and TC number, date and name.</w:t>
      </w:r>
    </w:p>
    <w:p>
      <w:pPr>
        <w:pStyle w:val="ListeParagraf"/>
        <w:spacing w:before="120" w:after="60"/>
        <w:ind w:left="709" w:right="0"/>
        <w:jc w:val="both"/>
      </w:pPr>
      <w:r>
        <w:rPr>
          <w:rFonts w:ascii="Calibri" w:hAnsi="Calibri" w:cs="Arial"/>
          <w:b/>
          <w:bCs/>
          <w:sz w:val="24"/>
          <w:szCs w:val="24"/>
        </w:rPr>
        <w:t xml:space="preserve">3. DURING USE</w:t>
      </w:r>
    </w:p>
    <w:p>
      <w:pPr>
        <w:pStyle w:val="ListeParagraf"/>
        <w:spacing w:after="80"/>
        <w:ind w:left="709" w:right="0"/>
        <w:jc w:val="both"/>
      </w:pPr>
      <w:r>
        <w:rPr>
          <w:rFonts w:ascii="Calibri" w:hAnsi="Calibri" w:cs="Arial"/>
          <w:sz w:val="24"/>
          <w:szCs w:val="24"/>
        </w:rPr>
        <w:t xml:space="preserve">3.1. Carry only one organic lot at a time, or separate lots clearly with a green divider.</w:t>
      </w:r>
    </w:p>
    <w:p>
      <w:pPr>
        <w:pStyle w:val="ListeParagraf"/>
        <w:spacing w:after="80"/>
        <w:ind w:left="709" w:right="0"/>
        <w:jc w:val="both"/>
      </w:pPr>
      <w:r>
        <w:rPr>
          <w:rFonts w:ascii="Calibri" w:hAnsi="Calibri" w:cs="Arial"/>
          <w:sz w:val="24"/>
          <w:szCs w:val="24"/>
        </w:rPr>
        <w:t xml:space="preserve">3.2. Attach the traveller card to the trolley or product and record entry and exit at every area.</w:t>
      </w:r>
    </w:p>
    <w:p>
      <w:pPr>
        <w:pStyle w:val="ListeParagraf"/>
        <w:spacing w:after="80"/>
        <w:ind w:left="709" w:right="0"/>
        <w:jc w:val="both"/>
      </w:pPr>
      <w:r>
        <w:rPr>
          <w:rFonts w:ascii="Calibri" w:hAnsi="Calibri" w:cs="Arial"/>
          <w:sz w:val="24"/>
          <w:szCs w:val="24"/>
        </w:rPr>
        <w:t xml:space="preserve">3.3. Keep the material covered and off the floor; do not leave the trolley in a conventional area.</w:t>
      </w:r>
    </w:p>
    <w:p>
      <w:pPr>
        <w:pStyle w:val="ListeParagraf"/>
        <w:spacing w:before="120" w:after="60"/>
        <w:ind w:left="709" w:right="0"/>
        <w:jc w:val="both"/>
      </w:pPr>
      <w:r>
        <w:rPr>
          <w:rFonts w:ascii="Calibri" w:hAnsi="Calibri" w:cs="Arial"/>
          <w:b/>
          <w:bCs/>
          <w:sz w:val="24"/>
          <w:szCs w:val="24"/>
        </w:rPr>
        <w:t xml:space="preserve">4. CLEANING AND CHANGEOVER</w:t>
      </w:r>
    </w:p>
    <w:p>
      <w:pPr>
        <w:pStyle w:val="ListeParagraf"/>
        <w:spacing w:after="80"/>
        <w:ind w:left="709" w:right="0"/>
        <w:jc w:val="both"/>
      </w:pPr>
      <w:r>
        <w:rPr>
          <w:rFonts w:ascii="Calibri" w:hAnsi="Calibri" w:cs="Arial"/>
          <w:sz w:val="24"/>
          <w:szCs w:val="24"/>
        </w:rPr>
        <w:t xml:space="preserve">4.1. When a trolley changes from conventional to organic use, or after any spill or contamination, clean it as in EMS.OR.TL.21.02 and record it.</w:t>
      </w:r>
    </w:p>
    <w:p>
      <w:pPr>
        <w:pStyle w:val="ListeParagraf"/>
        <w:spacing w:after="80"/>
        <w:ind w:left="709" w:right="0"/>
        <w:jc w:val="both"/>
      </w:pPr>
      <w:r>
        <w:rPr>
          <w:rFonts w:ascii="Calibri" w:hAnsi="Calibri" w:cs="Arial"/>
          <w:sz w:val="24"/>
          <w:szCs w:val="24"/>
        </w:rPr>
        <w:t xml:space="preserve">4.2. Clean organic trolleys at least once a week and at every lot change.</w:t>
      </w:r>
    </w:p>
    <w:p>
      <w:pPr>
        <w:pStyle w:val="ListeParagraf"/>
        <w:spacing w:before="120" w:after="60"/>
        <w:ind w:left="709" w:right="0"/>
        <w:jc w:val="both"/>
      </w:pPr>
      <w:r>
        <w:rPr>
          <w:rFonts w:ascii="Calibri" w:hAnsi="Calibri" w:cs="Arial"/>
          <w:b/>
          <w:bCs/>
          <w:sz w:val="24"/>
          <w:szCs w:val="24"/>
        </w:rPr>
        <w:t xml:space="preserve">5. PROHIBITIONS</w:t>
      </w:r>
    </w:p>
    <w:p>
      <w:pPr>
        <w:pStyle w:val="ListeParagraf"/>
        <w:numPr>
          <w:ilvl w:val="0"/>
          <w:numId w:val="1"/>
        </w:numPr>
        <w:spacing w:after="60"/>
        <w:jc w:val="both"/>
      </w:pPr>
      <w:r>
        <w:rPr>
          <w:rFonts w:ascii="Calibri" w:hAnsi="Calibri" w:cs="Arial"/>
          <w:sz w:val="24"/>
          <w:szCs w:val="24"/>
        </w:rPr>
        <w:t xml:space="preserve">Do not carry conventional material on an organic trolley, or organic material on a blue trolley.</w:t>
      </w:r>
    </w:p>
    <w:p>
      <w:pPr>
        <w:pStyle w:val="ListeParagraf"/>
        <w:numPr>
          <w:ilvl w:val="0"/>
          <w:numId w:val="1"/>
        </w:numPr>
        <w:spacing w:after="60"/>
        <w:jc w:val="both"/>
      </w:pPr>
      <w:r>
        <w:rPr>
          <w:rFonts w:ascii="Calibri" w:hAnsi="Calibri" w:cs="Arial"/>
          <w:sz w:val="24"/>
          <w:szCs w:val="24"/>
        </w:rPr>
        <w:t xml:space="preserve">Do not remove, cover or swap the trolley plate or tag.</w:t>
      </w:r>
    </w:p>
    <w:p>
      <w:pPr>
        <w:pStyle w:val="ListeParagraf"/>
        <w:numPr>
          <w:ilvl w:val="0"/>
          <w:numId w:val="1"/>
        </w:numPr>
        <w:spacing w:after="60"/>
        <w:jc w:val="both"/>
      </w:pPr>
      <w:r>
        <w:rPr>
          <w:rFonts w:ascii="Calibri" w:hAnsi="Calibri" w:cs="Arial"/>
          <w:sz w:val="24"/>
          <w:szCs w:val="24"/>
        </w:rPr>
        <w:t xml:space="preserve">Do not take an organic trolley out of the organic route without the OCS Coordinator.</w:t>
      </w:r>
    </w:p>
    <w:p>
      <w:pPr>
        <w:pStyle w:val="ListeParagraf"/>
        <w:spacing w:before="120" w:after="60"/>
        <w:ind w:left="709" w:right="0"/>
        <w:jc w:val="both"/>
      </w:pPr>
      <w:r>
        <w:rPr>
          <w:rFonts w:ascii="Calibri" w:hAnsi="Calibri" w:cs="Arial"/>
          <w:b/>
          <w:bCs/>
          <w:sz w:val="24"/>
          <w:szCs w:val="24"/>
        </w:rPr>
        <w:t xml:space="preserve">6. IN CASE OF PROBLEM</w:t>
      </w:r>
    </w:p>
    <w:p>
      <w:pPr>
        <w:pStyle w:val="ListeParagraf"/>
        <w:spacing w:after="80"/>
        <w:ind w:left="709" w:right="0"/>
        <w:jc w:val="both"/>
      </w:pPr>
      <w:r>
        <w:rPr>
          <w:rFonts w:ascii="Calibri" w:hAnsi="Calibri" w:cs="Arial"/>
          <w:sz w:val="24"/>
          <w:szCs w:val="24"/>
        </w:rPr>
        <w:t xml:space="preserve">6.1. If a trolley has no plate, tag or card, or mixing is suspected, stop, move the trolley to the yellow area and inform the OCS Coordinator.</w:t>
      </w:r>
    </w:p>
    <w:p>
      <w:pPr>
        <w:pStyle w:val="ListeParagraf"/>
        <w:spacing w:after="80"/>
        <w:ind w:left="709" w:right="0"/>
        <w:jc w:val="both"/>
      </w:pPr>
      <w:r>
        <w:rPr>
          <w:rFonts w:ascii="Calibri" w:hAnsi="Calibri" w:cs="Arial"/>
          <w:sz w:val="24"/>
          <w:szCs w:val="24"/>
        </w:rPr>
        <w:t xml:space="preserve">6.2. Complete the Organic Nonconforming Product and Hold Notice (EMS.OR.FRM.21.23).</w:t>
      </w:r>
    </w:p>
    <w:p>
      <w:pPr>
        <w:pStyle w:val="ListeParagraf"/>
        <w:spacing w:before="120" w:after="60"/>
        <w:ind w:left="709" w:right="0"/>
        <w:jc w:val="both"/>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EMS.OR.POL.21.01. Organic Content Policy</w:t>
      </w:r>
    </w:p>
    <w:p>
      <w:pPr>
        <w:pStyle w:val="ListeParagraf"/>
        <w:numPr>
          <w:ilvl w:val="0"/>
          <w:numId w:val="1"/>
        </w:numPr>
        <w:spacing w:after="60"/>
        <w:jc w:val="both"/>
      </w:pPr>
      <w:r>
        <w:rPr>
          <w:rFonts w:ascii="Calibri" w:hAnsi="Calibri" w:cs="Arial"/>
          <w:sz w:val="24"/>
          <w:szCs w:val="24"/>
        </w:rPr>
        <w:t xml:space="preserve">EMS.OR.PRO.21.01. OCS Material Handling, Segregation and Traceability Procedure</w:t>
      </w:r>
    </w:p>
    <w:p>
      <w:pPr>
        <w:pStyle w:val="ListeParagraf"/>
        <w:numPr>
          <w:ilvl w:val="0"/>
          <w:numId w:val="1"/>
        </w:numPr>
        <w:spacing w:after="60"/>
        <w:jc w:val="both"/>
      </w:pPr>
      <w:r>
        <w:rPr>
          <w:rFonts w:ascii="Calibri" w:hAnsi="Calibri" w:cs="Arial"/>
          <w:sz w:val="24"/>
          <w:szCs w:val="24"/>
        </w:rPr>
        <w:t xml:space="preserve">EMS.OR.PRO.21.02. Organic Production Area Segregation and Visual Identification Procedure</w:t>
      </w:r>
    </w:p>
    <w:p>
      <w:pPr>
        <w:pStyle w:val="ListeParagraf"/>
        <w:numPr>
          <w:ilvl w:val="0"/>
          <w:numId w:val="1"/>
        </w:numPr>
        <w:spacing w:after="60"/>
        <w:jc w:val="both"/>
      </w:pPr>
      <w:r>
        <w:rPr>
          <w:rFonts w:ascii="Calibri" w:hAnsi="Calibri" w:cs="Arial"/>
          <w:sz w:val="24"/>
          <w:szCs w:val="24"/>
        </w:rPr>
        <w:t xml:space="preserve">EMS.OR.TL.21.01. Organic Product Identification and Labelling Instruction</w:t>
      </w:r>
    </w:p>
    <w:p>
      <w:pPr>
        <w:pStyle w:val="ListeParagraf"/>
        <w:numPr>
          <w:ilvl w:val="0"/>
          <w:numId w:val="1"/>
        </w:numPr>
        <w:spacing w:after="60"/>
        <w:jc w:val="both"/>
      </w:pPr>
      <w:r>
        <w:rPr>
          <w:rFonts w:ascii="Calibri" w:hAnsi="Calibri" w:cs="Arial"/>
          <w:sz w:val="24"/>
          <w:szCs w:val="24"/>
        </w:rPr>
        <w:t xml:space="preserve">EMS.OR.TL.21.02. Organic Area Changeover and Line Clearance Cleaning Instruction</w:t>
      </w:r>
    </w:p>
    <w:p>
      <w:pPr>
        <w:pStyle w:val="ListeParagraf"/>
        <w:numPr>
          <w:ilvl w:val="0"/>
          <w:numId w:val="1"/>
        </w:numPr>
        <w:spacing w:after="60"/>
        <w:jc w:val="both"/>
      </w:pPr>
      <w:r>
        <w:rPr>
          <w:rFonts w:ascii="Calibri" w:hAnsi="Calibri" w:cs="Arial"/>
          <w:sz w:val="24"/>
          <w:szCs w:val="24"/>
        </w:rPr>
        <w:t xml:space="preserve">EMS.OR.FRM.21.24. Organic Product Traveller Card</w:t>
      </w:r>
    </w:p>
    <w:p>
      <w:pPr>
        <w:pStyle w:val="ListeParagraf"/>
        <w:numPr>
          <w:ilvl w:val="0"/>
          <w:numId w:val="1"/>
        </w:numPr>
        <w:spacing w:after="60"/>
        <w:jc w:val="both"/>
      </w:pPr>
      <w:r>
        <w:rPr>
          <w:rFonts w:ascii="Calibri" w:hAnsi="Calibri" w:cs="Arial"/>
          <w:sz w:val="24"/>
          <w:szCs w:val="24"/>
        </w:rPr>
        <w:t xml:space="preserve">EMS.OR.FRM.21.25. Organic Transport Trolley Use and Cleaning Record</w:t>
      </w:r>
    </w:p>
    <w:p>
      <w:pPr>
        <w:pStyle w:val="ListeParagraf"/>
        <w:numPr>
          <w:ilvl w:val="0"/>
          <w:numId w:val="1"/>
        </w:numPr>
        <w:spacing w:after="60"/>
        <w:jc w:val="both"/>
      </w:pPr>
      <w:r>
        <w:rPr>
          <w:rFonts w:ascii="Calibri" w:hAnsi="Calibri" w:cs="Arial"/>
          <w:sz w:val="24"/>
          <w:szCs w:val="24"/>
        </w:rPr>
        <w:t xml:space="preserve">EMS.OR.FRM.21.23. Organic Nonconforming Product and Hold Notice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The Area Supervisors check the trolleys every week and the OCS Coordinator reviews the records every month. The instruction is reviewed at least once a year.</w:t>
      </w:r>
    </w:p>
    <w:p>
      <w:r>
        <w:br w:type="page"/>
      </w:r>
    </w:p>
    <w:p>
      <w:pPr>
        <w:pStyle w:val="ListeParagraf"/>
        <w:bidi/>
        <w:spacing w:before="120" w:after="60"/>
        <w:ind w:left="0" w:right="709"/>
        <w:jc w:val="both"/>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التعليمات دي بتحدد إزاي بنعلّم عربات المنتج العضوي (وبتتسمى كمان عربات النقل) وبنرقّمها وبنستخدمها وبننضّفها وبنسجّل عليها، عشان المواد العضوية ما تتخلطش بالتقليدية وهي بتتنقل بين المناطق.</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بتتطبق على كل العربات اللي بتنقل مواد عضوية، في مناطق الإنتاج العضوي الخمستاشر، وعلى كل اللي بيستخدمها.</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المناطق:</w:t>
      </w:r>
      <w:r>
        <w:rPr>
          <w:rFonts w:ascii="Calibri" w:hAnsi="Calibri" w:cs="Arial"/>
          <w:rtl/>
          <w:sz w:val="24"/>
          <w:szCs w:val="24"/>
        </w:rPr>
        <w:t xml:space="preserve"> بيحافظوا على عربات منطقتهم مرقّمة وعليها بطاقات ونضيفة، وبيتأكدوا إن بطاقة المرافقة مع المنتج.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w:t>
      </w:r>
      <w:r>
        <w:rPr>
          <w:rFonts w:ascii="Calibri" w:hAnsi="Calibri" w:cs="Arial"/>
          <w:rtl/>
          <w:sz w:val="24"/>
          <w:szCs w:val="24"/>
        </w:rPr>
        <w:t xml:space="preserve"> بيصرف لوحات العربات والبطاقات وبطاقات المرافقة، وبيراجع السجلات، وبيتابع الملاحظات.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 والعمال:</w:t>
      </w:r>
      <w:r>
        <w:rPr>
          <w:rFonts w:ascii="Calibri" w:hAnsi="Calibri" w:cs="Arial"/>
          <w:rtl/>
          <w:sz w:val="24"/>
          <w:szCs w:val="24"/>
        </w:rPr>
        <w:t xml:space="preserve"> بيستخدموا العربة الصح، وبيملوا البطاقة وبطاقة المرافقة، وبيبلّغوا فوراً عن أي شك.</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عربة المنتج العضوي / عربة النقل:</w:t>
      </w:r>
      <w:r>
        <w:rPr>
          <w:rFonts w:ascii="Calibri" w:hAnsi="Calibri" w:cs="Arial"/>
          <w:rtl/>
          <w:sz w:val="24"/>
          <w:szCs w:val="24"/>
        </w:rPr>
        <w:t xml:space="preserve"> عربة خضراء مرقّمة بتُستخدم للمواد العضوية GOTS أو OCS بس.</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العربة:</w:t>
      </w:r>
      <w:r>
        <w:rPr>
          <w:rFonts w:ascii="Calibri" w:hAnsi="Calibri" w:cs="Arial"/>
          <w:rtl/>
          <w:sz w:val="24"/>
          <w:szCs w:val="24"/>
        </w:rPr>
        <w:t xml:space="preserve"> البطاقة المعلّقة عليها رقم العربة والمنطقة والأوردر والدفعة ورقم TC والتاريخ والاسم.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المرافقة:</w:t>
      </w:r>
      <w:r>
        <w:rPr>
          <w:rFonts w:ascii="Calibri" w:hAnsi="Calibri" w:cs="Arial"/>
          <w:rtl/>
          <w:sz w:val="24"/>
          <w:szCs w:val="24"/>
        </w:rPr>
        <w:t xml:space="preserve"> البطاقة اللي بتمشي مع المنتج في كل المناطق وبتسجّل الدخول والخروج والفاقد (EMS.OR.FRM.21.24).</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التعليمات</w:t>
      </w:r>
    </w:p>
    <w:p>
      <w:pPr>
        <w:pStyle w:val="ListeParagraf"/>
        <w:bidi/>
        <w:spacing w:before="120" w:after="60"/>
        <w:ind w:left="0" w:right="709"/>
        <w:jc w:val="both"/>
      </w:pPr>
      <w:r>
        <w:rPr>
          <w:rFonts w:ascii="Calibri" w:hAnsi="Calibri" w:cs="Arial"/>
          <w:b/>
          <w:bCs/>
          <w:rtl/>
          <w:sz w:val="24"/>
          <w:szCs w:val="24"/>
        </w:rPr>
        <w:t xml:space="preserve">1. نظام الألوان والترقيم</w:t>
      </w:r>
    </w:p>
    <w:p>
      <w:pPr>
        <w:pStyle w:val="ListeParagraf"/>
        <w:bidi/>
        <w:spacing w:after="80"/>
        <w:ind w:left="0" w:right="709"/>
        <w:jc w:val="both"/>
      </w:pPr>
      <w:r>
        <w:rPr>
          <w:rFonts w:ascii="Calibri" w:hAnsi="Calibri" w:cs="Arial"/>
          <w:rtl/>
          <w:sz w:val="24"/>
          <w:szCs w:val="24"/>
        </w:rPr>
        <w:t xml:space="preserve">1.1. لوحة خضراء: عربة المنتج العضوي / عربة النقل، مرقّمة من 01 إلى 30.</w:t>
      </w:r>
    </w:p>
    <w:p>
      <w:pPr>
        <w:pStyle w:val="ListeParagraf"/>
        <w:bidi/>
        <w:spacing w:after="80"/>
        <w:ind w:left="0" w:right="709"/>
        <w:jc w:val="both"/>
      </w:pPr>
      <w:r>
        <w:rPr>
          <w:rFonts w:ascii="Calibri" w:hAnsi="Calibri" w:cs="Arial"/>
          <w:rtl/>
          <w:sz w:val="24"/>
          <w:szCs w:val="24"/>
        </w:rPr>
        <w:t xml:space="preserve">1.2. لوحة زرقاء: عربة تقليدية. وما بتدخلش المنطقة العضوية أبداً.</w:t>
      </w:r>
    </w:p>
    <w:p>
      <w:pPr>
        <w:pStyle w:val="ListeParagraf"/>
        <w:bidi/>
        <w:spacing w:after="80"/>
        <w:ind w:left="0" w:right="709"/>
        <w:jc w:val="both"/>
      </w:pPr>
      <w:r>
        <w:rPr>
          <w:rFonts w:ascii="Calibri" w:hAnsi="Calibri" w:cs="Arial"/>
          <w:rtl/>
          <w:sz w:val="24"/>
          <w:szCs w:val="24"/>
        </w:rPr>
        <w:t xml:space="preserve">1.3. لوحة صفراء: عربة انتظار / حجر للمواد من غير ملصق أو المشكوك فيها.</w:t>
      </w:r>
    </w:p>
    <w:p>
      <w:pPr>
        <w:pStyle w:val="ListeParagraf"/>
        <w:bidi/>
        <w:spacing w:after="80"/>
        <w:ind w:left="0" w:right="709"/>
        <w:jc w:val="both"/>
      </w:pPr>
      <w:r>
        <w:rPr>
          <w:rFonts w:ascii="Calibri" w:hAnsi="Calibri" w:cs="Arial"/>
          <w:rtl/>
          <w:sz w:val="24"/>
          <w:szCs w:val="24"/>
        </w:rPr>
        <w:t xml:space="preserve">1.4. لوحة حمراء: عربة غير مطابقة / محجوزة. وما بيتباعش ولا بيتستخدم اللي فيها كعضوي أبداً.</w:t>
      </w:r>
    </w:p>
    <w:p>
      <w:pPr>
        <w:pStyle w:val="ListeParagraf"/>
        <w:bidi/>
        <w:spacing w:before="120" w:after="60"/>
        <w:ind w:left="0" w:right="709"/>
        <w:jc w:val="both"/>
      </w:pPr>
      <w:r>
        <w:rPr>
          <w:rFonts w:ascii="Calibri" w:hAnsi="Calibri" w:cs="Arial"/>
          <w:b/>
          <w:bCs/>
          <w:rtl/>
          <w:sz w:val="24"/>
          <w:szCs w:val="24"/>
        </w:rPr>
        <w:t xml:space="preserve">2. قبل الاستخدام</w:t>
      </w:r>
    </w:p>
    <w:p>
      <w:pPr>
        <w:pStyle w:val="ListeParagraf"/>
        <w:bidi/>
        <w:spacing w:after="80"/>
        <w:ind w:left="0" w:right="709"/>
        <w:jc w:val="both"/>
      </w:pPr>
      <w:r>
        <w:rPr>
          <w:rFonts w:ascii="Calibri" w:hAnsi="Calibri" w:cs="Arial"/>
          <w:rtl/>
          <w:sz w:val="24"/>
          <w:szCs w:val="24"/>
        </w:rPr>
        <w:t xml:space="preserve">2.1. افحص اللوحة والرقم. لا تستخدم عربة من غير لوحة.</w:t>
      </w:r>
    </w:p>
    <w:p>
      <w:pPr>
        <w:pStyle w:val="ListeParagraf"/>
        <w:bidi/>
        <w:spacing w:after="80"/>
        <w:ind w:left="0" w:right="709"/>
        <w:jc w:val="both"/>
      </w:pPr>
      <w:r>
        <w:rPr>
          <w:rFonts w:ascii="Calibri" w:hAnsi="Calibri" w:cs="Arial"/>
          <w:rtl/>
          <w:sz w:val="24"/>
          <w:szCs w:val="24"/>
        </w:rPr>
        <w:t xml:space="preserve">2.2. اتأكد إن العربة فاضية ونضيفة: من غير ألياف أو أقمشة أو ملصقات تقليدية أو تراب. نضّفها لو لزم وسجّل في EMS.OR.FRM.21.25.</w:t>
      </w:r>
    </w:p>
    <w:p>
      <w:pPr>
        <w:pStyle w:val="ListeParagraf"/>
        <w:bidi/>
        <w:spacing w:after="80"/>
        <w:ind w:left="0" w:right="709"/>
        <w:jc w:val="both"/>
      </w:pPr>
      <w:r>
        <w:rPr>
          <w:rFonts w:ascii="Calibri" w:hAnsi="Calibri" w:cs="Arial"/>
          <w:rtl/>
          <w:sz w:val="24"/>
          <w:szCs w:val="24"/>
        </w:rPr>
        <w:t xml:space="preserve">2.3. املا بطاقة العربة: رقم العربة والمنطقة والأوردر والعميل والدفعة العضوية ورقم TC والتاريخ والاسم.</w:t>
      </w:r>
    </w:p>
    <w:p>
      <w:pPr>
        <w:pStyle w:val="ListeParagraf"/>
        <w:bidi/>
        <w:spacing w:before="120" w:after="60"/>
        <w:ind w:left="0" w:right="709"/>
        <w:jc w:val="both"/>
      </w:pPr>
      <w:r>
        <w:rPr>
          <w:rFonts w:ascii="Calibri" w:hAnsi="Calibri" w:cs="Arial"/>
          <w:b/>
          <w:bCs/>
          <w:rtl/>
          <w:sz w:val="24"/>
          <w:szCs w:val="24"/>
        </w:rPr>
        <w:t xml:space="preserve">3. أثناء الاستخدام</w:t>
      </w:r>
    </w:p>
    <w:p>
      <w:pPr>
        <w:pStyle w:val="ListeParagraf"/>
        <w:bidi/>
        <w:spacing w:after="80"/>
        <w:ind w:left="0" w:right="709"/>
        <w:jc w:val="both"/>
      </w:pPr>
      <w:r>
        <w:rPr>
          <w:rFonts w:ascii="Calibri" w:hAnsi="Calibri" w:cs="Arial"/>
          <w:rtl/>
          <w:sz w:val="24"/>
          <w:szCs w:val="24"/>
        </w:rPr>
        <w:t xml:space="preserve">3.1. انقل دفعة عضوية واحدة في المرة، أو افصل الدفعات بفاصل أخضر واضح.</w:t>
      </w:r>
    </w:p>
    <w:p>
      <w:pPr>
        <w:pStyle w:val="ListeParagraf"/>
        <w:bidi/>
        <w:spacing w:after="80"/>
        <w:ind w:left="0" w:right="709"/>
        <w:jc w:val="both"/>
      </w:pPr>
      <w:r>
        <w:rPr>
          <w:rFonts w:ascii="Calibri" w:hAnsi="Calibri" w:cs="Arial"/>
          <w:rtl/>
          <w:sz w:val="24"/>
          <w:szCs w:val="24"/>
        </w:rPr>
        <w:t xml:space="preserve">3.2. علّق بطاقة المرافقة على العربة أو المنتج وسجّل الدخول والخروج في كل منطقة.</w:t>
      </w:r>
    </w:p>
    <w:p>
      <w:pPr>
        <w:pStyle w:val="ListeParagraf"/>
        <w:bidi/>
        <w:spacing w:after="80"/>
        <w:ind w:left="0" w:right="709"/>
        <w:jc w:val="both"/>
      </w:pPr>
      <w:r>
        <w:rPr>
          <w:rFonts w:ascii="Calibri" w:hAnsi="Calibri" w:cs="Arial"/>
          <w:rtl/>
          <w:sz w:val="24"/>
          <w:szCs w:val="24"/>
        </w:rPr>
        <w:t xml:space="preserve">3.3. خلّي المواد مغطاة ومرفوعة عن الأرض، ولا تسيب العربة في منطقة تقليدية.</w:t>
      </w:r>
    </w:p>
    <w:p>
      <w:pPr>
        <w:pStyle w:val="ListeParagraf"/>
        <w:bidi/>
        <w:spacing w:before="120" w:after="60"/>
        <w:ind w:left="0" w:right="709"/>
        <w:jc w:val="both"/>
      </w:pPr>
      <w:r>
        <w:rPr>
          <w:rFonts w:ascii="Calibri" w:hAnsi="Calibri" w:cs="Arial"/>
          <w:b/>
          <w:bCs/>
          <w:rtl/>
          <w:sz w:val="24"/>
          <w:szCs w:val="24"/>
        </w:rPr>
        <w:t xml:space="preserve">4. التنظيف والتبديل</w:t>
      </w:r>
    </w:p>
    <w:p>
      <w:pPr>
        <w:pStyle w:val="ListeParagraf"/>
        <w:bidi/>
        <w:spacing w:after="80"/>
        <w:ind w:left="0" w:right="709"/>
        <w:jc w:val="both"/>
      </w:pPr>
      <w:r>
        <w:rPr>
          <w:rFonts w:ascii="Calibri" w:hAnsi="Calibri" w:cs="Arial"/>
          <w:rtl/>
          <w:sz w:val="24"/>
          <w:szCs w:val="24"/>
        </w:rPr>
        <w:t xml:space="preserve">4.1. لما عربة بتتحول من الاستخدام التقليدي للعضوي، أو بعد أي انسكاب أو تلوث، نضّفها زي ما في EMS.OR.TL.21.02 وسجّل.</w:t>
      </w:r>
    </w:p>
    <w:p>
      <w:pPr>
        <w:pStyle w:val="ListeParagraf"/>
        <w:bidi/>
        <w:spacing w:after="80"/>
        <w:ind w:left="0" w:right="709"/>
        <w:jc w:val="both"/>
      </w:pPr>
      <w:r>
        <w:rPr>
          <w:rFonts w:ascii="Calibri" w:hAnsi="Calibri" w:cs="Arial"/>
          <w:rtl/>
          <w:sz w:val="24"/>
          <w:szCs w:val="24"/>
        </w:rPr>
        <w:t xml:space="preserve">4.2. نضّف العربات العضوية مرة في الأسبوع على الأقل ومع كل تغيير دفعة.</w:t>
      </w:r>
    </w:p>
    <w:p>
      <w:pPr>
        <w:pStyle w:val="ListeParagraf"/>
        <w:bidi/>
        <w:spacing w:before="120" w:after="60"/>
        <w:ind w:left="0" w:right="709"/>
        <w:jc w:val="both"/>
      </w:pPr>
      <w:r>
        <w:rPr>
          <w:rFonts w:ascii="Calibri" w:hAnsi="Calibri" w:cs="Arial"/>
          <w:b/>
          <w:bCs/>
          <w:rtl/>
          <w:sz w:val="24"/>
          <w:szCs w:val="24"/>
        </w:rPr>
        <w:t xml:space="preserve">5. المحظورات</w:t>
      </w:r>
    </w:p>
    <w:p>
      <w:pPr>
        <w:pStyle w:val="ListeParagraf"/>
        <w:numPr>
          <w:ilvl w:val="0"/>
          <w:numId w:val="1"/>
        </w:numPr>
        <w:bidi/>
        <w:spacing w:after="60"/>
        <w:jc w:val="both"/>
      </w:pPr>
      <w:r>
        <w:rPr>
          <w:rFonts w:ascii="Calibri" w:hAnsi="Calibri" w:cs="Arial"/>
          <w:rtl/>
          <w:sz w:val="24"/>
          <w:szCs w:val="24"/>
        </w:rPr>
        <w:t xml:space="preserve">لا تنقل مواد تقليدية على عربة عضوية، ولا مواد عضوية على عربة زرقاء.</w:t>
      </w:r>
    </w:p>
    <w:p>
      <w:pPr>
        <w:pStyle w:val="ListeParagraf"/>
        <w:numPr>
          <w:ilvl w:val="0"/>
          <w:numId w:val="1"/>
        </w:numPr>
        <w:bidi/>
        <w:spacing w:after="60"/>
        <w:jc w:val="both"/>
      </w:pPr>
      <w:r>
        <w:rPr>
          <w:rFonts w:ascii="Calibri" w:hAnsi="Calibri" w:cs="Arial"/>
          <w:rtl/>
          <w:sz w:val="24"/>
          <w:szCs w:val="24"/>
        </w:rPr>
        <w:t xml:space="preserve">لا تشيل ولا تغطّي ولا تبدّل لوحة العربة أو بطاقتها.</w:t>
      </w:r>
    </w:p>
    <w:p>
      <w:pPr>
        <w:pStyle w:val="ListeParagraf"/>
        <w:numPr>
          <w:ilvl w:val="0"/>
          <w:numId w:val="1"/>
        </w:numPr>
        <w:bidi/>
        <w:spacing w:after="60"/>
        <w:jc w:val="both"/>
      </w:pPr>
      <w:r>
        <w:rPr>
          <w:rFonts w:ascii="Calibri" w:hAnsi="Calibri" w:cs="Arial"/>
          <w:rtl/>
          <w:sz w:val="24"/>
          <w:szCs w:val="24"/>
        </w:rPr>
        <w:t xml:space="preserve">لا تطلّع عربة عضوية خارج المسار العضوي من غير منسق OCS.</w:t>
      </w:r>
    </w:p>
    <w:p>
      <w:pPr>
        <w:pStyle w:val="ListeParagraf"/>
        <w:bidi/>
        <w:spacing w:before="120" w:after="60"/>
        <w:ind w:left="0" w:right="709"/>
        <w:jc w:val="both"/>
      </w:pPr>
      <w:r>
        <w:rPr>
          <w:rFonts w:ascii="Calibri" w:hAnsi="Calibri" w:cs="Arial"/>
          <w:b/>
          <w:bCs/>
          <w:rtl/>
          <w:sz w:val="24"/>
          <w:szCs w:val="24"/>
        </w:rPr>
        <w:t xml:space="preserve">6. في حالة وجود مشكلة</w:t>
      </w:r>
    </w:p>
    <w:p>
      <w:pPr>
        <w:pStyle w:val="ListeParagraf"/>
        <w:bidi/>
        <w:spacing w:after="80"/>
        <w:ind w:left="0" w:right="709"/>
        <w:jc w:val="both"/>
      </w:pPr>
      <w:r>
        <w:rPr>
          <w:rFonts w:ascii="Calibri" w:hAnsi="Calibri" w:cs="Arial"/>
          <w:rtl/>
          <w:sz w:val="24"/>
          <w:szCs w:val="24"/>
        </w:rPr>
        <w:t xml:space="preserve">6.1. لو عربة من غير لوحة أو بطاقة أو فيه شك في الخلط، وقّف وانقل العربة للمنطقة الصفراء وبلّغ منسق OCS.</w:t>
      </w:r>
    </w:p>
    <w:p>
      <w:pPr>
        <w:pStyle w:val="ListeParagraf"/>
        <w:bidi/>
        <w:spacing w:after="80"/>
        <w:ind w:left="0" w:right="709"/>
        <w:jc w:val="both"/>
      </w:pPr>
      <w:r>
        <w:rPr>
          <w:rFonts w:ascii="Calibri" w:hAnsi="Calibri" w:cs="Arial"/>
          <w:rtl/>
          <w:sz w:val="24"/>
          <w:szCs w:val="24"/>
        </w:rPr>
        <w:t xml:space="preserve">6.2. املا إشعار المنتج العضوي غير المطابق والحجز (EMS.OR.FRM.21.23).</w:t>
      </w:r>
    </w:p>
    <w:p>
      <w:pPr>
        <w:pStyle w:val="ListeParagraf"/>
        <w:bidi/>
        <w:spacing w:before="120" w:after="60"/>
        <w:ind w:left="0" w:right="709"/>
        <w:jc w:val="both"/>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EMS.OR.POL.21.01. سياسة المحتوى العضوي</w:t>
      </w:r>
    </w:p>
    <w:p>
      <w:pPr>
        <w:pStyle w:val="ListeParagraf"/>
        <w:numPr>
          <w:ilvl w:val="0"/>
          <w:numId w:val="1"/>
        </w:numPr>
        <w:bidi/>
        <w:spacing w:after="60"/>
        <w:jc w:val="both"/>
      </w:pPr>
      <w:r>
        <w:rPr>
          <w:rFonts w:ascii="Calibri" w:hAnsi="Calibri" w:cs="Arial"/>
          <w:rtl/>
          <w:sz w:val="24"/>
          <w:szCs w:val="24"/>
        </w:rPr>
        <w:t xml:space="preserve">EMS.OR.PRO.21.01. إجراء مناولة مواد OCS وفصلها وتتبعها</w:t>
      </w:r>
    </w:p>
    <w:p>
      <w:pPr>
        <w:pStyle w:val="ListeParagraf"/>
        <w:numPr>
          <w:ilvl w:val="0"/>
          <w:numId w:val="1"/>
        </w:numPr>
        <w:bidi/>
        <w:spacing w:after="60"/>
        <w:jc w:val="both"/>
      </w:pPr>
      <w:r>
        <w:rPr>
          <w:rFonts w:ascii="Calibri" w:hAnsi="Calibri" w:cs="Arial"/>
          <w:rtl/>
          <w:sz w:val="24"/>
          <w:szCs w:val="24"/>
        </w:rPr>
        <w:t xml:space="preserve">EMS.OR.PRO.21.02. إجراء فصل مناطق الإنتاج العضوي وتمييزها بصرياً</w:t>
      </w:r>
    </w:p>
    <w:p>
      <w:pPr>
        <w:pStyle w:val="ListeParagraf"/>
        <w:numPr>
          <w:ilvl w:val="0"/>
          <w:numId w:val="1"/>
        </w:numPr>
        <w:bidi/>
        <w:spacing w:after="60"/>
        <w:jc w:val="both"/>
      </w:pPr>
      <w:r>
        <w:rPr>
          <w:rFonts w:ascii="Calibri" w:hAnsi="Calibri" w:cs="Arial"/>
          <w:rtl/>
          <w:sz w:val="24"/>
          <w:szCs w:val="24"/>
        </w:rPr>
        <w:t xml:space="preserve">EMS.OR.TL.21.01. تعليمات تمييز المنتجات العضوية وتوسيمها</w:t>
      </w:r>
    </w:p>
    <w:p>
      <w:pPr>
        <w:pStyle w:val="ListeParagraf"/>
        <w:numPr>
          <w:ilvl w:val="0"/>
          <w:numId w:val="1"/>
        </w:numPr>
        <w:bidi/>
        <w:spacing w:after="60"/>
        <w:jc w:val="both"/>
      </w:pPr>
      <w:r>
        <w:rPr>
          <w:rFonts w:ascii="Calibri" w:hAnsi="Calibri" w:cs="Arial"/>
          <w:rtl/>
          <w:sz w:val="24"/>
          <w:szCs w:val="24"/>
        </w:rPr>
        <w:t xml:space="preserve">EMS.OR.TL.21.02. تعليمات التنظيف عند تبديل المنطقة العضوية وتفريغ الخط</w:t>
      </w:r>
    </w:p>
    <w:p>
      <w:pPr>
        <w:pStyle w:val="ListeParagraf"/>
        <w:numPr>
          <w:ilvl w:val="0"/>
          <w:numId w:val="1"/>
        </w:numPr>
        <w:bidi/>
        <w:spacing w:after="60"/>
        <w:jc w:val="both"/>
      </w:pPr>
      <w:r>
        <w:rPr>
          <w:rFonts w:ascii="Calibri" w:hAnsi="Calibri" w:cs="Arial"/>
          <w:rtl/>
          <w:sz w:val="24"/>
          <w:szCs w:val="24"/>
        </w:rPr>
        <w:t xml:space="preserve">EMS.OR.FRM.21.24. بطاقة مرافقة المنتج العضوي</w:t>
      </w:r>
    </w:p>
    <w:p>
      <w:pPr>
        <w:pStyle w:val="ListeParagraf"/>
        <w:numPr>
          <w:ilvl w:val="0"/>
          <w:numId w:val="1"/>
        </w:numPr>
        <w:bidi/>
        <w:spacing w:after="60"/>
        <w:jc w:val="both"/>
      </w:pPr>
      <w:r>
        <w:rPr>
          <w:rFonts w:ascii="Calibri" w:hAnsi="Calibri" w:cs="Arial"/>
          <w:rtl/>
          <w:sz w:val="24"/>
          <w:szCs w:val="24"/>
        </w:rPr>
        <w:t xml:space="preserve">EMS.OR.FRM.21.25. سجل استخدام وتنظيف عربات النقل العضوية</w:t>
      </w:r>
    </w:p>
    <w:p>
      <w:pPr>
        <w:pStyle w:val="ListeParagraf"/>
        <w:numPr>
          <w:ilvl w:val="0"/>
          <w:numId w:val="1"/>
        </w:numPr>
        <w:bidi/>
        <w:spacing w:after="60"/>
        <w:jc w:val="both"/>
      </w:pPr>
      <w:r>
        <w:rPr>
          <w:rFonts w:ascii="Calibri" w:hAnsi="Calibri" w:cs="Arial"/>
          <w:rtl/>
          <w:sz w:val="24"/>
          <w:szCs w:val="24"/>
        </w:rPr>
        <w:t xml:space="preserve">EMS.OR.FRM.21.23. نموذج إشعار المنتج العضوي غير المطابق والحجز</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8. المتابعة والمراجعة</w:t>
      </w:r>
    </w:p>
    <w:p>
      <w:pPr>
        <w:pStyle w:val="ListeParagraf"/>
        <w:bidi/>
        <w:spacing w:after="80"/>
        <w:ind w:left="0" w:right="709"/>
        <w:jc w:val="both"/>
      </w:pPr>
      <w:r>
        <w:rPr>
          <w:rFonts w:ascii="Calibri" w:hAnsi="Calibri" w:cs="Arial"/>
          <w:rtl/>
          <w:sz w:val="24"/>
          <w:szCs w:val="24"/>
        </w:rPr>
        <w:t xml:space="preserve">مشرفو المناطق بيفحصوا العربات كل أسبوع، ومنسق OCS بيراجع السجلات كل شهر. وبتتراجع التعليمات مرة في السنة على الأقل.</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ORGANIC TRANSPORT TROLLEY INSTRUCTION</w:t>
          </w:r>
        </w:p>
        <w:p>
          <w:pPr>
            <w:pStyle w:val="GvdeMetni2"/>
            <w:bidi/>
            <w:spacing w:line="276" w:lineRule="auto"/>
            <w:jc w:val="center"/>
          </w:pPr>
          <w:r>
            <w:rPr>
              <w:rFonts w:asciiTheme="minorHAnsi" w:hAnsiTheme="minorHAnsi" w:cs="Arial"/>
              <w:b/>
              <w:bCs/>
              <w:color w:val="000000" w:themeColor="text1"/>
              <w:sz w:val="22"/>
              <w:szCs w:val="22"/>
              <w:rtl/>
            </w:rPr>
            <w:t>تعليمات عربات النقل العضوية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EMS.OR.TL.21.18.</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
          </w:r>
          <w:r w:rsidR="00EA160E">
            <w:rPr>
              <w:rFonts w:cstheme="minorHAnsi"/>
              <w:sz w:val="16"/>
              <w:szCs w:val="16"/>
            </w:rPr>
            <w:t>-</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22.10.2026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EMS.OR.TL.21.01. ORGANIC PRODUCT IDENTIFICATION AND LABELLING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