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the shade of lab dips, dye lots and finished fabric is checked visually in the light box and measured with the spectrophotometer against the approved standard at Eroglu Knitting (EMS), and how the ΔE and colour fastness acceptance limits are applied (QMS instructions TLM-BOY-08 and TLM-LAB-05), so that colour differences and metamerism are detected before the fabric goes to cutting.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shade checks in the laboratory, dyehouse, finishing and fabric quality control, to instrumental colour measurement and fastness result evaluation, and to all staff authorised for shade assessment.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Keeps the light boxes, spectrophotometer and shade standards in good condition, arranges lamp replacement and calibration and authorises assessors.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Assessor (Laboratory / Dyehouse / QC):</w:t>
      </w:r>
      <w:r>
        <w:rPr>
          <w:rFonts w:ascii="Calibri" w:hAnsi="Calibri" w:cs="Arial"/>
          <w:sz w:val="24"/>
          <w:szCs w:val="24"/>
        </w:rPr>
        <w:t xml:space="preserve"> Carries out the check according to this instruction and records the result.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Decides on correction or reprocessing of rejected lots.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Decides on acceptance, blocking and release of the lot when the result is borderline or out of limit and informs the customer when required.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D65:</w:t>
      </w:r>
      <w:r>
        <w:rPr>
          <w:rFonts w:ascii="Calibri" w:hAnsi="Calibri" w:cs="Arial"/>
          <w:sz w:val="24"/>
          <w:szCs w:val="24"/>
        </w:rPr>
        <w:t xml:space="preserve"> Standard artificial daylight source, normally used as the primary light source for shade evaluation.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Metamerism:</w:t>
      </w:r>
      <w:r>
        <w:rPr>
          <w:rFonts w:ascii="Calibri" w:hAnsi="Calibri" w:cs="Arial"/>
          <w:sz w:val="24"/>
          <w:szCs w:val="24"/>
        </w:rPr>
        <w:t xml:space="preserve"> Two samples match under one light source but look different under another.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Grey Scale:</w:t>
      </w:r>
      <w:r>
        <w:rPr>
          <w:rFonts w:ascii="Calibri" w:hAnsi="Calibri" w:cs="Arial"/>
          <w:sz w:val="24"/>
          <w:szCs w:val="24"/>
        </w:rPr>
        <w:t xml:space="preserve"> The ISO 105-A02 grey scale used to rate colour difference (grade 5 = no difference).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ΔE:</w:t>
      </w:r>
      <w:r>
        <w:rPr>
          <w:rFonts w:ascii="Calibri" w:hAnsi="Calibri" w:cs="Arial"/>
          <w:sz w:val="24"/>
          <w:szCs w:val="24"/>
        </w:rPr>
        <w:t xml:space="preserve"> The total colour difference between standard and sample in CIELAB (ΔE*ab) or CMC (l:c) units, measured with the spectrophotometer.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Fastness:</w:t>
      </w:r>
      <w:r>
        <w:rPr>
          <w:rFonts w:ascii="Calibri" w:hAnsi="Calibri" w:cs="Arial"/>
          <w:sz w:val="24"/>
          <w:szCs w:val="24"/>
        </w:rPr>
        <w:t xml:space="preserve"> The resistance of the colour of a textile to washing, rubbing, perspiration, light and other agents, rated by grey scale grades 1 to 5.</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Card:</w:t>
      </w:r>
      <w:r>
        <w:rPr>
          <w:rFonts w:ascii="Calibri" w:hAnsi="Calibri" w:cs="Arial"/>
          <w:sz w:val="24"/>
          <w:szCs w:val="24"/>
        </w:rPr>
        <w:t xml:space="preserve"> The card holding the approved swatches of accepted lots.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that the light box lamps required by the customer (e.g. D65, TL84, A and UV) work and are within the service hours recorded on the lamp log.</w:t>
      </w:r>
    </w:p>
    <w:p>
      <w:pPr>
        <w:pStyle w:val="ListeParagraf"/>
        <w:spacing w:after="80"/>
        <w:ind w:left="709" w:right="0"/>
        <w:jc w:val="both"/>
      </w:pPr>
      <w:r>
        <w:rPr>
          <w:rFonts w:ascii="Calibri" w:hAnsi="Calibri" w:cs="Arial"/>
          <w:sz w:val="24"/>
          <w:szCs w:val="24"/>
        </w:rPr>
        <w:t xml:space="preserve">1.2. Use only an approved standard (customer standard or approved lab dip) that is clean, undamaged and within its validity date.</w:t>
      </w:r>
    </w:p>
    <w:p>
      <w:pPr>
        <w:pStyle w:val="ListeParagraf"/>
        <w:spacing w:after="80"/>
        <w:ind w:left="709" w:right="0"/>
        <w:jc w:val="both"/>
      </w:pPr>
      <w:r>
        <w:rPr>
          <w:rFonts w:ascii="Calibri" w:hAnsi="Calibri" w:cs="Arial"/>
          <w:sz w:val="24"/>
          <w:szCs w:val="24"/>
        </w:rPr>
        <w:t xml:space="preserve">1.3. The sample must be dry, cool and flat; wet or hot samples are not assessed.</w:t>
      </w:r>
    </w:p>
    <w:p>
      <w:pPr>
        <w:pStyle w:val="ListeParagraf"/>
        <w:spacing w:after="80"/>
        <w:ind w:left="709" w:right="0"/>
        <w:jc w:val="both"/>
      </w:pPr>
      <w:r>
        <w:rPr>
          <w:rFonts w:ascii="Calibri" w:hAnsi="Calibri" w:cs="Arial"/>
          <w:sz w:val="24"/>
          <w:szCs w:val="24"/>
        </w:rPr>
        <w:t xml:space="preserve">1.4. Only assessors who have passed a colour vision test may assess shade; tinted glasses are not worn during assessment.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STEPS</w:t>
      </w:r>
    </w:p>
    <w:p>
      <w:pPr>
        <w:pStyle w:val="ListeParagraf"/>
        <w:spacing w:after="80"/>
        <w:ind w:left="709" w:right="0"/>
        <w:jc w:val="both"/>
      </w:pPr>
      <w:r>
        <w:rPr>
          <w:rFonts w:ascii="Calibri" w:hAnsi="Calibri" w:cs="Arial"/>
          <w:sz w:val="24"/>
          <w:szCs w:val="24"/>
        </w:rPr>
        <w:t xml:space="preserve">2.1. Place the standard and the sample side by side, in the same direction, on the neutral grey base of the light box and view them at an angle of about 45°.</w:t>
      </w:r>
    </w:p>
    <w:p>
      <w:pPr>
        <w:pStyle w:val="ListeParagraf"/>
        <w:spacing w:after="80"/>
        <w:ind w:left="709" w:right="0"/>
        <w:jc w:val="both"/>
      </w:pPr>
      <w:r>
        <w:rPr>
          <w:rFonts w:ascii="Calibri" w:hAnsi="Calibri" w:cs="Arial"/>
          <w:sz w:val="24"/>
          <w:szCs w:val="24"/>
        </w:rPr>
        <w:t xml:space="preserve">2.2. Assess first under the primary light source required by the customer, then under the secondary light sources to check for metamerism.</w:t>
      </w:r>
    </w:p>
    <w:p>
      <w:pPr>
        <w:pStyle w:val="ListeParagraf"/>
        <w:spacing w:after="80"/>
        <w:ind w:left="709" w:right="0"/>
        <w:jc w:val="both"/>
      </w:pPr>
      <w:r>
        <w:rPr>
          <w:rFonts w:ascii="Calibri" w:hAnsi="Calibri" w:cs="Arial"/>
          <w:sz w:val="24"/>
          <w:szCs w:val="24"/>
        </w:rPr>
        <w:t xml:space="preserve">2.3. Rate the colour difference with the grey scale and describe the direction of the difference (redder, bluer, lighter, darker, duller, brighter).</w:t>
      </w:r>
    </w:p>
    <w:p>
      <w:pPr>
        <w:pStyle w:val="ListeParagraf"/>
        <w:spacing w:after="80"/>
        <w:ind w:left="709" w:right="0"/>
        <w:jc w:val="both"/>
      </w:pPr>
      <w:r>
        <w:rPr>
          <w:rFonts w:ascii="Calibri" w:hAnsi="Calibri" w:cs="Arial"/>
          <w:sz w:val="24"/>
          <w:szCs w:val="24"/>
        </w:rPr>
        <w:t xml:space="preserve">2.4. Accept the lot if the result is within the customer tolerance (visual grade or instrumental ΔE as per customer requirement); otherwise reject it and inform the dyehouse.</w:t>
      </w:r>
    </w:p>
    <w:p>
      <w:pPr>
        <w:pStyle w:val="ListeParagraf"/>
        <w:spacing w:after="80"/>
        <w:ind w:left="709" w:right="0"/>
        <w:jc w:val="both"/>
      </w:pPr>
      <w:r>
        <w:rPr>
          <w:rFonts w:ascii="Calibri" w:hAnsi="Calibri" w:cs="Arial"/>
          <w:sz w:val="24"/>
          <w:szCs w:val="24"/>
        </w:rPr>
        <w:t xml:space="preserve">2.5. For each accepted lot, cut a swatch, attach it to the shade card and record the result.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RULES / PROHIBITIONS</w:t>
      </w:r>
    </w:p>
    <w:p>
      <w:pPr>
        <w:pStyle w:val="ListeParagraf"/>
        <w:numPr>
          <w:ilvl w:val="0"/>
          <w:numId w:val="1"/>
        </w:numPr>
        <w:spacing w:after="60"/>
        <w:jc w:val="both"/>
      </w:pPr>
      <w:r>
        <w:rPr>
          <w:rFonts w:ascii="Calibri" w:hAnsi="Calibri" w:cs="Arial"/>
          <w:sz w:val="24"/>
          <w:szCs w:val="24"/>
        </w:rPr>
        <w:t xml:space="preserve">Do not assess shade under normal factory lighting or under daylight from windows.</w:t>
      </w:r>
    </w:p>
    <w:p>
      <w:pPr>
        <w:pStyle w:val="ListeParagraf"/>
        <w:numPr>
          <w:ilvl w:val="0"/>
          <w:numId w:val="1"/>
        </w:numPr>
        <w:spacing w:after="60"/>
        <w:jc w:val="both"/>
      </w:pPr>
      <w:r>
        <w:rPr>
          <w:rFonts w:ascii="Calibri" w:hAnsi="Calibri" w:cs="Arial"/>
          <w:sz w:val="24"/>
          <w:szCs w:val="24"/>
        </w:rPr>
        <w:t xml:space="preserve">Do not let other light enter the cabinet during assessment; keep the light box clean and switched off when not in use.</w:t>
      </w:r>
    </w:p>
    <w:p>
      <w:pPr>
        <w:pStyle w:val="ListeParagraf"/>
        <w:numPr>
          <w:ilvl w:val="0"/>
          <w:numId w:val="1"/>
        </w:numPr>
        <w:spacing w:after="60"/>
        <w:jc w:val="both"/>
      </w:pPr>
      <w:r>
        <w:rPr>
          <w:rFonts w:ascii="Calibri" w:hAnsi="Calibri" w:cs="Arial"/>
          <w:sz w:val="24"/>
          <w:szCs w:val="24"/>
        </w:rPr>
        <w:t xml:space="preserve">Do not use a standard that is faded, soiled or expired; request a new one from the laboratory.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w:t>
      </w:r>
    </w:p>
    <w:p>
      <w:pPr>
        <w:pStyle w:val="ListeParagraf"/>
        <w:spacing w:after="80"/>
        <w:ind w:left="709" w:right="0"/>
        <w:jc w:val="both"/>
      </w:pPr>
      <w:r>
        <w:rPr>
          <w:rFonts w:ascii="Calibri" w:hAnsi="Calibri" w:cs="Arial"/>
          <w:sz w:val="24"/>
          <w:szCs w:val="24"/>
        </w:rPr>
        <w:t xml:space="preserve">4.1. If assessors disagree or the result is borderline, the sample is measured with the spectrophotometer and the final decision is made by the Laboratory Manager, or by the customer when required.</w:t>
      </w:r>
    </w:p>
    <w:p>
      <w:pPr>
        <w:pStyle w:val="ListeParagraf"/>
        <w:spacing w:after="80"/>
        <w:ind w:left="709" w:right="0"/>
        <w:jc w:val="both"/>
      </w:pPr>
      <w:r>
        <w:rPr>
          <w:rFonts w:ascii="Calibri" w:hAnsi="Calibri" w:cs="Arial"/>
          <w:sz w:val="24"/>
          <w:szCs w:val="24"/>
        </w:rPr>
        <w:t xml:space="preserve">4.2. If a lamp fails or its service hours are exceeded, stop using the light box and inform the Laboratory Manager; lamps of the same type are replaced together.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SPECTROPHOTOMETER ΔE MEASUREMENT (TLM-LAB-05)</w:t>
      </w:r>
    </w:p>
    <w:p>
      <w:pPr>
        <w:pStyle w:val="ListeParagraf"/>
        <w:spacing w:after="80"/>
        <w:ind w:left="709" w:right="0"/>
        <w:jc w:val="both"/>
      </w:pPr>
      <w:r>
        <w:rPr>
          <w:rFonts w:ascii="Calibri" w:hAnsi="Calibri" w:cs="Arial"/>
          <w:sz w:val="24"/>
          <w:szCs w:val="24"/>
        </w:rPr>
        <w:t xml:space="preserve">5.1. Switch on the spectrophotometer, allow the warm-up time given by the manufacturer and perform the white and black calibration before each measuring session; record the calibration.</w:t>
      </w:r>
    </w:p>
    <w:p>
      <w:pPr>
        <w:pStyle w:val="ListeParagraf"/>
        <w:spacing w:after="80"/>
        <w:ind w:left="709" w:right="0"/>
        <w:jc w:val="both"/>
      </w:pPr>
      <w:r>
        <w:rPr>
          <w:rFonts w:ascii="Calibri" w:hAnsi="Calibri" w:cs="Arial"/>
          <w:sz w:val="24"/>
          <w:szCs w:val="24"/>
        </w:rPr>
        <w:t xml:space="preserve">5.2. Measure standard and sample under the same conditions: the light source and observer required by the customer (e.g. D65/10°), the same aperture, with or without UV as specified, and the same number of folds so that the sample is opaque.</w:t>
      </w:r>
    </w:p>
    <w:p>
      <w:pPr>
        <w:pStyle w:val="ListeParagraf"/>
        <w:spacing w:after="80"/>
        <w:ind w:left="709" w:right="0"/>
        <w:jc w:val="both"/>
      </w:pPr>
      <w:r>
        <w:rPr>
          <w:rFonts w:ascii="Calibri" w:hAnsi="Calibri" w:cs="Arial"/>
          <w:sz w:val="24"/>
          <w:szCs w:val="24"/>
        </w:rPr>
        <w:t xml:space="preserve">5.3. Take at least three measurements at different positions of the sample, turning it between readings, and use the average; if the readings differ widely, check the sample for unevenness.</w:t>
      </w:r>
    </w:p>
    <w:p>
      <w:pPr>
        <w:pStyle w:val="ListeParagraf"/>
        <w:spacing w:after="80"/>
        <w:ind w:left="709" w:right="0"/>
        <w:jc w:val="both"/>
      </w:pPr>
      <w:r>
        <w:rPr>
          <w:rFonts w:ascii="Calibri" w:hAnsi="Calibri" w:cs="Arial"/>
          <w:sz w:val="24"/>
          <w:szCs w:val="24"/>
        </w:rPr>
        <w:t xml:space="preserve">5.4. Calculate ΔE (CIELAB or CMC 2:1, as the customer requires) together with ΔL*, Δa*, Δb* and the direction of the difference, and record the light source and measuring conditions with the result.</w:t>
      </w:r>
    </w:p>
    <w:p>
      <w:pPr>
        <w:pStyle w:val="ListeParagraf"/>
        <w:spacing w:after="80"/>
        <w:ind w:left="709" w:right="0"/>
        <w:jc w:val="both"/>
      </w:pPr>
      <w:r>
        <w:rPr>
          <w:rFonts w:ascii="Calibri" w:hAnsi="Calibri" w:cs="Arial"/>
          <w:sz w:val="24"/>
          <w:szCs w:val="24"/>
        </w:rPr>
        <w:t xml:space="preserve">5.5. Compare the result with the ΔE limit in the customer specification; where the customer gives no limit, the company limit applies (for example CMC 2:1 ΔE not more than 1.0, subject to the policy), and the batch to batch and within-batch (side-centre-side) differences are also checked.</w:t>
      </w:r>
    </w:p>
    <w:p>
      <w:pPr>
        <w:pStyle w:val="ListeParagraf"/>
        <w:spacing w:after="80"/>
        <w:ind w:left="709" w:right="0"/>
        <w:jc w:val="both"/>
      </w:pPr>
      <w:r>
        <w:rPr>
          <w:rFonts w:ascii="Calibri" w:hAnsi="Calibri" w:cs="Arial"/>
          <w:sz w:val="24"/>
          <w:szCs w:val="24"/>
        </w:rPr>
        <w:t xml:space="preserve">5.6. Results are saved in the colour measurement record; the instrument is kept clean, calibrated and used only by trained personnel.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COLOUR FASTNESS ACCEPTANCE (TLM-BOY-08)</w:t>
      </w:r>
    </w:p>
    <w:p>
      <w:pPr>
        <w:pStyle w:val="ListeParagraf"/>
        <w:spacing w:after="80"/>
        <w:ind w:left="709" w:right="0"/>
        <w:jc w:val="both"/>
      </w:pPr>
      <w:r>
        <w:rPr>
          <w:rFonts w:ascii="Calibri" w:hAnsi="Calibri" w:cs="Arial"/>
          <w:sz w:val="24"/>
          <w:szCs w:val="24"/>
        </w:rPr>
        <w:t xml:space="preserve">6.1. Fastness tests (washing, rubbing dry and wet, perspiration, light and, if required, water and saliva) are carried out in the laboratory by the standard methods of ISO 105 series or the customer-specified method (for example AATCC), and are rated with the grey scales for change in colour and staining (ISO 105-A02 / A03).</w:t>
      </w:r>
    </w:p>
    <w:p>
      <w:pPr>
        <w:pStyle w:val="ListeParagraf"/>
        <w:spacing w:after="80"/>
        <w:ind w:left="709" w:right="0"/>
        <w:jc w:val="both"/>
      </w:pPr>
      <w:r>
        <w:rPr>
          <w:rFonts w:ascii="Calibri" w:hAnsi="Calibri" w:cs="Arial"/>
          <w:sz w:val="24"/>
          <w:szCs w:val="24"/>
        </w:rPr>
        <w:t xml:space="preserve">6.2. Acceptance grades are those in the customer specification; where none is given, the company minimum grades given in the quality policy apply, for example grade 4 for washing and dry rubbing, grade 3 to 4 for wet rubbing and perspiration, and grade 4 for light on children's wear and light colours. These values are examples and are defined in the customer specification and company policy.</w:t>
      </w:r>
    </w:p>
    <w:p>
      <w:pPr>
        <w:pStyle w:val="ListeParagraf"/>
        <w:spacing w:after="80"/>
        <w:ind w:left="709" w:right="0"/>
        <w:jc w:val="both"/>
      </w:pPr>
      <w:r>
        <w:rPr>
          <w:rFonts w:ascii="Calibri" w:hAnsi="Calibri" w:cs="Arial"/>
          <w:sz w:val="24"/>
          <w:szCs w:val="24"/>
        </w:rPr>
        <w:t xml:space="preserve">6.3. A test is repeated once on a new specimen if the result is doubtful; the repeat result is recorded together with the first result.</w:t>
      </w:r>
    </w:p>
    <w:p>
      <w:pPr>
        <w:pStyle w:val="ListeParagraf"/>
        <w:spacing w:after="80"/>
        <w:ind w:left="709" w:right="0"/>
        <w:jc w:val="both"/>
      </w:pPr>
      <w:r>
        <w:rPr>
          <w:rFonts w:ascii="Calibri" w:hAnsi="Calibri" w:cs="Arial"/>
          <w:sz w:val="24"/>
          <w:szCs w:val="24"/>
        </w:rPr>
        <w:t xml:space="preserve">6.4. If ΔE or any fastness grade is below the limit, the lot is blocked, labelled “Hold” and kept separate; the result is reported to the Dyehouse Manager and Quality Assurance.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NONCONFORMITY AND CORRECTIVE ACTION</w:t>
      </w:r>
    </w:p>
    <w:p>
      <w:pPr>
        <w:pStyle w:val="ListeParagraf"/>
        <w:spacing w:after="80"/>
        <w:ind w:left="709" w:right="0"/>
        <w:jc w:val="both"/>
      </w:pPr>
      <w:r>
        <w:rPr>
          <w:rFonts w:ascii="Calibri" w:hAnsi="Calibri" w:cs="Arial"/>
          <w:sz w:val="24"/>
          <w:szCs w:val="24"/>
        </w:rPr>
        <w:t xml:space="preserve">7.1. Rejected lots are corrected, re-dyed or reprocessed only with the decision of the Dyehouse Manager and Quality Assurance, according to EMS.BY.PRO.06.03, and are tested again before release.</w:t>
      </w:r>
    </w:p>
    <w:p>
      <w:pPr>
        <w:pStyle w:val="ListeParagraf"/>
        <w:spacing w:after="80"/>
        <w:ind w:left="709" w:right="0"/>
        <w:jc w:val="both"/>
      </w:pPr>
      <w:r>
        <w:rPr>
          <w:rFonts w:ascii="Calibri" w:hAnsi="Calibri" w:cs="Arial"/>
          <w:sz w:val="24"/>
          <w:szCs w:val="24"/>
        </w:rPr>
        <w:t xml:space="preserve">7.2. A repeated problem or a customer shade complaint is recorded through the nonconforming product process (EMS.KS.PRO.22.02) and a corrective and preventive action (DOP/CAPA) is opened according to EMS.KS.PRO.22.03.</w:t>
      </w:r>
    </w:p>
    <w:p>
      <w:pPr>
        <w:pStyle w:val="ListeParagraf"/>
        <w:spacing w:after="80"/>
        <w:ind w:left="709" w:right="0"/>
        <w:jc w:val="both"/>
      </w:pPr>
      <w:r>
        <w:rPr>
          <w:rFonts w:ascii="Calibri" w:hAnsi="Calibri" w:cs="Arial"/>
          <w:sz w:val="24"/>
          <w:szCs w:val="24"/>
        </w:rPr>
        <w:t xml:space="preserve">7.3. Light box lamp hours, instrument calibration and standard validity are checked at the planned intervals; any deviation is recorded and corrected before the next assessment.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TLM-BOY-08 ΔE and Fastness Acceptance Limits Instruction, TLM-LAB-05 Spectrophotometer ΔE Measurement Instruction and PRS-BOY-05 Dyehouse Quality Control Procedure (QMS)</w:t>
      </w:r>
    </w:p>
    <w:p>
      <w:pPr>
        <w:pStyle w:val="ListeParagraf"/>
        <w:numPr>
          <w:ilvl w:val="0"/>
          <w:numId w:val="1"/>
        </w:numPr>
        <w:spacing w:after="60"/>
        <w:jc w:val="both"/>
      </w:pPr>
      <w:r>
        <w:rPr>
          <w:rFonts w:ascii="Calibri" w:hAnsi="Calibri" w:cs="Arial"/>
          <w:sz w:val="24"/>
          <w:szCs w:val="24"/>
        </w:rPr>
        <w:t xml:space="preserve">EMS.BY.PRO.06.01. Recipe Preparation and Lab Dip Approval Procedure</w:t>
      </w:r>
    </w:p>
    <w:p>
      <w:pPr>
        <w:pStyle w:val="ListeParagraf"/>
        <w:numPr>
          <w:ilvl w:val="0"/>
          <w:numId w:val="1"/>
        </w:numPr>
        <w:spacing w:after="60"/>
        <w:jc w:val="both"/>
      </w:pPr>
      <w:r>
        <w:rPr>
          <w:rFonts w:ascii="Calibri" w:hAnsi="Calibri" w:cs="Arial"/>
          <w:sz w:val="24"/>
          <w:szCs w:val="24"/>
        </w:rPr>
        <w:t xml:space="preserve">EMS.BY.PRO.06.03. Reprocessing and Rework Control Procedure</w:t>
      </w:r>
    </w:p>
    <w:p>
      <w:pPr>
        <w:pStyle w:val="ListeParagraf"/>
        <w:numPr>
          <w:ilvl w:val="0"/>
          <w:numId w:val="1"/>
        </w:numPr>
        <w:spacing w:after="60"/>
        <w:jc w:val="both"/>
      </w:pPr>
      <w:r>
        <w:rPr>
          <w:rFonts w:ascii="Calibri" w:hAnsi="Calibri" w:cs="Arial"/>
          <w:sz w:val="24"/>
          <w:szCs w:val="24"/>
        </w:rPr>
        <w:t xml:space="preserve">EMS.LB.TL.09.02. Colour Fastness Tests Instruction</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Shade Approval Records, Shade Cards and Light Box Lamp Log</w:t>
      </w:r>
    </w:p>
    <w:p>
      <w:pPr>
        <w:pStyle w:val="ListeParagraf"/>
        <w:numPr>
          <w:ilvl w:val="0"/>
          <w:numId w:val="1"/>
        </w:numPr>
        <w:spacing w:after="60"/>
        <w:jc w:val="both"/>
      </w:pPr>
      <w:r>
        <w:rPr>
          <w:rFonts w:ascii="Calibri" w:hAnsi="Calibri" w:cs="Arial"/>
          <w:sz w:val="24"/>
          <w:szCs w:val="24"/>
        </w:rPr>
        <w:t xml:space="preserve">EMS.QA.FRM.07.16 Laboratory Colour Work Form, EMS.QA.FRM.07.11 Test Report, EMS.QA.KRT.07.01 Colour Archive Card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The Laboratory Manager monitors shade rejection rates, ΔE and fastness failures, customer shade complaints, lamp log records and calibration records every month; targets are set in the annual objectives and reported to the management review. This instruction is reviewed every year or when customer shade requirements change.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فحص لون عينات الصباغة المخبرية (Lab Dip) ودفعات الصباغة والقماش النهائي بصريًا في صندوق الإضاءة وقياسه بجهاز المطياف اللوني مقارنة بالمعيار المعتمد في شركة إيروغلو للتريكو (EMS)، وكيفية تطبيق حدود القبول لـ ΔE وثبات الألوان (تعليمات نظام الجودة TLM-BOY-08 و TLM-LAB-05)، بحيث تُكتشف فروق اللون والميتاميرية قبل ذهاب القماش إلى 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فحوص اللون في المختبر وقسم الصباغة والتجهيز ومراقبة جودة القماش، وعلى القياس اللوني الآلي وتقييم نتائج الثبات، وعلى جميع الموظفين المفوضين بتقييم اللون.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يحافظ على صناديق الإضاءة وجهاز المطياف اللوني ومعايير اللون بحالة جيدة، ويرتب استبدال المصابيح والمعايرة، ويفوّض المقيّمين.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مقيّم اللون (المختبر / الصباغة / مراقبة الجودة):</w:t>
      </w:r>
      <w:r>
        <w:rPr>
          <w:rFonts w:ascii="Calibri" w:hAnsi="Calibri" w:cs="Arial"/>
          <w:rtl/>
          <w:sz w:val="24"/>
          <w:szCs w:val="24"/>
        </w:rPr>
        <w:t xml:space="preserve"> ينفذ الفحص وفقًا لهذه التعليمات ويسجل النتيجة.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قسم الصباغة:</w:t>
      </w:r>
      <w:r>
        <w:rPr>
          <w:rFonts w:ascii="Calibri" w:hAnsi="Calibri" w:cs="Arial"/>
          <w:rtl/>
          <w:sz w:val="24"/>
          <w:szCs w:val="24"/>
        </w:rPr>
        <w:t xml:space="preserve"> يقرر تصحيح الدفعات المرفوضة أو إعادة معالجتها.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يقرر قبول الدفعة أو حجزها أو الإفراج عنها عندما تكون النتيجة على الحد أو خارجه، ويبلغ العميل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D65:</w:t>
      </w:r>
      <w:r>
        <w:rPr>
          <w:rFonts w:ascii="Calibri" w:hAnsi="Calibri" w:cs="Arial"/>
          <w:rtl/>
          <w:sz w:val="24"/>
          <w:szCs w:val="24"/>
        </w:rPr>
        <w:t xml:space="preserve"> مصدر ضوء النهار الصناعي القياسي، ويُستخدم عادة مصدرًا أساسيًا لتقييم اللون.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الميتاميرية:</w:t>
      </w:r>
      <w:r>
        <w:rPr>
          <w:rFonts w:ascii="Calibri" w:hAnsi="Calibri" w:cs="Arial"/>
          <w:rtl/>
          <w:sz w:val="24"/>
          <w:szCs w:val="24"/>
        </w:rPr>
        <w:t xml:space="preserve"> تطابق عينتين تحت مصدر ضوء واحد واختلافهما تحت مصدر آخر.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مقياس الرمادي:</w:t>
      </w:r>
      <w:r>
        <w:rPr>
          <w:rFonts w:ascii="Calibri" w:hAnsi="Calibri" w:cs="Arial"/>
          <w:rtl/>
          <w:sz w:val="24"/>
          <w:szCs w:val="24"/>
        </w:rPr>
        <w:t xml:space="preserve"> مقياس الرمادي وفق ISO 105-A02 المستخدم لتقدير فرق اللون (الدرجة 5 = لا فرق).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ΔE:</w:t>
      </w:r>
      <w:r>
        <w:rPr>
          <w:rFonts w:ascii="Calibri" w:hAnsi="Calibri" w:cs="Arial"/>
          <w:rtl/>
          <w:sz w:val="24"/>
          <w:szCs w:val="24"/>
        </w:rPr>
        <w:t xml:space="preserve"> فرق اللون الكلي بين المعيار والعينة بوحدات CIELAB (ΔE*ab) أو CMC (l:c)، ويُقاس بجهاز المطياف اللوني.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ثبات اللون:</w:t>
      </w:r>
      <w:r>
        <w:rPr>
          <w:rFonts w:ascii="Calibri" w:hAnsi="Calibri" w:cs="Arial"/>
          <w:rtl/>
          <w:sz w:val="24"/>
          <w:szCs w:val="24"/>
        </w:rPr>
        <w:t xml:space="preserve"> مقاومة لون المنسوج للغسيل والاحتكاك والعرق والضوء وعوامل أخرى، ويُقدَّر بدرجات مقياس الرمادي من 1 إلى 5.</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اللون:</w:t>
      </w:r>
      <w:r>
        <w:rPr>
          <w:rFonts w:ascii="Calibri" w:hAnsi="Calibri" w:cs="Arial"/>
          <w:rtl/>
          <w:sz w:val="24"/>
          <w:szCs w:val="24"/>
        </w:rPr>
        <w:t xml:space="preserve"> البطاقة التي تحمل عينات الدفعات المقبولة المعتمدة.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تأكد من أن مصابيح صندوق الإضاءة التي يطلبها العميل (مثل D65 و TL84 و A و UV) تعمل وأنها ضمن ساعات الخدمة المسجلة في سجل المصابيح.</w:t>
      </w:r>
    </w:p>
    <w:p>
      <w:pPr>
        <w:pStyle w:val="ListeParagraf"/>
        <w:bidi/>
        <w:spacing w:after="80"/>
        <w:ind w:left="0" w:right="709"/>
        <w:jc w:val="both"/>
      </w:pPr>
      <w:r>
        <w:rPr>
          <w:rFonts w:ascii="Calibri" w:hAnsi="Calibri" w:cs="Arial"/>
          <w:rtl/>
          <w:sz w:val="24"/>
          <w:szCs w:val="24"/>
        </w:rPr>
        <w:t xml:space="preserve">1.2. استخدم معيارًا معتمدًا فقط (معيار العميل أو عينة الصباغة المخبرية المعتمدة) يكون نظيفًا وغير تالف وضمن تاريخ صلاحيته.</w:t>
      </w:r>
    </w:p>
    <w:p>
      <w:pPr>
        <w:pStyle w:val="ListeParagraf"/>
        <w:bidi/>
        <w:spacing w:after="80"/>
        <w:ind w:left="0" w:right="709"/>
        <w:jc w:val="both"/>
      </w:pPr>
      <w:r>
        <w:rPr>
          <w:rFonts w:ascii="Calibri" w:hAnsi="Calibri" w:cs="Arial"/>
          <w:rtl/>
          <w:sz w:val="24"/>
          <w:szCs w:val="24"/>
        </w:rPr>
        <w:t xml:space="preserve">1.3. يجب أن تكون العينة جافة وباردة ومسطحة؛ ولا تُقيَّم العينات الرطبة أو الساخنة.</w:t>
      </w:r>
    </w:p>
    <w:p>
      <w:pPr>
        <w:pStyle w:val="ListeParagraf"/>
        <w:bidi/>
        <w:spacing w:after="80"/>
        <w:ind w:left="0" w:right="709"/>
        <w:jc w:val="both"/>
      </w:pPr>
      <w:r>
        <w:rPr>
          <w:rFonts w:ascii="Calibri" w:hAnsi="Calibri" w:cs="Arial"/>
          <w:rtl/>
          <w:sz w:val="24"/>
          <w:szCs w:val="24"/>
        </w:rPr>
        <w:t xml:space="preserve">1.4. لا يجوز تقييم اللون إلا للمقيّمين الذين اجتازوا اختبار الرؤية اللونية؛ ولا تُرتدى النظارات الملونة أثناء التقييم.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الخطوات</w:t>
      </w:r>
    </w:p>
    <w:p>
      <w:pPr>
        <w:pStyle w:val="ListeParagraf"/>
        <w:bidi/>
        <w:spacing w:after="80"/>
        <w:ind w:left="0" w:right="709"/>
        <w:jc w:val="both"/>
      </w:pPr>
      <w:r>
        <w:rPr>
          <w:rFonts w:ascii="Calibri" w:hAnsi="Calibri" w:cs="Arial"/>
          <w:rtl/>
          <w:sz w:val="24"/>
          <w:szCs w:val="24"/>
        </w:rPr>
        <w:t xml:space="preserve">2.1. ضع المعيار والعينة جنبًا إلى جنب وفي الاتجاه نفسه على القاعدة الرمادية المحايدة لصندوق الإضاءة، وانظر إليهما بزاوية 45° تقريبًا.</w:t>
      </w:r>
    </w:p>
    <w:p>
      <w:pPr>
        <w:pStyle w:val="ListeParagraf"/>
        <w:bidi/>
        <w:spacing w:after="80"/>
        <w:ind w:left="0" w:right="709"/>
        <w:jc w:val="both"/>
      </w:pPr>
      <w:r>
        <w:rPr>
          <w:rFonts w:ascii="Calibri" w:hAnsi="Calibri" w:cs="Arial"/>
          <w:rtl/>
          <w:sz w:val="24"/>
          <w:szCs w:val="24"/>
        </w:rPr>
        <w:t xml:space="preserve">2.2. قيّم أولًا تحت مصدر الضوء الأساسي الذي يطلبه العميل، ثم تحت مصادر الضوء الثانوية للتحقق من الميتاميرية.</w:t>
      </w:r>
    </w:p>
    <w:p>
      <w:pPr>
        <w:pStyle w:val="ListeParagraf"/>
        <w:bidi/>
        <w:spacing w:after="80"/>
        <w:ind w:left="0" w:right="709"/>
        <w:jc w:val="both"/>
      </w:pPr>
      <w:r>
        <w:rPr>
          <w:rFonts w:ascii="Calibri" w:hAnsi="Calibri" w:cs="Arial"/>
          <w:rtl/>
          <w:sz w:val="24"/>
          <w:szCs w:val="24"/>
        </w:rPr>
        <w:t xml:space="preserve">2.3. قدّر فرق اللون بمقياس الرمادي وصف اتجاه الفرق (أكثر احمرارًا أو زرقة أو فتحًا أو غمقًا أو خفوتًا أو سطوعًا).</w:t>
      </w:r>
    </w:p>
    <w:p>
      <w:pPr>
        <w:pStyle w:val="ListeParagraf"/>
        <w:bidi/>
        <w:spacing w:after="80"/>
        <w:ind w:left="0" w:right="709"/>
        <w:jc w:val="both"/>
      </w:pPr>
      <w:r>
        <w:rPr>
          <w:rFonts w:ascii="Calibri" w:hAnsi="Calibri" w:cs="Arial"/>
          <w:rtl/>
          <w:sz w:val="24"/>
          <w:szCs w:val="24"/>
        </w:rPr>
        <w:t xml:space="preserve">2.4. اقبل الدفعة إذا كانت النتيجة ضمن تفاوت العميل (درجة بصرية أو ΔE بالقياس الآلي حسب متطلب العميل)؛ وإلا فارفضها وأبلغ قسم الصباغة.</w:t>
      </w:r>
    </w:p>
    <w:p>
      <w:pPr>
        <w:pStyle w:val="ListeParagraf"/>
        <w:bidi/>
        <w:spacing w:after="80"/>
        <w:ind w:left="0" w:right="709"/>
        <w:jc w:val="both"/>
      </w:pPr>
      <w:r>
        <w:rPr>
          <w:rFonts w:ascii="Calibri" w:hAnsi="Calibri" w:cs="Arial"/>
          <w:rtl/>
          <w:sz w:val="24"/>
          <w:szCs w:val="24"/>
        </w:rPr>
        <w:t xml:space="preserve">2.5. لكل دفعة مقبولة، قص قطعة عينة، والصقها في بطاقة اللون، وسجل النتيجة.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القواعد / المحظورات</w:t>
      </w:r>
    </w:p>
    <w:p>
      <w:pPr>
        <w:pStyle w:val="ListeParagraf"/>
        <w:numPr>
          <w:ilvl w:val="0"/>
          <w:numId w:val="1"/>
        </w:numPr>
        <w:bidi/>
        <w:spacing w:after="60"/>
        <w:jc w:val="both"/>
      </w:pPr>
      <w:r>
        <w:rPr>
          <w:rFonts w:ascii="Calibri" w:hAnsi="Calibri" w:cs="Arial"/>
          <w:rtl/>
          <w:sz w:val="24"/>
          <w:szCs w:val="24"/>
        </w:rPr>
        <w:t xml:space="preserve">لا تقيّم اللون تحت الإضاءة العادية للمصنع أو تحت ضوء النهار من النوافذ.</w:t>
      </w:r>
    </w:p>
    <w:p>
      <w:pPr>
        <w:pStyle w:val="ListeParagraf"/>
        <w:numPr>
          <w:ilvl w:val="0"/>
          <w:numId w:val="1"/>
        </w:numPr>
        <w:bidi/>
        <w:spacing w:after="60"/>
        <w:jc w:val="both"/>
      </w:pPr>
      <w:r>
        <w:rPr>
          <w:rFonts w:ascii="Calibri" w:hAnsi="Calibri" w:cs="Arial"/>
          <w:rtl/>
          <w:sz w:val="24"/>
          <w:szCs w:val="24"/>
        </w:rPr>
        <w:t xml:space="preserve">لا تسمح بدخول ضوء آخر إلى الصندوق أثناء التقييم؛ وحافظ على نظافة صندوق الإضاءة وأطفئه عند عدم الاستخدام.</w:t>
      </w:r>
    </w:p>
    <w:p>
      <w:pPr>
        <w:pStyle w:val="ListeParagraf"/>
        <w:numPr>
          <w:ilvl w:val="0"/>
          <w:numId w:val="1"/>
        </w:numPr>
        <w:bidi/>
        <w:spacing w:after="60"/>
        <w:jc w:val="both"/>
      </w:pPr>
      <w:r>
        <w:rPr>
          <w:rFonts w:ascii="Calibri" w:hAnsi="Calibri" w:cs="Arial"/>
          <w:rtl/>
          <w:sz w:val="24"/>
          <w:szCs w:val="24"/>
        </w:rPr>
        <w:t xml:space="preserve">لا تستخدم معيارًا باهتًا أو متسخًا أو منتهي الصلاحية؛ واطلب معيارًا جديدًا من المختبر.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w:t>
      </w:r>
    </w:p>
    <w:p>
      <w:pPr>
        <w:pStyle w:val="ListeParagraf"/>
        <w:bidi/>
        <w:spacing w:after="80"/>
        <w:ind w:left="0" w:right="709"/>
        <w:jc w:val="both"/>
      </w:pPr>
      <w:r>
        <w:rPr>
          <w:rFonts w:ascii="Calibri" w:hAnsi="Calibri" w:cs="Arial"/>
          <w:rtl/>
          <w:sz w:val="24"/>
          <w:szCs w:val="24"/>
        </w:rPr>
        <w:t xml:space="preserve">4.1. إذا اختلف المقيّمون أو كانت النتيجة على الحد، تُقاس العينة بجهاز المطياف اللوني ويصدر القرار النهائي من مدير المختبر، أو من العميل عند الحاجة.</w:t>
      </w:r>
    </w:p>
    <w:p>
      <w:pPr>
        <w:pStyle w:val="ListeParagraf"/>
        <w:bidi/>
        <w:spacing w:after="80"/>
        <w:ind w:left="0" w:right="709"/>
        <w:jc w:val="both"/>
      </w:pPr>
      <w:r>
        <w:rPr>
          <w:rFonts w:ascii="Calibri" w:hAnsi="Calibri" w:cs="Arial"/>
          <w:rtl/>
          <w:sz w:val="24"/>
          <w:szCs w:val="24"/>
        </w:rPr>
        <w:t xml:space="preserve">4.2. إذا تعطل مصباح أو تجاوز ساعات خدمته، توقف عن استخدام صندوق الإضاءة وأبلغ مدير المختبر؛ وتُستبدل المصابيح من النوع نفسه معًا.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قياس ΔE بالمطياف اللوني (TLM-LAB-05)</w:t>
      </w:r>
    </w:p>
    <w:p>
      <w:pPr>
        <w:pStyle w:val="ListeParagraf"/>
        <w:bidi/>
        <w:spacing w:after="80"/>
        <w:ind w:left="0" w:right="709"/>
        <w:jc w:val="both"/>
      </w:pPr>
      <w:r>
        <w:rPr>
          <w:rFonts w:ascii="Calibri" w:hAnsi="Calibri" w:cs="Arial"/>
          <w:rtl/>
          <w:sz w:val="24"/>
          <w:szCs w:val="24"/>
        </w:rPr>
        <w:t xml:space="preserve">5.1. شغّل جهاز المطياف اللوني، واترك مدة التسخين التي تحددها الشركة المصنعة، ونفّذ معايرة الأبيض والأسود قبل كل جلسة قياس؛ وسجل المعايرة.</w:t>
      </w:r>
    </w:p>
    <w:p>
      <w:pPr>
        <w:pStyle w:val="ListeParagraf"/>
        <w:bidi/>
        <w:spacing w:after="80"/>
        <w:ind w:left="0" w:right="709"/>
        <w:jc w:val="both"/>
      </w:pPr>
      <w:r>
        <w:rPr>
          <w:rFonts w:ascii="Calibri" w:hAnsi="Calibri" w:cs="Arial"/>
          <w:rtl/>
          <w:sz w:val="24"/>
          <w:szCs w:val="24"/>
        </w:rPr>
        <w:t xml:space="preserve">5.2. قس المعيار والعينة في الظروف نفسها: مصدر الضوء والمراقب اللذان يطلبهما العميل (مثل D65/10°)، والفتحة نفسها، مع الأشعة فوق البنفسجية أو بدونها حسب المواصفات، وعدد الطيات نفسه ليكون القماش معتمًا.</w:t>
      </w:r>
    </w:p>
    <w:p>
      <w:pPr>
        <w:pStyle w:val="ListeParagraf"/>
        <w:bidi/>
        <w:spacing w:after="80"/>
        <w:ind w:left="0" w:right="709"/>
        <w:jc w:val="both"/>
      </w:pPr>
      <w:r>
        <w:rPr>
          <w:rFonts w:ascii="Calibri" w:hAnsi="Calibri" w:cs="Arial"/>
          <w:rtl/>
          <w:sz w:val="24"/>
          <w:szCs w:val="24"/>
        </w:rPr>
        <w:t xml:space="preserve">5.3. خذ ثلاث قراءات على الأقل في مواضع مختلفة من العينة مع تدويرها بين القراءات، واستخدم المتوسط؛ وإذا اختلفت القراءات كثيرًا، افحص العينة بحثًا عن عدم التجانس.</w:t>
      </w:r>
    </w:p>
    <w:p>
      <w:pPr>
        <w:pStyle w:val="ListeParagraf"/>
        <w:bidi/>
        <w:spacing w:after="80"/>
        <w:ind w:left="0" w:right="709"/>
        <w:jc w:val="both"/>
      </w:pPr>
      <w:r>
        <w:rPr>
          <w:rFonts w:ascii="Calibri" w:hAnsi="Calibri" w:cs="Arial"/>
          <w:rtl/>
          <w:sz w:val="24"/>
          <w:szCs w:val="24"/>
        </w:rPr>
        <w:t xml:space="preserve">5.4. احسب ΔE (CIELAB أو CMC 2:1 حسب متطلب العميل) مع ΔL* و Δa* و Δb* واتجاه الفرق، وسجل مصدر الضوء وظروف القياس مع النتيجة.</w:t>
      </w:r>
    </w:p>
    <w:p>
      <w:pPr>
        <w:pStyle w:val="ListeParagraf"/>
        <w:bidi/>
        <w:spacing w:after="80"/>
        <w:ind w:left="0" w:right="709"/>
        <w:jc w:val="both"/>
      </w:pPr>
      <w:r>
        <w:rPr>
          <w:rFonts w:ascii="Calibri" w:hAnsi="Calibri" w:cs="Arial"/>
          <w:rtl/>
          <w:sz w:val="24"/>
          <w:szCs w:val="24"/>
        </w:rPr>
        <w:t xml:space="preserve">5.5. قارن النتيجة بحد ΔE الوارد في مواصفات العميل؛ وعندما لا يحدد العميل حدًا، يُطبق حد الشركة (مثل ΔE وفق CMC 2:1 لا يزيد على 1.0 وفقًا للسياسة)، ويُفحص أيضًا الفرق بين الدفعات وداخل الدفعة (حافة - وسط - حافة).</w:t>
      </w:r>
    </w:p>
    <w:p>
      <w:pPr>
        <w:pStyle w:val="ListeParagraf"/>
        <w:bidi/>
        <w:spacing w:after="80"/>
        <w:ind w:left="0" w:right="709"/>
        <w:jc w:val="both"/>
      </w:pPr>
      <w:r>
        <w:rPr>
          <w:rFonts w:ascii="Calibri" w:hAnsi="Calibri" w:cs="Arial"/>
          <w:rtl/>
          <w:sz w:val="24"/>
          <w:szCs w:val="24"/>
        </w:rPr>
        <w:t xml:space="preserve">5.6. تُحفظ النتائج في سجل القياس اللوني؛ ويُحافظ على الجهاز نظيفًا ومعايرًا ولا يستخدمه إلا الأفراد المدربون.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قبول ثبات الألوان (TLM-BOY-08)</w:t>
      </w:r>
    </w:p>
    <w:p>
      <w:pPr>
        <w:pStyle w:val="ListeParagraf"/>
        <w:bidi/>
        <w:spacing w:after="80"/>
        <w:ind w:left="0" w:right="709"/>
        <w:jc w:val="both"/>
      </w:pPr>
      <w:r>
        <w:rPr>
          <w:rFonts w:ascii="Calibri" w:hAnsi="Calibri" w:cs="Arial"/>
          <w:rtl/>
          <w:sz w:val="24"/>
          <w:szCs w:val="24"/>
        </w:rPr>
        <w:t xml:space="preserve">6.1. تُجرى اختبارات الثبات (الغسيل، والاحتكاك الجاف والرطب، والعرق، والضوء، والماء واللعاب عند الطلب) في المختبر وفق طرائق سلسلة ISO 105 أو الطريقة التي يحددها العميل (مثل AATCC)، وتُقدَّر بمقياس الرمادي لتغير اللون والتبقع (ISO 105-A02 / A03).</w:t>
      </w:r>
    </w:p>
    <w:p>
      <w:pPr>
        <w:pStyle w:val="ListeParagraf"/>
        <w:bidi/>
        <w:spacing w:after="80"/>
        <w:ind w:left="0" w:right="709"/>
        <w:jc w:val="both"/>
      </w:pPr>
      <w:r>
        <w:rPr>
          <w:rFonts w:ascii="Calibri" w:hAnsi="Calibri" w:cs="Arial"/>
          <w:rtl/>
          <w:sz w:val="24"/>
          <w:szCs w:val="24"/>
        </w:rPr>
        <w:t xml:space="preserve">6.2. درجات القبول هي الواردة في مواصفات العميل؛ وعندما لا توجد، تُطبق الدرجات الدنيا للشركة الواردة في سياسة الجودة، مثل الدرجة 4 للغسيل والاحتكاك الجاف، والدرجة 3 إلى 4 للاحتكاك الرطب والعرق، والدرجة 4 للضوء في ملابس الأطفال والألوان الفاتحة. وهذه القيم أمثلة وتُحدد في مواصفات العميل وسياسة الشركة.</w:t>
      </w:r>
    </w:p>
    <w:p>
      <w:pPr>
        <w:pStyle w:val="ListeParagraf"/>
        <w:bidi/>
        <w:spacing w:after="80"/>
        <w:ind w:left="0" w:right="709"/>
        <w:jc w:val="both"/>
      </w:pPr>
      <w:r>
        <w:rPr>
          <w:rFonts w:ascii="Calibri" w:hAnsi="Calibri" w:cs="Arial"/>
          <w:rtl/>
          <w:sz w:val="24"/>
          <w:szCs w:val="24"/>
        </w:rPr>
        <w:t xml:space="preserve">6.3. يُعاد الاختبار مرة واحدة على عينة جديدة إذا كانت النتيجة مشكوكًا فيها؛ وتُسجل نتيجة الإعادة مع النتيجة الأولى.</w:t>
      </w:r>
    </w:p>
    <w:p>
      <w:pPr>
        <w:pStyle w:val="ListeParagraf"/>
        <w:bidi/>
        <w:spacing w:after="80"/>
        <w:ind w:left="0" w:right="709"/>
        <w:jc w:val="both"/>
      </w:pPr>
      <w:r>
        <w:rPr>
          <w:rFonts w:ascii="Calibri" w:hAnsi="Calibri" w:cs="Arial"/>
          <w:rtl/>
          <w:sz w:val="24"/>
          <w:szCs w:val="24"/>
        </w:rPr>
        <w:t xml:space="preserve">6.4. إذا كان ΔE أو أي درجة ثبات دون الحد، تُحجز الدفعة وتوسم بعبارة «محجوز» وتُعزل؛ وتُبلَّغ النتيجة إلى مدير قسم الصباغة وضمان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عدم المطابقة والإجراء التصحيحي</w:t>
      </w:r>
    </w:p>
    <w:p>
      <w:pPr>
        <w:pStyle w:val="ListeParagraf"/>
        <w:bidi/>
        <w:spacing w:after="80"/>
        <w:ind w:left="0" w:right="709"/>
        <w:jc w:val="both"/>
      </w:pPr>
      <w:r>
        <w:rPr>
          <w:rFonts w:ascii="Calibri" w:hAnsi="Calibri" w:cs="Arial"/>
          <w:rtl/>
          <w:sz w:val="24"/>
          <w:szCs w:val="24"/>
        </w:rPr>
        <w:t xml:space="preserve">7.1. لا تُصحَّح الدفعات المرفوضة أو يُعاد صباغتها أو معالجتها إلا بقرار مدير قسم الصباغة وضمان الجودة وفقًا لـ EMS.BY.PRO.06.03، وتُختبر من جديد قبل الإفراج عنها.</w:t>
      </w:r>
    </w:p>
    <w:p>
      <w:pPr>
        <w:pStyle w:val="ListeParagraf"/>
        <w:bidi/>
        <w:spacing w:after="80"/>
        <w:ind w:left="0" w:right="709"/>
        <w:jc w:val="both"/>
      </w:pPr>
      <w:r>
        <w:rPr>
          <w:rFonts w:ascii="Calibri" w:hAnsi="Calibri" w:cs="Arial"/>
          <w:rtl/>
          <w:sz w:val="24"/>
          <w:szCs w:val="24"/>
        </w:rPr>
        <w:t xml:space="preserve">7.2. تُسجَّل المشكلة المتكررة أو شكوى العميل بشأن اللون عبر عملية المنتج غير المطابق (EMS.KS.PRO.22.02) ويُفتح إجراء تصحيحي ووقائي (DOP/CAPA) وفقًا لـ EMS.KS.PRO.22.03.</w:t>
      </w:r>
    </w:p>
    <w:p>
      <w:pPr>
        <w:pStyle w:val="ListeParagraf"/>
        <w:bidi/>
        <w:spacing w:after="80"/>
        <w:ind w:left="0" w:right="709"/>
        <w:jc w:val="both"/>
      </w:pPr>
      <w:r>
        <w:rPr>
          <w:rFonts w:ascii="Calibri" w:hAnsi="Calibri" w:cs="Arial"/>
          <w:rtl/>
          <w:sz w:val="24"/>
          <w:szCs w:val="24"/>
        </w:rPr>
        <w:t xml:space="preserve">7.3. تُفحص ساعات مصابيح صندوق الإضاءة ومعايرة الجهاز وصلاحية المعايير على فترات مخططة؛ ويُسجل أي انحراف ويُصحح قبل التقييم التالي.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TLM-BOY-08 تعليمات حدود قبول ΔE والثبات، و TLM-LAB-05 تعليمات قياس ΔE بالمطياف اللوني، و PRS-BOY-05 إجراء مراقبة جودة قسم الصباغة (نظام الجودة)</w:t>
      </w:r>
    </w:p>
    <w:p>
      <w:pPr>
        <w:pStyle w:val="ListeParagraf"/>
        <w:numPr>
          <w:ilvl w:val="0"/>
          <w:numId w:val="1"/>
        </w:numPr>
        <w:bidi/>
        <w:spacing w:after="60"/>
        <w:jc w:val="both"/>
      </w:pPr>
      <w:r>
        <w:rPr>
          <w:rFonts w:ascii="Calibri" w:hAnsi="Calibri" w:cs="Arial"/>
          <w:rtl/>
          <w:sz w:val="24"/>
          <w:szCs w:val="24"/>
        </w:rPr>
        <w:t xml:space="preserve">EMS.BY.PRO.06.01. إجراء تحضير الوصفات واعتماد عينات الصباغة المخبرية</w:t>
      </w:r>
    </w:p>
    <w:p>
      <w:pPr>
        <w:pStyle w:val="ListeParagraf"/>
        <w:numPr>
          <w:ilvl w:val="0"/>
          <w:numId w:val="1"/>
        </w:numPr>
        <w:bidi/>
        <w:spacing w:after="60"/>
        <w:jc w:val="both"/>
      </w:pPr>
      <w:r>
        <w:rPr>
          <w:rFonts w:ascii="Calibri" w:hAnsi="Calibri" w:cs="Arial"/>
          <w:rtl/>
          <w:sz w:val="24"/>
          <w:szCs w:val="24"/>
        </w:rPr>
        <w:t xml:space="preserve">EMS.BY.PRO.06.03. إجراء التحكم في إعادة المعالجة وإعادة العمل</w:t>
      </w:r>
    </w:p>
    <w:p>
      <w:pPr>
        <w:pStyle w:val="ListeParagraf"/>
        <w:numPr>
          <w:ilvl w:val="0"/>
          <w:numId w:val="1"/>
        </w:numPr>
        <w:bidi/>
        <w:spacing w:after="60"/>
        <w:jc w:val="both"/>
      </w:pPr>
      <w:r>
        <w:rPr>
          <w:rFonts w:ascii="Calibri" w:hAnsi="Calibri" w:cs="Arial"/>
          <w:rtl/>
          <w:sz w:val="24"/>
          <w:szCs w:val="24"/>
        </w:rPr>
        <w:t xml:space="preserve">EMS.LB.TL.09.02. تعليمات اختبارات ثبات الألوان</w:t>
      </w:r>
    </w:p>
    <w:p>
      <w:pPr>
        <w:pStyle w:val="ListeParagraf"/>
        <w:numPr>
          <w:ilvl w:val="0"/>
          <w:numId w:val="1"/>
        </w:numPr>
        <w:bidi/>
        <w:spacing w:after="60"/>
        <w:jc w:val="both"/>
      </w:pPr>
      <w:r>
        <w:rPr>
          <w:rFonts w:ascii="Calibri" w:hAnsi="Calibri" w:cs="Arial"/>
          <w:rtl/>
          <w:sz w:val="24"/>
          <w:szCs w:val="24"/>
        </w:rPr>
        <w:t xml:space="preserve">EMS.LB.PRO.09.02. إجراء معايرة معدات القياس</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سجلات اعتماد اللون وبطاقات اللون وسجل مصابيح صندوق الإضاءة</w:t>
      </w:r>
    </w:p>
    <w:p>
      <w:pPr>
        <w:pStyle w:val="ListeParagraf"/>
        <w:numPr>
          <w:ilvl w:val="0"/>
          <w:numId w:val="1"/>
        </w:numPr>
        <w:bidi/>
        <w:spacing w:after="60"/>
        <w:jc w:val="both"/>
      </w:pPr>
      <w:r>
        <w:rPr>
          <w:rFonts w:ascii="Calibri" w:hAnsi="Calibri" w:cs="Arial"/>
          <w:rtl/>
          <w:sz w:val="24"/>
          <w:szCs w:val="24"/>
        </w:rPr>
        <w:t xml:space="preserve">EMS.QA.FRM.07.16 نموذج العمل اللوني المخبري، و EMS.QA.FRM.07.11 تقرير الاختبار، و EMS.QA.KRT.07.01 بطاقة أرشيف الألوان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المختبر شهريًا نسب رفض اللون، وحالات فشل ΔE والثبات، وشكاوى العملاء بشأن اللون، وسجلات المصابيح والمعايرة؛ وتُحدد المستهدفات في الأهداف السنوية وتُرفع إلى مراجعة الإدارة. وتُراجع هذه التعليمات سنويًا أو عند تغير متطلبات العملاء بشأن اللون.</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SHADE CONTROL WITH LIGHT BOX INSTRUCTION</w:t>
          </w:r>
        </w:p>
        <w:p>
          <w:pPr>
            <w:pStyle w:val="GvdeMetni2"/>
            <w:bidi/>
            <w:spacing w:line="276" w:lineRule="auto"/>
            <w:jc w:val="center"/>
          </w:pPr>
          <w:r>
            <w:rPr>
              <w:rFonts w:asciiTheme="minorHAnsi" w:hAnsiTheme="minorHAnsi" w:cs="Arial"/>
              <w:b/>
              <w:bCs/>
              <w:color w:val="000000" w:themeColor="text1"/>
              <w:sz w:val="22"/>
              <w:szCs w:val="22"/>
              <w:rtl/>
            </w:rPr>
            <w:t>تعليمات فحص اللون باستخدام صندوق الإضاءة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EMS.BY.TL.06.03.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EMS.BY.TL.06.03. SHADE CONTROL WITH LIGHT BOX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